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投资者关系活动记录表</w:t>
      </w:r>
    </w:p>
    <w:p>
      <w:pPr>
        <w:widowControl/>
        <w:jc w:val="center"/>
        <w:rPr>
          <w:rFonts w:ascii="宋体" w:hAnsi="宋体" w:eastAsia="宋体" w:cs="宋体"/>
          <w:b/>
          <w:bCs/>
          <w:color w:val="000000"/>
          <w:kern w:val="0"/>
          <w:sz w:val="28"/>
          <w:szCs w:val="28"/>
        </w:rPr>
      </w:pPr>
      <w:r>
        <w:rPr>
          <w:rFonts w:hint="eastAsia" w:ascii="Times New Roman" w:hAnsi="Times New Roman" w:eastAsia="宋体" w:cs="Times New Roman"/>
          <w:b/>
          <w:bCs/>
          <w:color w:val="000000"/>
          <w:kern w:val="0"/>
          <w:sz w:val="28"/>
          <w:szCs w:val="28"/>
        </w:rPr>
        <w:t>2</w:t>
      </w:r>
      <w:r>
        <w:rPr>
          <w:rFonts w:ascii="Times New Roman" w:hAnsi="Times New Roman" w:eastAsia="宋体" w:cs="Times New Roman"/>
          <w:b/>
          <w:bCs/>
          <w:color w:val="000000"/>
          <w:kern w:val="0"/>
          <w:sz w:val="28"/>
          <w:szCs w:val="28"/>
        </w:rPr>
        <w:t>02</w:t>
      </w:r>
      <w:r>
        <w:rPr>
          <w:rFonts w:hint="eastAsia" w:ascii="Times New Roman" w:hAnsi="Times New Roman" w:eastAsia="宋体" w:cs="Times New Roman"/>
          <w:b/>
          <w:bCs/>
          <w:color w:val="000000"/>
          <w:kern w:val="0"/>
          <w:sz w:val="28"/>
          <w:szCs w:val="28"/>
          <w:lang w:val="en-US" w:eastAsia="zh-CN"/>
        </w:rPr>
        <w:t>4</w:t>
      </w:r>
      <w:r>
        <w:rPr>
          <w:rFonts w:hint="eastAsia" w:ascii="宋体" w:hAnsi="宋体" w:eastAsia="宋体" w:cs="宋体"/>
          <w:b/>
          <w:bCs/>
          <w:color w:val="000000"/>
          <w:kern w:val="0"/>
          <w:sz w:val="28"/>
          <w:szCs w:val="28"/>
        </w:rPr>
        <w:t>年</w:t>
      </w:r>
      <w:r>
        <w:rPr>
          <w:rFonts w:hint="eastAsia" w:ascii="Times New Roman" w:hAnsi="Times New Roman" w:eastAsia="宋体" w:cs="Times New Roman"/>
          <w:b/>
          <w:bCs/>
          <w:color w:val="000000"/>
          <w:kern w:val="0"/>
          <w:sz w:val="28"/>
          <w:szCs w:val="28"/>
          <w:lang w:val="en-US" w:eastAsia="zh-CN"/>
        </w:rPr>
        <w:t>4</w:t>
      </w:r>
      <w:r>
        <w:rPr>
          <w:rFonts w:hint="eastAsia" w:ascii="宋体" w:hAnsi="宋体" w:eastAsia="宋体" w:cs="宋体"/>
          <w:b/>
          <w:bCs/>
          <w:color w:val="000000"/>
          <w:kern w:val="0"/>
          <w:sz w:val="28"/>
          <w:szCs w:val="28"/>
        </w:rPr>
        <w:t>月</w:t>
      </w:r>
    </w:p>
    <w:p>
      <w:pPr>
        <w:widowControl/>
        <w:jc w:val="left"/>
        <w:rPr>
          <w:rFonts w:ascii="宋体" w:hAnsi="宋体" w:eastAsia="宋体" w:cs="宋体"/>
          <w:kern w:val="0"/>
          <w:sz w:val="22"/>
        </w:rPr>
      </w:pPr>
      <w:r>
        <w:rPr>
          <w:rFonts w:hint="eastAsia" w:ascii="宋体" w:hAnsi="宋体" w:eastAsia="宋体" w:cs="宋体"/>
          <w:color w:val="000000"/>
          <w:kern w:val="0"/>
          <w:sz w:val="22"/>
        </w:rPr>
        <w:t xml:space="preserve">股票名称：智洋创新 </w:t>
      </w:r>
      <w:r>
        <w:rPr>
          <w:rFonts w:ascii="宋体" w:hAnsi="宋体" w:eastAsia="宋体" w:cs="宋体"/>
          <w:color w:val="000000"/>
          <w:kern w:val="0"/>
          <w:sz w:val="22"/>
        </w:rPr>
        <w:t xml:space="preserve">                                    </w:t>
      </w:r>
      <w:r>
        <w:rPr>
          <w:rFonts w:hint="eastAsia" w:ascii="宋体" w:hAnsi="宋体" w:eastAsia="宋体" w:cs="宋体"/>
          <w:color w:val="000000"/>
          <w:kern w:val="0"/>
          <w:sz w:val="22"/>
        </w:rPr>
        <w:t>股票代码：</w:t>
      </w:r>
      <w:r>
        <w:rPr>
          <w:rFonts w:ascii="Times New Roman" w:hAnsi="Times New Roman" w:eastAsia="宋体" w:cs="Times New Roman"/>
          <w:color w:val="000000"/>
          <w:kern w:val="0"/>
          <w:sz w:val="22"/>
        </w:rPr>
        <w:t xml:space="preserve">688191                   </w:t>
      </w:r>
    </w:p>
    <w:tbl>
      <w:tblPr>
        <w:tblStyle w:val="10"/>
        <w:tblW w:w="85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6"/>
        <w:gridCol w:w="5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trPr>
        <w:tc>
          <w:tcPr>
            <w:tcW w:w="2756" w:type="dxa"/>
            <w:vAlign w:val="center"/>
          </w:tcPr>
          <w:p>
            <w:pPr>
              <w:widowControl/>
              <w:jc w:val="center"/>
              <w:rPr>
                <w:rFonts w:ascii="宋体" w:hAnsi="宋体" w:eastAsia="宋体" w:cs="宋体"/>
                <w:b/>
                <w:bCs/>
                <w:color w:val="000000"/>
                <w:kern w:val="0"/>
                <w:sz w:val="22"/>
              </w:rPr>
            </w:pPr>
            <w:r>
              <w:rPr>
                <w:rFonts w:hint="eastAsia" w:ascii="宋体" w:hAnsi="宋体" w:eastAsia="宋体" w:cs="宋体"/>
                <w:color w:val="000000"/>
                <w:kern w:val="0"/>
                <w:sz w:val="22"/>
              </w:rPr>
              <w:t>投资者关系活动类别</w:t>
            </w:r>
          </w:p>
        </w:tc>
        <w:tc>
          <w:tcPr>
            <w:tcW w:w="5800" w:type="dxa"/>
            <w:vAlign w:val="center"/>
          </w:tcPr>
          <w:p>
            <w:pPr>
              <w:widowControl/>
              <w:spacing w:line="480" w:lineRule="auto"/>
              <w:jc w:val="both"/>
              <w:rPr>
                <w:rFonts w:ascii="宋体" w:hAnsi="宋体" w:eastAsia="宋体" w:cs="宋体"/>
                <w:kern w:val="0"/>
                <w:sz w:val="21"/>
                <w:szCs w:val="21"/>
              </w:rPr>
            </w:pPr>
            <w:r>
              <w:rPr>
                <w:rFonts w:hint="eastAsia" w:ascii="宋体" w:hAnsi="宋体" w:eastAsia="宋体" w:cs="宋体"/>
                <w:kern w:val="0"/>
                <w:sz w:val="21"/>
                <w:szCs w:val="21"/>
              </w:rPr>
              <w:sym w:font="Wingdings 2" w:char="0052"/>
            </w:r>
            <w:r>
              <w:rPr>
                <w:rFonts w:hint="eastAsia" w:ascii="宋体" w:hAnsi="宋体" w:eastAsia="宋体" w:cs="宋体"/>
                <w:kern w:val="0"/>
                <w:sz w:val="21"/>
                <w:szCs w:val="21"/>
              </w:rPr>
              <w:t>特定对象调研</w:t>
            </w:r>
            <w:r>
              <w:rPr>
                <w:rFonts w:hint="eastAsia" w:ascii="宋体" w:hAnsi="宋体" w:eastAsia="宋体" w:cs="宋体"/>
                <w:kern w:val="0"/>
                <w:sz w:val="21"/>
                <w:szCs w:val="21"/>
              </w:rPr>
              <w:sym w:font="Wingdings 2" w:char="00A3"/>
            </w:r>
            <w:r>
              <w:rPr>
                <w:rFonts w:hint="eastAsia" w:ascii="宋体" w:hAnsi="宋体" w:eastAsia="宋体" w:cs="宋体"/>
                <w:kern w:val="0"/>
                <w:sz w:val="21"/>
                <w:szCs w:val="21"/>
              </w:rPr>
              <w:t>分析师会议</w:t>
            </w:r>
            <w:r>
              <w:rPr>
                <w:rFonts w:hint="eastAsia" w:ascii="宋体" w:hAnsi="宋体" w:eastAsia="宋体" w:cs="宋体"/>
                <w:kern w:val="0"/>
                <w:sz w:val="21"/>
                <w:szCs w:val="21"/>
              </w:rPr>
              <w:sym w:font="Wingdings 2" w:char="00A3"/>
            </w:r>
            <w:r>
              <w:rPr>
                <w:rFonts w:hint="eastAsia" w:ascii="宋体" w:hAnsi="宋体" w:eastAsia="宋体" w:cs="宋体"/>
                <w:kern w:val="0"/>
                <w:sz w:val="21"/>
                <w:szCs w:val="21"/>
              </w:rPr>
              <w:t>媒体采访</w:t>
            </w:r>
            <w:r>
              <w:rPr>
                <w:rFonts w:hint="eastAsia" w:ascii="宋体" w:hAnsi="宋体" w:eastAsia="宋体" w:cs="宋体"/>
                <w:kern w:val="0"/>
                <w:sz w:val="21"/>
                <w:szCs w:val="21"/>
              </w:rPr>
              <w:sym w:font="Wingdings 2" w:char="00A3"/>
            </w:r>
            <w:r>
              <w:rPr>
                <w:rFonts w:hint="eastAsia" w:ascii="宋体" w:hAnsi="宋体" w:eastAsia="宋体" w:cs="宋体"/>
                <w:kern w:val="0"/>
                <w:sz w:val="21"/>
                <w:szCs w:val="21"/>
              </w:rPr>
              <w:t>业绩说明会</w:t>
            </w:r>
          </w:p>
          <w:p>
            <w:pPr>
              <w:widowControl/>
              <w:spacing w:line="480" w:lineRule="auto"/>
              <w:jc w:val="both"/>
              <w:rPr>
                <w:rFonts w:hint="eastAsia" w:ascii="宋体" w:hAnsi="宋体" w:eastAsia="宋体" w:cs="宋体"/>
                <w:kern w:val="0"/>
                <w:sz w:val="22"/>
                <w:lang w:eastAsia="zh-CN"/>
              </w:rPr>
            </w:pPr>
            <w:r>
              <w:rPr>
                <w:rFonts w:hint="eastAsia" w:ascii="宋体" w:hAnsi="宋体" w:eastAsia="宋体" w:cs="宋体"/>
                <w:kern w:val="0"/>
                <w:sz w:val="21"/>
                <w:szCs w:val="21"/>
              </w:rPr>
              <w:sym w:font="Wingdings 2" w:char="00A3"/>
            </w:r>
            <w:r>
              <w:rPr>
                <w:rFonts w:hint="eastAsia" w:ascii="宋体" w:hAnsi="宋体" w:eastAsia="宋体" w:cs="宋体"/>
                <w:kern w:val="0"/>
                <w:sz w:val="21"/>
                <w:szCs w:val="21"/>
              </w:rPr>
              <w:t>新闻发布会</w:t>
            </w:r>
            <w:r>
              <w:rPr>
                <w:rFonts w:hint="eastAsia" w:ascii="宋体" w:hAnsi="宋体" w:eastAsia="宋体" w:cs="宋体"/>
                <w:kern w:val="0"/>
                <w:sz w:val="21"/>
                <w:szCs w:val="21"/>
              </w:rPr>
              <w:sym w:font="Wingdings 2" w:char="00A3"/>
            </w:r>
            <w:r>
              <w:rPr>
                <w:rFonts w:hint="eastAsia" w:ascii="宋体" w:hAnsi="宋体" w:eastAsia="宋体" w:cs="宋体"/>
                <w:kern w:val="0"/>
                <w:sz w:val="21"/>
                <w:szCs w:val="21"/>
              </w:rPr>
              <w:t>路演活动</w:t>
            </w:r>
            <w:bookmarkStart w:id="0" w:name="_GoBack"/>
            <w:bookmarkEnd w:id="0"/>
            <w:r>
              <w:rPr>
                <w:rFonts w:hint="eastAsia" w:ascii="宋体" w:hAnsi="宋体" w:eastAsia="宋体" w:cs="宋体"/>
                <w:kern w:val="0"/>
                <w:sz w:val="21"/>
                <w:szCs w:val="21"/>
              </w:rPr>
              <w:sym w:font="Wingdings 2" w:char="00A3"/>
            </w:r>
            <w:r>
              <w:rPr>
                <w:rFonts w:hint="eastAsia" w:ascii="宋体" w:hAnsi="宋体" w:eastAsia="宋体" w:cs="宋体"/>
                <w:kern w:val="0"/>
                <w:sz w:val="21"/>
                <w:szCs w:val="21"/>
              </w:rPr>
              <w:t>现场参观</w:t>
            </w:r>
            <w:r>
              <w:rPr>
                <w:rFonts w:hint="eastAsia" w:ascii="宋体" w:hAnsi="宋体" w:eastAsia="宋体" w:cs="宋体"/>
                <w:kern w:val="0"/>
                <w:sz w:val="21"/>
                <w:szCs w:val="21"/>
              </w:rPr>
              <w:sym w:font="Wingdings 2" w:char="00A3"/>
            </w:r>
            <w:r>
              <w:rPr>
                <w:rFonts w:hint="eastAsia" w:ascii="宋体" w:hAnsi="宋体" w:eastAsia="宋体" w:cs="宋体"/>
                <w:kern w:val="0"/>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2756" w:type="dxa"/>
            <w:vAlign w:val="center"/>
          </w:tcPr>
          <w:p>
            <w:pPr>
              <w:widowControl/>
              <w:jc w:val="center"/>
              <w:rPr>
                <w:rFonts w:ascii="宋体" w:hAnsi="宋体" w:eastAsia="宋体" w:cs="宋体"/>
                <w:b/>
                <w:bCs/>
                <w:kern w:val="0"/>
                <w:sz w:val="22"/>
              </w:rPr>
            </w:pPr>
            <w:r>
              <w:rPr>
                <w:rFonts w:hint="eastAsia" w:ascii="宋体" w:hAnsi="宋体" w:eastAsia="宋体" w:cs="宋体"/>
                <w:kern w:val="0"/>
                <w:sz w:val="22"/>
              </w:rPr>
              <w:t>参与单位名称及人员姓名</w:t>
            </w:r>
          </w:p>
        </w:tc>
        <w:tc>
          <w:tcPr>
            <w:tcW w:w="5800" w:type="dxa"/>
            <w:vAlign w:val="center"/>
          </w:tcPr>
          <w:p>
            <w:pPr>
              <w:pStyle w:val="3"/>
              <w:numPr>
                <w:ilvl w:val="0"/>
                <w:numId w:val="1"/>
              </w:numPr>
              <w:ind w:left="0" w:leftChars="0" w:firstLine="0" w:firstLineChars="0"/>
              <w:rPr>
                <w:rFonts w:hint="default"/>
                <w:lang w:val="en-US" w:eastAsia="zh-CN"/>
              </w:rPr>
            </w:pPr>
            <w:r>
              <w:rPr>
                <w:rFonts w:hint="eastAsia"/>
                <w:lang w:val="en-US" w:eastAsia="zh-CN"/>
              </w:rPr>
              <w:t>海通证券：杨林、徐鹏程、魏宗</w:t>
            </w:r>
          </w:p>
          <w:p>
            <w:pPr>
              <w:pStyle w:val="3"/>
              <w:numPr>
                <w:ilvl w:val="0"/>
                <w:numId w:val="1"/>
              </w:numPr>
              <w:ind w:left="0" w:leftChars="0" w:firstLine="0" w:firstLineChars="0"/>
              <w:rPr>
                <w:rFonts w:hint="default"/>
                <w:lang w:val="en-US" w:eastAsia="zh-CN"/>
              </w:rPr>
            </w:pPr>
            <w:r>
              <w:rPr>
                <w:rFonts w:hint="eastAsia"/>
                <w:lang w:val="en-US" w:eastAsia="zh-CN"/>
              </w:rPr>
              <w:t>工银瑞信：黄丙延</w:t>
            </w:r>
          </w:p>
          <w:p>
            <w:pPr>
              <w:pStyle w:val="3"/>
              <w:numPr>
                <w:ilvl w:val="0"/>
                <w:numId w:val="1"/>
              </w:numPr>
              <w:ind w:left="0" w:leftChars="0" w:firstLine="0" w:firstLineChars="0"/>
              <w:rPr>
                <w:rFonts w:hint="default"/>
                <w:lang w:val="en-US" w:eastAsia="zh-CN"/>
              </w:rPr>
            </w:pPr>
            <w:r>
              <w:rPr>
                <w:rFonts w:hint="eastAsia"/>
                <w:lang w:val="en-US" w:eastAsia="zh-CN"/>
              </w:rPr>
              <w:t>交银施罗德：武家和</w:t>
            </w:r>
          </w:p>
          <w:p>
            <w:pPr>
              <w:pStyle w:val="3"/>
              <w:numPr>
                <w:ilvl w:val="0"/>
                <w:numId w:val="1"/>
              </w:numPr>
              <w:ind w:left="0" w:leftChars="0" w:firstLine="0" w:firstLineChars="0"/>
              <w:rPr>
                <w:rFonts w:hint="default"/>
                <w:lang w:val="en-US" w:eastAsia="zh-CN"/>
              </w:rPr>
            </w:pPr>
            <w:r>
              <w:rPr>
                <w:rFonts w:hint="eastAsia"/>
                <w:lang w:val="en-US" w:eastAsia="zh-CN"/>
              </w:rPr>
              <w:t>摩根士丹利基金：雷志勇、马子轩</w:t>
            </w:r>
          </w:p>
          <w:p>
            <w:pPr>
              <w:pStyle w:val="3"/>
              <w:numPr>
                <w:ilvl w:val="0"/>
                <w:numId w:val="1"/>
              </w:numPr>
              <w:ind w:left="0" w:leftChars="0" w:firstLine="0" w:firstLineChars="0"/>
              <w:rPr>
                <w:rFonts w:hint="default"/>
                <w:lang w:val="en-US" w:eastAsia="zh-CN"/>
              </w:rPr>
            </w:pPr>
            <w:r>
              <w:rPr>
                <w:rFonts w:hint="eastAsia"/>
                <w:lang w:val="en-US" w:eastAsia="zh-CN"/>
              </w:rPr>
              <w:t>东北证券：冯浚瑒、马宗凯</w:t>
            </w:r>
          </w:p>
          <w:p>
            <w:pPr>
              <w:pStyle w:val="3"/>
              <w:numPr>
                <w:ilvl w:val="0"/>
                <w:numId w:val="1"/>
              </w:numPr>
              <w:ind w:left="0" w:leftChars="0" w:firstLine="0" w:firstLineChars="0"/>
              <w:rPr>
                <w:rFonts w:hint="default"/>
                <w:lang w:val="en-US" w:eastAsia="zh-CN"/>
              </w:rPr>
            </w:pPr>
            <w:r>
              <w:rPr>
                <w:rFonts w:hint="eastAsia"/>
                <w:lang w:val="en-US" w:eastAsia="zh-CN"/>
              </w:rPr>
              <w:t>申万菱信：张若凡</w:t>
            </w:r>
          </w:p>
          <w:p>
            <w:pPr>
              <w:pStyle w:val="3"/>
              <w:numPr>
                <w:ilvl w:val="0"/>
                <w:numId w:val="1"/>
              </w:numPr>
              <w:ind w:left="0" w:leftChars="0" w:firstLine="0" w:firstLineChars="0"/>
              <w:rPr>
                <w:rFonts w:hint="default"/>
                <w:lang w:val="en-US" w:eastAsia="zh-CN"/>
              </w:rPr>
            </w:pPr>
            <w:r>
              <w:rPr>
                <w:rFonts w:hint="eastAsia"/>
                <w:lang w:val="en-US" w:eastAsia="zh-CN"/>
              </w:rPr>
              <w:t>野村资管：徐也清</w:t>
            </w:r>
          </w:p>
          <w:p>
            <w:pPr>
              <w:pStyle w:val="3"/>
              <w:numPr>
                <w:ilvl w:val="0"/>
                <w:numId w:val="1"/>
              </w:numPr>
              <w:ind w:left="0" w:leftChars="0" w:firstLine="0" w:firstLineChars="0"/>
              <w:rPr>
                <w:rFonts w:hint="default"/>
                <w:lang w:val="en-US" w:eastAsia="zh-CN"/>
              </w:rPr>
            </w:pPr>
            <w:r>
              <w:rPr>
                <w:rFonts w:hint="eastAsia"/>
                <w:lang w:val="en-US" w:eastAsia="zh-CN"/>
              </w:rPr>
              <w:t>中金资管：</w:t>
            </w:r>
            <w:r>
              <w:rPr>
                <w:rFonts w:hint="eastAsia"/>
              </w:rPr>
              <w:t>艾柯达</w:t>
            </w:r>
            <w:r>
              <w:rPr>
                <w:rFonts w:hint="eastAsia"/>
                <w:lang w:eastAsia="zh-CN"/>
              </w:rPr>
              <w:t>、</w:t>
            </w:r>
            <w:r>
              <w:rPr>
                <w:rFonts w:hint="eastAsia"/>
                <w:lang w:val="en-US" w:eastAsia="zh-CN"/>
              </w:rPr>
              <w:t>冯达</w:t>
            </w:r>
          </w:p>
          <w:p>
            <w:pPr>
              <w:pStyle w:val="3"/>
              <w:numPr>
                <w:ilvl w:val="0"/>
                <w:numId w:val="1"/>
              </w:numPr>
              <w:ind w:left="0" w:leftChars="0" w:firstLine="0" w:firstLineChars="0"/>
              <w:rPr>
                <w:rFonts w:hint="default"/>
                <w:lang w:val="en-US" w:eastAsia="zh-CN"/>
              </w:rPr>
            </w:pPr>
            <w:r>
              <w:rPr>
                <w:rFonts w:hint="eastAsia"/>
                <w:lang w:val="en-US" w:eastAsia="zh-CN"/>
              </w:rPr>
              <w:t>长城基金：沈文皓、韩林、刘疆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756"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时间</w:t>
            </w:r>
          </w:p>
        </w:tc>
        <w:tc>
          <w:tcPr>
            <w:tcW w:w="5800" w:type="dxa"/>
            <w:vAlign w:val="center"/>
          </w:tcPr>
          <w:p>
            <w:pPr>
              <w:pStyle w:val="3"/>
              <w:ind w:firstLine="0" w:firstLineChars="0"/>
              <w:rPr>
                <w:rFonts w:hint="eastAsia"/>
                <w:lang w:val="en-US" w:eastAsia="zh-CN"/>
              </w:rPr>
            </w:pPr>
            <w:r>
              <w:rPr>
                <w:rFonts w:hint="eastAsia"/>
                <w:lang w:val="en-US" w:eastAsia="zh-CN"/>
              </w:rPr>
              <w:t>2024年4月2日9:00</w:t>
            </w:r>
          </w:p>
          <w:p>
            <w:pPr>
              <w:pStyle w:val="3"/>
              <w:ind w:firstLine="0" w:firstLineChars="0"/>
              <w:rPr>
                <w:rFonts w:hint="eastAsia"/>
              </w:rPr>
            </w:pPr>
            <w:r>
              <w:rPr>
                <w:rFonts w:hint="eastAsia"/>
              </w:rPr>
              <w:t>2024年</w:t>
            </w:r>
            <w:r>
              <w:rPr>
                <w:rFonts w:hint="eastAsia"/>
                <w:lang w:val="en-US" w:eastAsia="zh-CN"/>
              </w:rPr>
              <w:t>4</w:t>
            </w:r>
            <w:r>
              <w:rPr>
                <w:rFonts w:hint="eastAsia"/>
              </w:rPr>
              <w:t>月</w:t>
            </w:r>
            <w:r>
              <w:rPr>
                <w:rFonts w:hint="eastAsia"/>
                <w:lang w:val="en-US" w:eastAsia="zh-CN"/>
              </w:rPr>
              <w:t>2</w:t>
            </w:r>
            <w:r>
              <w:rPr>
                <w:rFonts w:hint="eastAsia"/>
              </w:rPr>
              <w:t>日1</w:t>
            </w:r>
            <w:r>
              <w:rPr>
                <w:rFonts w:hint="eastAsia"/>
                <w:lang w:val="en-US" w:eastAsia="zh-CN"/>
              </w:rPr>
              <w:t>0</w:t>
            </w:r>
            <w:r>
              <w:rPr>
                <w:rFonts w:hint="eastAsia"/>
              </w:rPr>
              <w:t>:30</w:t>
            </w:r>
          </w:p>
          <w:p>
            <w:pPr>
              <w:pStyle w:val="3"/>
              <w:ind w:firstLine="0" w:firstLineChars="0"/>
              <w:rPr>
                <w:rFonts w:hint="eastAsia"/>
                <w:lang w:val="en-US" w:eastAsia="zh-CN"/>
              </w:rPr>
            </w:pPr>
            <w:r>
              <w:rPr>
                <w:rFonts w:hint="eastAsia"/>
                <w:lang w:val="en-US" w:eastAsia="zh-CN"/>
              </w:rPr>
              <w:t>2024年4月2日13:30</w:t>
            </w:r>
          </w:p>
          <w:p>
            <w:pPr>
              <w:pStyle w:val="3"/>
              <w:ind w:firstLine="0" w:firstLineChars="0"/>
              <w:rPr>
                <w:rFonts w:hint="eastAsia"/>
                <w:lang w:val="en-US" w:eastAsia="zh-CN"/>
              </w:rPr>
            </w:pPr>
            <w:r>
              <w:rPr>
                <w:rFonts w:hint="eastAsia"/>
                <w:lang w:val="en-US" w:eastAsia="zh-CN"/>
              </w:rPr>
              <w:t>2024年4月2日15:30</w:t>
            </w:r>
          </w:p>
          <w:p>
            <w:pPr>
              <w:pStyle w:val="3"/>
              <w:ind w:firstLine="0" w:firstLineChars="0"/>
              <w:rPr>
                <w:rFonts w:hint="eastAsia"/>
                <w:lang w:val="en-US" w:eastAsia="zh-CN"/>
              </w:rPr>
            </w:pPr>
            <w:r>
              <w:rPr>
                <w:rFonts w:hint="eastAsia"/>
                <w:lang w:val="en-US" w:eastAsia="zh-CN"/>
              </w:rPr>
              <w:t>2024年4月2日16:30</w:t>
            </w:r>
          </w:p>
          <w:p>
            <w:pPr>
              <w:pStyle w:val="3"/>
              <w:ind w:firstLine="0" w:firstLineChars="0"/>
              <w:rPr>
                <w:rFonts w:hint="eastAsia"/>
                <w:lang w:val="en-US" w:eastAsia="zh-CN"/>
              </w:rPr>
            </w:pPr>
            <w:r>
              <w:rPr>
                <w:rFonts w:hint="eastAsia"/>
                <w:lang w:val="en-US" w:eastAsia="zh-CN"/>
              </w:rPr>
              <w:t>2024年4月3日13:30</w:t>
            </w:r>
          </w:p>
          <w:p>
            <w:pPr>
              <w:pStyle w:val="3"/>
              <w:ind w:firstLine="0" w:firstLineChars="0"/>
              <w:rPr>
                <w:rFonts w:hint="default"/>
                <w:lang w:val="en-US" w:eastAsia="zh-CN"/>
              </w:rPr>
            </w:pPr>
            <w:r>
              <w:rPr>
                <w:rFonts w:hint="eastAsia"/>
                <w:lang w:val="en-US" w:eastAsia="zh-CN"/>
              </w:rPr>
              <w:t>2024年4月3日16:30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756" w:type="dxa"/>
            <w:vAlign w:val="center"/>
          </w:tcPr>
          <w:p>
            <w:pPr>
              <w:widowControl/>
              <w:jc w:val="center"/>
              <w:rPr>
                <w:rFonts w:ascii="宋体" w:hAnsi="宋体" w:eastAsia="宋体" w:cs="宋体"/>
                <w:b/>
                <w:bCs/>
                <w:kern w:val="0"/>
                <w:sz w:val="22"/>
              </w:rPr>
            </w:pPr>
            <w:r>
              <w:rPr>
                <w:rFonts w:hint="eastAsia" w:ascii="宋体" w:hAnsi="宋体" w:eastAsia="宋体" w:cs="宋体"/>
                <w:kern w:val="0"/>
                <w:sz w:val="22"/>
              </w:rPr>
              <w:t>地点</w:t>
            </w:r>
          </w:p>
        </w:tc>
        <w:tc>
          <w:tcPr>
            <w:tcW w:w="5800" w:type="dxa"/>
            <w:vAlign w:val="center"/>
          </w:tcPr>
          <w:p>
            <w:pPr>
              <w:widowControl/>
              <w:jc w:val="both"/>
              <w:rPr>
                <w:rFonts w:hint="default" w:ascii="宋体" w:hAnsi="宋体" w:eastAsia="宋体" w:cs="宋体"/>
                <w:kern w:val="0"/>
                <w:sz w:val="22"/>
                <w:lang w:val="en-US"/>
              </w:rPr>
            </w:pPr>
            <w:r>
              <w:rPr>
                <w:rFonts w:hint="eastAsia" w:ascii="宋体" w:hAnsi="宋体" w:eastAsia="宋体" w:cs="宋体"/>
                <w:color w:val="000000"/>
                <w:kern w:val="0"/>
                <w:sz w:val="21"/>
                <w:szCs w:val="21"/>
                <w:lang w:val="en-US" w:eastAsia="zh-CN"/>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756"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公司接待人员姓名</w:t>
            </w:r>
          </w:p>
        </w:tc>
        <w:tc>
          <w:tcPr>
            <w:tcW w:w="5800" w:type="dxa"/>
            <w:vAlign w:val="center"/>
          </w:tcPr>
          <w:p>
            <w:pPr>
              <w:widowControl/>
              <w:jc w:val="both"/>
              <w:rPr>
                <w:rFonts w:hint="eastAsia"/>
                <w:lang w:val="en-US" w:eastAsia="zh-CN"/>
              </w:rPr>
            </w:pPr>
            <w:r>
              <w:rPr>
                <w:rFonts w:hint="eastAsia"/>
                <w:lang w:val="en-US" w:eastAsia="zh-CN"/>
              </w:rPr>
              <w:t>董事会秘书：刘俊鹏</w:t>
            </w:r>
          </w:p>
          <w:p>
            <w:pPr>
              <w:pStyle w:val="3"/>
              <w:ind w:firstLine="0" w:firstLineChars="0"/>
              <w:rPr>
                <w:rFonts w:hint="default"/>
                <w:lang w:val="en-US" w:eastAsia="zh-CN"/>
              </w:rPr>
            </w:pPr>
            <w:r>
              <w:rPr>
                <w:rFonts w:hint="eastAsia" w:ascii="宋体" w:hAnsi="宋体" w:eastAsia="宋体" w:cs="宋体"/>
                <w:color w:val="000000"/>
                <w:kern w:val="0"/>
                <w:sz w:val="21"/>
                <w:szCs w:val="21"/>
                <w:lang w:val="en-US" w:eastAsia="zh-CN"/>
              </w:rPr>
              <w:t>证券事务代表：韩美月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9" w:hRule="atLeast"/>
        </w:trPr>
        <w:tc>
          <w:tcPr>
            <w:tcW w:w="2756" w:type="dxa"/>
            <w:vAlign w:val="center"/>
          </w:tcPr>
          <w:p>
            <w:pPr>
              <w:widowControl/>
              <w:jc w:val="center"/>
              <w:rPr>
                <w:rFonts w:ascii="宋体" w:hAnsi="宋体" w:eastAsia="宋体" w:cs="宋体"/>
                <w:b/>
                <w:bCs/>
                <w:kern w:val="0"/>
                <w:sz w:val="22"/>
              </w:rPr>
            </w:pPr>
            <w:r>
              <w:rPr>
                <w:rFonts w:hint="eastAsia" w:ascii="宋体" w:hAnsi="宋体" w:eastAsia="宋体" w:cs="宋体"/>
                <w:kern w:val="0"/>
                <w:sz w:val="22"/>
              </w:rPr>
              <w:t>投资者关系活动主要内容介绍</w:t>
            </w:r>
          </w:p>
        </w:tc>
        <w:tc>
          <w:tcPr>
            <w:tcW w:w="5800" w:type="dxa"/>
            <w:vAlign w:val="top"/>
          </w:tcPr>
          <w:p>
            <w:pPr>
              <w:pStyle w:val="3"/>
              <w:keepNext w:val="0"/>
              <w:keepLines w:val="0"/>
              <w:pageBreakBefore w:val="0"/>
              <w:widowControl w:val="0"/>
              <w:numPr>
                <w:ilvl w:val="0"/>
                <w:numId w:val="2"/>
              </w:numPr>
              <w:kinsoku/>
              <w:wordWrap/>
              <w:overflowPunct/>
              <w:topLinePunct w:val="0"/>
              <w:autoSpaceDN/>
              <w:bidi w:val="0"/>
              <w:ind w:left="-2" w:leftChars="0" w:firstLine="422" w:firstLineChars="0"/>
              <w:jc w:val="left"/>
              <w:textAlignment w:val="auto"/>
              <w:rPr>
                <w:rFonts w:hint="eastAsia"/>
                <w:b/>
                <w:bCs/>
                <w:lang w:val="en-US" w:eastAsia="zh-CN"/>
              </w:rPr>
            </w:pPr>
            <w:r>
              <w:rPr>
                <w:rFonts w:hint="eastAsia"/>
                <w:b/>
                <w:bCs/>
                <w:lang w:val="en-US" w:eastAsia="zh-CN"/>
              </w:rPr>
              <w:t>介绍公司2023年主要业绩情况？</w:t>
            </w:r>
          </w:p>
          <w:p>
            <w:pPr>
              <w:pStyle w:val="3"/>
              <w:keepNext w:val="0"/>
              <w:keepLines w:val="0"/>
              <w:pageBreakBefore w:val="0"/>
              <w:widowControl w:val="0"/>
              <w:numPr>
                <w:ilvl w:val="-1"/>
                <w:numId w:val="0"/>
              </w:numPr>
              <w:kinsoku/>
              <w:wordWrap/>
              <w:overflowPunct/>
              <w:topLinePunct w:val="0"/>
              <w:autoSpaceDN/>
              <w:bidi w:val="0"/>
              <w:ind w:leftChars="0" w:firstLine="420" w:firstLineChars="200"/>
              <w:jc w:val="left"/>
              <w:textAlignment w:val="auto"/>
              <w:rPr>
                <w:rFonts w:hint="eastAsia" w:eastAsiaTheme="minorEastAsia"/>
                <w:b w:val="0"/>
                <w:bCs w:val="0"/>
                <w:lang w:val="en-US" w:eastAsia="zh-CN"/>
              </w:rPr>
            </w:pPr>
            <w:r>
              <w:rPr>
                <w:rFonts w:hint="eastAsia"/>
                <w:b w:val="0"/>
                <w:bCs w:val="0"/>
              </w:rPr>
              <w:t>报告期内，公司收入保持持续增长态势，实现营业收入79,812.83万元，较上年同期增长18.90%；通过深化降本增效，报告期内综合毛利率为34.89%，较去年同期增加2.93个百分点；归属于母公司所有者的净利润4,153.35万元，较上年同期增长48.37%；归属于母公司所有者的扣除非经常性损益的净利润2,746.32万元，较上年同期增长429.44%。本年度公司总研发投入10,078.75万元，较去年同期增长15.32%，占公司营业收入比例12.63%。在新业务领域，公司持续加大投入，水利及轨道交通领域2023年度分别实现主营业务收入4,916.52万元、1,590.44万元，较去年同期增长962.18%、11,203.14%，实现业绩突破。</w:t>
            </w:r>
            <w:r>
              <w:rPr>
                <w:rFonts w:hint="eastAsia"/>
                <w:b w:val="0"/>
                <w:bCs w:val="0"/>
                <w:lang w:val="en-US" w:eastAsia="zh-CN"/>
              </w:rPr>
              <w:t>2023年</w:t>
            </w:r>
            <w:r>
              <w:rPr>
                <w:rFonts w:hint="eastAsia"/>
                <w:b w:val="0"/>
                <w:bCs w:val="0"/>
              </w:rPr>
              <w:t>股份支付</w:t>
            </w:r>
            <w:r>
              <w:rPr>
                <w:rFonts w:hint="eastAsia"/>
                <w:b w:val="0"/>
                <w:bCs w:val="0"/>
                <w:lang w:val="en-US" w:eastAsia="zh-CN"/>
              </w:rPr>
              <w:t>金额为</w:t>
            </w:r>
            <w:r>
              <w:rPr>
                <w:rFonts w:hint="eastAsia"/>
                <w:b w:val="0"/>
                <w:bCs w:val="0"/>
              </w:rPr>
              <w:t>1,650.55万元</w:t>
            </w:r>
            <w:r>
              <w:rPr>
                <w:rFonts w:hint="eastAsia"/>
                <w:b w:val="0"/>
                <w:bCs w:val="0"/>
                <w:lang w:eastAsia="zh-CN"/>
              </w:rPr>
              <w:t>。</w:t>
            </w:r>
          </w:p>
          <w:p>
            <w:pPr>
              <w:pStyle w:val="3"/>
              <w:keepNext w:val="0"/>
              <w:keepLines w:val="0"/>
              <w:pageBreakBefore w:val="0"/>
              <w:widowControl w:val="0"/>
              <w:numPr>
                <w:ilvl w:val="0"/>
                <w:numId w:val="2"/>
              </w:numPr>
              <w:kinsoku/>
              <w:wordWrap/>
              <w:overflowPunct/>
              <w:topLinePunct w:val="0"/>
              <w:autoSpaceDN/>
              <w:bidi w:val="0"/>
              <w:ind w:left="0" w:leftChars="0" w:firstLine="422" w:firstLineChars="200"/>
              <w:jc w:val="left"/>
              <w:textAlignment w:val="auto"/>
              <w:rPr>
                <w:rFonts w:hint="eastAsia"/>
                <w:b/>
                <w:bCs/>
                <w:lang w:val="en-US" w:eastAsia="zh-CN"/>
              </w:rPr>
            </w:pPr>
            <w:r>
              <w:rPr>
                <w:rFonts w:hint="eastAsia"/>
                <w:b/>
                <w:bCs/>
                <w:lang w:val="en-US" w:eastAsia="zh-CN"/>
              </w:rPr>
              <w:t>公司目前收入结构情况？</w:t>
            </w:r>
          </w:p>
          <w:p>
            <w:pPr>
              <w:pStyle w:val="3"/>
              <w:keepNext w:val="0"/>
              <w:keepLines w:val="0"/>
              <w:pageBreakBefore w:val="0"/>
              <w:widowControl w:val="0"/>
              <w:numPr>
                <w:ilvl w:val="-1"/>
                <w:numId w:val="0"/>
              </w:numPr>
              <w:kinsoku/>
              <w:wordWrap/>
              <w:overflowPunct/>
              <w:topLinePunct w:val="0"/>
              <w:autoSpaceDN/>
              <w:bidi w:val="0"/>
              <w:ind w:leftChars="0" w:firstLine="420" w:firstLineChars="200"/>
              <w:jc w:val="left"/>
              <w:textAlignment w:val="auto"/>
              <w:rPr>
                <w:rFonts w:hint="eastAsia"/>
                <w:b w:val="0"/>
                <w:bCs w:val="0"/>
                <w:lang w:val="en-US" w:eastAsia="zh-CN"/>
              </w:rPr>
            </w:pPr>
            <w:r>
              <w:rPr>
                <w:rFonts w:hint="eastAsia"/>
                <w:b w:val="0"/>
                <w:bCs w:val="0"/>
                <w:lang w:val="en-US" w:eastAsia="zh-CN"/>
              </w:rPr>
              <w:t>2023年度，电力行业收入占比为91.82%仍为公司主要收入来源。水利行业和轨道交通行业收入合计占比8.18%，较上年同期占比0.71%大幅增加，新业务领域业务逐步提升。</w:t>
            </w:r>
          </w:p>
          <w:p>
            <w:pPr>
              <w:pStyle w:val="3"/>
              <w:keepNext w:val="0"/>
              <w:keepLines w:val="0"/>
              <w:pageBreakBefore w:val="0"/>
              <w:widowControl w:val="0"/>
              <w:numPr>
                <w:ilvl w:val="0"/>
                <w:numId w:val="2"/>
              </w:numPr>
              <w:kinsoku/>
              <w:wordWrap/>
              <w:overflowPunct/>
              <w:topLinePunct w:val="0"/>
              <w:autoSpaceDN/>
              <w:bidi w:val="0"/>
              <w:ind w:left="-2" w:leftChars="0" w:firstLine="422" w:firstLineChars="0"/>
              <w:jc w:val="left"/>
              <w:textAlignment w:val="auto"/>
              <w:rPr>
                <w:rFonts w:hint="eastAsia"/>
                <w:b/>
                <w:bCs/>
                <w:lang w:val="en-US" w:eastAsia="zh-CN"/>
              </w:rPr>
            </w:pPr>
            <w:r>
              <w:rPr>
                <w:rFonts w:hint="eastAsia"/>
                <w:b/>
                <w:bCs/>
                <w:lang w:val="en-US" w:eastAsia="zh-CN"/>
              </w:rPr>
              <w:t>毛利率水平情况？</w:t>
            </w:r>
          </w:p>
          <w:p>
            <w:pPr>
              <w:pStyle w:val="3"/>
              <w:keepNext w:val="0"/>
              <w:keepLines w:val="0"/>
              <w:pageBreakBefore w:val="0"/>
              <w:widowControl w:val="0"/>
              <w:numPr>
                <w:ilvl w:val="-1"/>
                <w:numId w:val="0"/>
              </w:numPr>
              <w:kinsoku/>
              <w:wordWrap/>
              <w:overflowPunct/>
              <w:topLinePunct w:val="0"/>
              <w:autoSpaceDN/>
              <w:bidi w:val="0"/>
              <w:ind w:leftChars="0" w:firstLine="420" w:firstLineChars="200"/>
              <w:jc w:val="left"/>
              <w:textAlignment w:val="auto"/>
              <w:rPr>
                <w:rFonts w:hint="default" w:eastAsiaTheme="minorEastAsia"/>
                <w:b/>
                <w:bCs/>
                <w:lang w:val="en-US" w:eastAsia="zh-CN"/>
              </w:rPr>
            </w:pPr>
            <w:r>
              <w:rPr>
                <w:rFonts w:hint="eastAsia"/>
                <w:sz w:val="21"/>
                <w:szCs w:val="21"/>
                <w:lang w:val="en-US" w:eastAsia="zh-CN"/>
              </w:rPr>
              <w:t>2023年度公司</w:t>
            </w:r>
            <w:r>
              <w:rPr>
                <w:rFonts w:hint="eastAsia"/>
                <w:sz w:val="21"/>
                <w:szCs w:val="21"/>
              </w:rPr>
              <w:t>综合毛利率为34.8</w:t>
            </w:r>
            <w:r>
              <w:rPr>
                <w:sz w:val="21"/>
                <w:szCs w:val="21"/>
              </w:rPr>
              <w:t>9</w:t>
            </w:r>
            <w:r>
              <w:rPr>
                <w:rFonts w:hint="eastAsia"/>
                <w:sz w:val="21"/>
                <w:szCs w:val="21"/>
              </w:rPr>
              <w:t>%，较去年同期增加2</w:t>
            </w:r>
            <w:r>
              <w:rPr>
                <w:sz w:val="21"/>
                <w:szCs w:val="21"/>
              </w:rPr>
              <w:t>.93</w:t>
            </w:r>
            <w:r>
              <w:rPr>
                <w:rFonts w:hint="eastAsia"/>
                <w:sz w:val="21"/>
                <w:szCs w:val="21"/>
              </w:rPr>
              <w:t>个百分点；</w:t>
            </w:r>
            <w:r>
              <w:rPr>
                <w:rFonts w:hint="eastAsia"/>
                <w:sz w:val="21"/>
                <w:szCs w:val="21"/>
                <w:lang w:val="en-US" w:eastAsia="zh-CN"/>
              </w:rPr>
              <w:t>其中电力行业毛利率34.28%、水利行业毛利率47.81%、轨道交通行业毛利率30.08%。目前公司的新业务领域收入规模较小，少数项目的毛利率水平不具备客观性，后续毛利率水平请以实际数据为准。</w:t>
            </w:r>
          </w:p>
          <w:p>
            <w:pPr>
              <w:pStyle w:val="3"/>
              <w:keepNext w:val="0"/>
              <w:keepLines w:val="0"/>
              <w:pageBreakBefore w:val="0"/>
              <w:widowControl w:val="0"/>
              <w:numPr>
                <w:ilvl w:val="0"/>
                <w:numId w:val="2"/>
              </w:numPr>
              <w:kinsoku/>
              <w:wordWrap/>
              <w:overflowPunct/>
              <w:topLinePunct w:val="0"/>
              <w:autoSpaceDN/>
              <w:bidi w:val="0"/>
              <w:ind w:left="-2" w:leftChars="0" w:firstLine="422" w:firstLineChars="0"/>
              <w:jc w:val="left"/>
              <w:textAlignment w:val="auto"/>
              <w:rPr>
                <w:rFonts w:hint="eastAsia"/>
                <w:b/>
                <w:bCs/>
                <w:lang w:val="en-US" w:eastAsia="zh-CN"/>
              </w:rPr>
            </w:pPr>
            <w:r>
              <w:rPr>
                <w:rFonts w:hint="eastAsia"/>
                <w:b/>
                <w:bCs/>
                <w:lang w:val="en-US" w:eastAsia="zh-CN"/>
              </w:rPr>
              <w:t>新领域拓展的底层技术复用性？</w:t>
            </w:r>
          </w:p>
          <w:p>
            <w:pPr>
              <w:pStyle w:val="3"/>
              <w:keepNext w:val="0"/>
              <w:keepLines w:val="0"/>
              <w:pageBreakBefore w:val="0"/>
              <w:widowControl w:val="0"/>
              <w:numPr>
                <w:ilvl w:val="-1"/>
                <w:numId w:val="0"/>
              </w:numPr>
              <w:kinsoku/>
              <w:wordWrap/>
              <w:overflowPunct/>
              <w:topLinePunct w:val="0"/>
              <w:autoSpaceDN/>
              <w:bidi w:val="0"/>
              <w:ind w:leftChars="0" w:firstLine="420" w:firstLineChars="200"/>
              <w:jc w:val="left"/>
              <w:textAlignment w:val="auto"/>
              <w:rPr>
                <w:rFonts w:hint="eastAsia"/>
                <w:b w:val="0"/>
                <w:bCs w:val="0"/>
                <w:lang w:val="en-US" w:eastAsia="zh-CN"/>
              </w:rPr>
            </w:pPr>
            <w:r>
              <w:rPr>
                <w:rFonts w:hint="eastAsia"/>
                <w:b w:val="0"/>
                <w:bCs w:val="0"/>
                <w:lang w:val="en-US" w:eastAsia="zh-CN"/>
              </w:rPr>
              <w:t>公司主要业务聚焦于行业智能运维领域，其产品方案在底层技术上是具备复用性，公司目前拓展的业务领域都属于国家重要基础设施建设领域，对巡检效率及安全稳定运行具有较高的要求，在原有技术基础上，公司会根据行业的场景和要求的不同对产品方案进行改进、适配和研发。</w:t>
            </w:r>
          </w:p>
          <w:p>
            <w:pPr>
              <w:pStyle w:val="3"/>
              <w:keepNext w:val="0"/>
              <w:keepLines w:val="0"/>
              <w:pageBreakBefore w:val="0"/>
              <w:widowControl w:val="0"/>
              <w:numPr>
                <w:ilvl w:val="0"/>
                <w:numId w:val="2"/>
              </w:numPr>
              <w:kinsoku/>
              <w:wordWrap/>
              <w:overflowPunct/>
              <w:topLinePunct w:val="0"/>
              <w:autoSpaceDN/>
              <w:bidi w:val="0"/>
              <w:ind w:left="-2" w:leftChars="0" w:firstLine="422" w:firstLineChars="0"/>
              <w:jc w:val="left"/>
              <w:textAlignment w:val="auto"/>
              <w:rPr>
                <w:rFonts w:hint="eastAsia"/>
                <w:b/>
                <w:bCs/>
                <w:lang w:val="en-US" w:eastAsia="zh-CN"/>
              </w:rPr>
            </w:pPr>
            <w:r>
              <w:rPr>
                <w:rFonts w:hint="eastAsia"/>
                <w:b/>
                <w:bCs/>
                <w:lang w:val="en-US" w:eastAsia="zh-CN"/>
              </w:rPr>
              <w:t>新业务领域未来发展趋势？</w:t>
            </w:r>
          </w:p>
          <w:p>
            <w:pPr>
              <w:pStyle w:val="3"/>
              <w:keepNext w:val="0"/>
              <w:keepLines w:val="0"/>
              <w:pageBreakBefore w:val="0"/>
              <w:widowControl w:val="0"/>
              <w:numPr>
                <w:ilvl w:val="-1"/>
                <w:numId w:val="0"/>
              </w:numPr>
              <w:kinsoku/>
              <w:wordWrap/>
              <w:overflowPunct/>
              <w:topLinePunct w:val="0"/>
              <w:autoSpaceDN/>
              <w:bidi w:val="0"/>
              <w:ind w:leftChars="0" w:firstLine="420" w:firstLineChars="200"/>
              <w:jc w:val="left"/>
              <w:textAlignment w:val="auto"/>
              <w:rPr>
                <w:rFonts w:hint="eastAsia"/>
                <w:color w:val="auto"/>
              </w:rPr>
            </w:pPr>
            <w:r>
              <w:rPr>
                <w:rFonts w:hint="eastAsia"/>
                <w:color w:val="auto"/>
                <w:lang w:val="en-US" w:eastAsia="zh-CN"/>
              </w:rPr>
              <w:t>水利领域：</w:t>
            </w:r>
            <w:r>
              <w:rPr>
                <w:rFonts w:hint="eastAsia"/>
                <w:color w:val="auto"/>
              </w:rPr>
              <w:t>2021年开始，水利部先后出台了《关于大力推进智慧水利建设的指导意见》《智慧水利建设顶层设计》《“十四五”智慧水利建设规划》《“十四五”期间推进智慧水利建设实施方案》《国家水网建设规划纲要》等系列文件，明确了推进智慧水利建设的时间表、路线图、任务书、责任单。2023年5月，中共中央国务院印发《国家水网建设规划纲要》并提出：到2035年，基本形成国家水网总体格局，国家水网主骨架和大动脉逐步建成，省市县水网基本完善，构建与基本实现社会主义现代化相适应的国家水安全保障</w:t>
            </w:r>
            <w:r>
              <w:rPr>
                <w:rFonts w:hint="eastAsia"/>
                <w:color w:val="auto"/>
                <w:lang w:val="en-US" w:eastAsia="zh-CN"/>
              </w:rPr>
              <w:t>体系</w:t>
            </w:r>
            <w:r>
              <w:rPr>
                <w:rFonts w:hint="eastAsia"/>
                <w:color w:val="auto"/>
              </w:rPr>
              <w:t>。</w:t>
            </w:r>
          </w:p>
          <w:p>
            <w:pPr>
              <w:pStyle w:val="3"/>
              <w:keepNext w:val="0"/>
              <w:keepLines w:val="0"/>
              <w:pageBreakBefore w:val="0"/>
              <w:widowControl w:val="0"/>
              <w:numPr>
                <w:ilvl w:val="-1"/>
                <w:numId w:val="0"/>
              </w:numPr>
              <w:kinsoku/>
              <w:wordWrap/>
              <w:overflowPunct/>
              <w:topLinePunct w:val="0"/>
              <w:autoSpaceDN/>
              <w:bidi w:val="0"/>
              <w:ind w:leftChars="0" w:firstLine="420" w:firstLineChars="200"/>
              <w:jc w:val="left"/>
              <w:textAlignment w:val="auto"/>
              <w:rPr>
                <w:rFonts w:hint="eastAsia"/>
                <w:color w:val="auto"/>
                <w:sz w:val="21"/>
                <w:szCs w:val="21"/>
              </w:rPr>
            </w:pPr>
            <w:r>
              <w:rPr>
                <w:rFonts w:hint="eastAsia"/>
                <w:color w:val="auto"/>
              </w:rPr>
              <w:t>目前水利行业处于信息化基础建设阶段，急需提升数字化、智慧化水平。预计到2025年，水利行业信息化将以“2+N”整体架构体系，与数字模型、水利模型、智慧使能深度融合，建立预报、预警、预演、预案“四预”体系的水利行业数字化平台，提升基础设施、信息资源、支撑组件及业务系统的应用水平。</w:t>
            </w:r>
            <w:r>
              <w:rPr>
                <w:rFonts w:hint="eastAsia"/>
                <w:color w:val="auto"/>
                <w:sz w:val="21"/>
                <w:szCs w:val="21"/>
              </w:rPr>
              <w:t>2023年，IDC发布的《中国智慧水利市场分析与领导者实践，2023》显示：目前水利行业的数字化投资占比保持在1%~2%，在相关政策和项目的推动下，未来几年将进入信息化投资加速周期，预计</w:t>
            </w:r>
            <w:r>
              <w:rPr>
                <w:color w:val="auto"/>
                <w:sz w:val="21"/>
                <w:szCs w:val="21"/>
              </w:rPr>
              <w:t>2025年投资占比达到2.2%，届时数字化投资比重上升会带来每年超200亿元规模的智慧水利市场空间。</w:t>
            </w:r>
            <w:r>
              <w:rPr>
                <w:color w:val="auto"/>
                <w:sz w:val="21"/>
                <w:szCs w:val="21"/>
                <w:shd w:val="clear" w:color="auto" w:fill="FFFFFF"/>
              </w:rPr>
              <w:t>2024年全国水利工作会议提到，2023年全年落实水利建设投资12238亿元，</w:t>
            </w:r>
            <w:r>
              <w:rPr>
                <w:rFonts w:hint="eastAsia"/>
                <w:color w:val="auto"/>
                <w:sz w:val="21"/>
                <w:szCs w:val="21"/>
              </w:rPr>
              <w:t>完成水利建设投资11996亿元，创历史最高纪录。</w:t>
            </w:r>
          </w:p>
          <w:p>
            <w:pPr>
              <w:pStyle w:val="3"/>
              <w:numPr>
                <w:ilvl w:val="-1"/>
                <w:numId w:val="0"/>
              </w:numPr>
              <w:ind w:firstLine="420" w:firstLineChars="200"/>
              <w:rPr>
                <w:rFonts w:hint="eastAsia"/>
                <w:sz w:val="21"/>
                <w:szCs w:val="21"/>
              </w:rPr>
            </w:pPr>
            <w:r>
              <w:rPr>
                <w:rFonts w:hint="eastAsia"/>
                <w:lang w:val="en-US" w:eastAsia="zh-CN"/>
              </w:rPr>
              <w:t>轨道交通领域：</w:t>
            </w:r>
            <w:r>
              <w:rPr>
                <w:rFonts w:hint="default"/>
                <w:lang w:val="en-US" w:eastAsia="zh-CN"/>
              </w:rPr>
              <w:t>中国铁路建设目前处于高速发展时期。2023年全国铁路完成固定资产投资7645亿元，同比增长7.5%；投产新线3637公里，其中高铁2776公里。</w:t>
            </w:r>
            <w:r>
              <w:rPr>
                <w:rFonts w:hint="eastAsia"/>
                <w:sz w:val="21"/>
                <w:szCs w:val="21"/>
              </w:rPr>
              <w:t>2022年，国铁集团发布“智能高铁2.0”发展规划，体现了“体系正向设计、全专业协同、跨行业综合、预测性分析”4个方面的代际特征，从技术体系、数据体系、标准体系等维度构建智能高铁体系架构2.0，规划了建造、装备、运营等领域智能化重点攻关任务和实施路径。2022年，国铁集团工电部研究并明确启动“铁路线路巡防生产管理系统”，印发《线路巡防生产管理系统技术要求（暂行）》，要求：“增加视频智能分析、预警功能，强化视频大数据算法功能应用，推进沿线视频自动巡查分析，降低人工巡查劳动强度”。根据《线路巡防生产管理系统技术要求（暂行）》的要求，铁路沿线需部署边缘智能分析终端，将沿线摄像机分析结果接入路局级线路巡防生产管理系统，提高智能分析效率与实时性，实现“云边协同”技术路线，线路巡防业务领域预期市场广阔。</w:t>
            </w:r>
          </w:p>
          <w:p>
            <w:pPr>
              <w:pStyle w:val="3"/>
              <w:numPr>
                <w:ilvl w:val="0"/>
                <w:numId w:val="2"/>
              </w:numPr>
              <w:ind w:left="0" w:firstLine="422" w:firstLineChars="200"/>
              <w:rPr>
                <w:rFonts w:hint="eastAsia"/>
                <w:b/>
                <w:bCs/>
                <w:sz w:val="21"/>
                <w:szCs w:val="21"/>
              </w:rPr>
            </w:pPr>
            <w:r>
              <w:rPr>
                <w:rFonts w:hint="eastAsia"/>
                <w:b/>
                <w:bCs/>
                <w:sz w:val="21"/>
                <w:szCs w:val="21"/>
                <w:lang w:val="en-US" w:eastAsia="zh-CN"/>
              </w:rPr>
              <w:t>公司与华为的合作情况？</w:t>
            </w:r>
          </w:p>
          <w:p>
            <w:pPr>
              <w:pStyle w:val="3"/>
              <w:numPr>
                <w:ilvl w:val="-1"/>
                <w:numId w:val="0"/>
              </w:numPr>
              <w:ind w:left="0" w:leftChars="0" w:firstLine="420" w:firstLineChars="200"/>
              <w:rPr>
                <w:rFonts w:hint="eastAsia"/>
                <w:sz w:val="21"/>
                <w:szCs w:val="21"/>
              </w:rPr>
            </w:pPr>
            <w:r>
              <w:rPr>
                <w:rFonts w:hint="eastAsia"/>
                <w:sz w:val="21"/>
                <w:szCs w:val="21"/>
              </w:rPr>
              <w:t>2019年，公司与华为推出了电力场景AI应用联合解决方案，公司部分产品搭载了华为Atlas200 AI加速模块，实现了该加速模块在电力行业的落地应用。同年，公司获得“2019华为开发者大赛Atlas赛道（商业组）”一等奖；2021年7月，作为华为昇腾生态体系的战略合作伙伴之一，公司受邀参加了2021世界人工智能大会（WAIC）昇腾人工智能高峰论坛。2022年6月，智洋创新与华为签署合作协议，正式加入昇腾万里合作伙伴计划。2023年，公司成为华为昇腾万里伙伴计划优选级应用软件伙伴，同年9月，公司参加了华为全联接大会。</w:t>
            </w:r>
          </w:p>
          <w:p>
            <w:pPr>
              <w:pStyle w:val="3"/>
              <w:keepNext w:val="0"/>
              <w:keepLines w:val="0"/>
              <w:pageBreakBefore w:val="0"/>
              <w:widowControl/>
              <w:numPr>
                <w:ilvl w:val="-1"/>
                <w:numId w:val="0"/>
              </w:numPr>
              <w:kinsoku/>
              <w:wordWrap/>
              <w:overflowPunct/>
              <w:topLinePunct w:val="0"/>
              <w:autoSpaceDN/>
              <w:bidi w:val="0"/>
              <w:ind w:leftChars="0" w:firstLine="420" w:firstLineChars="200"/>
              <w:jc w:val="left"/>
              <w:textAlignment w:val="auto"/>
              <w:rPr>
                <w:rFonts w:hint="eastAsia"/>
                <w:sz w:val="21"/>
                <w:szCs w:val="21"/>
              </w:rPr>
            </w:pPr>
            <w:r>
              <w:rPr>
                <w:rFonts w:hint="eastAsia"/>
                <w:sz w:val="21"/>
                <w:szCs w:val="21"/>
              </w:rPr>
              <w:t>公司基于昇腾芯片推出</w:t>
            </w:r>
            <w:r>
              <w:rPr>
                <w:rFonts w:hint="eastAsia"/>
                <w:sz w:val="21"/>
                <w:szCs w:val="21"/>
                <w:lang w:val="en-US" w:eastAsia="zh-CN"/>
              </w:rPr>
              <w:t>的</w:t>
            </w:r>
            <w:r>
              <w:rPr>
                <w:rFonts w:hint="eastAsia"/>
                <w:sz w:val="21"/>
                <w:szCs w:val="21"/>
              </w:rPr>
              <w:t>输电智能可视化终端及边缘智能计算终端，内置公司自研行业巡检算法和软件平台，</w:t>
            </w:r>
            <w:r>
              <w:rPr>
                <w:rFonts w:hint="eastAsia"/>
                <w:sz w:val="21"/>
                <w:szCs w:val="21"/>
                <w:lang w:val="en-US" w:eastAsia="zh-CN"/>
              </w:rPr>
              <w:t>目前已通过公司为</w:t>
            </w:r>
            <w:r>
              <w:rPr>
                <w:rFonts w:hint="eastAsia"/>
                <w:sz w:val="21"/>
                <w:szCs w:val="21"/>
              </w:rPr>
              <w:t>输电、变电和轨道交通行业客户提供</w:t>
            </w:r>
            <w:r>
              <w:rPr>
                <w:rFonts w:hint="eastAsia"/>
                <w:sz w:val="21"/>
                <w:szCs w:val="21"/>
                <w:lang w:val="en-US" w:eastAsia="zh-CN"/>
              </w:rPr>
              <w:t>的</w:t>
            </w:r>
            <w:r>
              <w:rPr>
                <w:rFonts w:hint="eastAsia"/>
                <w:sz w:val="21"/>
                <w:szCs w:val="21"/>
              </w:rPr>
              <w:t>智能巡视解决方案</w:t>
            </w:r>
            <w:r>
              <w:rPr>
                <w:rFonts w:hint="eastAsia"/>
                <w:sz w:val="21"/>
                <w:szCs w:val="21"/>
                <w:lang w:eastAsia="zh-CN"/>
              </w:rPr>
              <w:t>，</w:t>
            </w:r>
            <w:r>
              <w:rPr>
                <w:rFonts w:hint="eastAsia"/>
                <w:sz w:val="21"/>
                <w:szCs w:val="21"/>
                <w:lang w:val="en-US" w:eastAsia="zh-CN"/>
              </w:rPr>
              <w:t>实</w:t>
            </w:r>
            <w:r>
              <w:rPr>
                <w:rFonts w:hint="eastAsia"/>
                <w:sz w:val="21"/>
                <w:szCs w:val="21"/>
              </w:rPr>
              <w:t>现行业落地应用。</w:t>
            </w:r>
          </w:p>
          <w:p>
            <w:pPr>
              <w:pStyle w:val="3"/>
              <w:numPr>
                <w:ilvl w:val="-1"/>
                <w:numId w:val="0"/>
              </w:numPr>
              <w:ind w:left="210" w:firstLine="211" w:firstLineChars="100"/>
              <w:rPr>
                <w:rFonts w:hint="default"/>
                <w:b/>
                <w:bCs/>
                <w:sz w:val="21"/>
                <w:szCs w:val="21"/>
                <w:lang w:val="en-US" w:eastAsia="zh-CN"/>
              </w:rPr>
            </w:pPr>
            <w:r>
              <w:rPr>
                <w:rFonts w:hint="eastAsia"/>
                <w:b/>
                <w:bCs/>
                <w:sz w:val="21"/>
                <w:szCs w:val="21"/>
                <w:lang w:val="en-US" w:eastAsia="zh-CN"/>
              </w:rPr>
              <w:t>7、</w:t>
            </w:r>
            <w:r>
              <w:rPr>
                <w:rFonts w:hint="default"/>
                <w:b/>
                <w:bCs/>
                <w:sz w:val="21"/>
                <w:szCs w:val="21"/>
                <w:lang w:val="en-US" w:eastAsia="zh-CN"/>
              </w:rPr>
              <w:t>研发费用情况及未来研发人员招聘规划？</w:t>
            </w:r>
          </w:p>
          <w:p>
            <w:pPr>
              <w:pStyle w:val="3"/>
              <w:numPr>
                <w:ilvl w:val="-1"/>
                <w:numId w:val="0"/>
              </w:numPr>
              <w:ind w:firstLine="420" w:firstLineChars="200"/>
              <w:rPr>
                <w:rFonts w:hint="default"/>
                <w:sz w:val="21"/>
                <w:szCs w:val="21"/>
                <w:lang w:val="en-US" w:eastAsia="zh-CN"/>
              </w:rPr>
            </w:pPr>
            <w:r>
              <w:rPr>
                <w:rFonts w:hint="default"/>
                <w:sz w:val="21"/>
                <w:szCs w:val="21"/>
                <w:lang w:val="en-US" w:eastAsia="zh-CN"/>
              </w:rPr>
              <w:t>公司2023年度研发费用10,078.75万元，较上年同期增长15.32%，占营业收入的比重为12.63%，主要原因报告期内，公司持续加大研发高端人才的引进，与之相关薪酬等相关费用随之增长所致。今年公司人员招聘政策趋向于人员结构的优化，更倾向于高精尖人才的引进。</w:t>
            </w:r>
          </w:p>
          <w:p>
            <w:pPr>
              <w:pStyle w:val="3"/>
              <w:numPr>
                <w:ilvl w:val="-1"/>
                <w:numId w:val="0"/>
              </w:numPr>
              <w:ind w:firstLine="422" w:firstLineChars="200"/>
              <w:rPr>
                <w:rFonts w:hint="default"/>
                <w:b/>
                <w:bCs/>
                <w:sz w:val="21"/>
                <w:szCs w:val="21"/>
                <w:lang w:val="en-US" w:eastAsia="zh-CN"/>
              </w:rPr>
            </w:pPr>
            <w:r>
              <w:rPr>
                <w:rFonts w:hint="eastAsia"/>
                <w:b/>
                <w:bCs/>
                <w:sz w:val="21"/>
                <w:szCs w:val="21"/>
                <w:lang w:val="en-US" w:eastAsia="zh-CN"/>
              </w:rPr>
              <w:t>8</w:t>
            </w:r>
            <w:r>
              <w:rPr>
                <w:rFonts w:hint="default"/>
                <w:b/>
                <w:bCs/>
                <w:sz w:val="21"/>
                <w:szCs w:val="21"/>
                <w:lang w:val="en-US" w:eastAsia="zh-CN"/>
              </w:rPr>
              <w:t>、公司在研发的垂直领域的模型与大模型的应用关系是怎么样？</w:t>
            </w:r>
          </w:p>
          <w:p>
            <w:pPr>
              <w:pStyle w:val="3"/>
              <w:numPr>
                <w:ilvl w:val="-1"/>
                <w:numId w:val="0"/>
              </w:numPr>
              <w:ind w:firstLine="420" w:firstLineChars="200"/>
              <w:rPr>
                <w:rFonts w:hint="default"/>
                <w:sz w:val="21"/>
                <w:szCs w:val="21"/>
                <w:lang w:val="en-US" w:eastAsia="zh-CN"/>
              </w:rPr>
            </w:pPr>
            <w:r>
              <w:rPr>
                <w:rFonts w:hint="default"/>
                <w:szCs w:val="21"/>
              </w:rPr>
              <w:t>基于</w:t>
            </w:r>
            <w:r>
              <w:rPr>
                <w:rFonts w:hint="eastAsia"/>
                <w:szCs w:val="21"/>
                <w:lang w:val="en-US" w:eastAsia="zh-CN"/>
              </w:rPr>
              <w:t>公司的</w:t>
            </w:r>
            <w:r>
              <w:rPr>
                <w:rFonts w:hint="default"/>
                <w:szCs w:val="21"/>
              </w:rPr>
              <w:t>一站式人工智能开发平台，公司构建了完备的图像、视频、点云数据算法库及机器学习、大数据分析算法库。同时，基于电力、水利、轨道交通等垂直行业的场景需求，一站式人工智能平台集成了基于场景定制化开发的大规模语言模型和多模态大模型</w:t>
            </w:r>
            <w:r>
              <w:rPr>
                <w:rFonts w:hint="default"/>
                <w:sz w:val="21"/>
                <w:szCs w:val="21"/>
                <w:lang w:val="en-US" w:eastAsia="zh-CN"/>
              </w:rPr>
              <w:t>。</w:t>
            </w:r>
            <w:r>
              <w:rPr>
                <w:rFonts w:hint="eastAsia"/>
                <w:sz w:val="21"/>
                <w:szCs w:val="21"/>
                <w:lang w:val="en-US" w:eastAsia="zh-CN"/>
              </w:rPr>
              <w:t>报告期内，</w:t>
            </w:r>
            <w:r>
              <w:rPr>
                <w:rFonts w:hint="default"/>
                <w:szCs w:val="21"/>
              </w:rPr>
              <w:t>针对大模型技术在电力领域的场景化应用，</w:t>
            </w:r>
            <w:r>
              <w:rPr>
                <w:rFonts w:hint="eastAsia"/>
                <w:szCs w:val="21"/>
                <w:lang w:val="en-US" w:eastAsia="zh-CN"/>
              </w:rPr>
              <w:t>公司</w:t>
            </w:r>
            <w:r>
              <w:rPr>
                <w:rFonts w:hint="default"/>
                <w:szCs w:val="21"/>
              </w:rPr>
              <w:t>进行了技术探索研究，启动了产品化落地开发工作。</w:t>
            </w:r>
          </w:p>
          <w:p>
            <w:pPr>
              <w:pStyle w:val="3"/>
              <w:numPr>
                <w:ilvl w:val="-1"/>
                <w:numId w:val="0"/>
              </w:numPr>
              <w:ind w:firstLine="422" w:firstLineChars="200"/>
              <w:rPr>
                <w:rFonts w:hint="default"/>
                <w:b/>
                <w:bCs/>
                <w:sz w:val="21"/>
                <w:szCs w:val="21"/>
                <w:lang w:val="en-US" w:eastAsia="zh-CN"/>
              </w:rPr>
            </w:pPr>
            <w:r>
              <w:rPr>
                <w:rFonts w:hint="eastAsia"/>
                <w:b/>
                <w:bCs/>
                <w:sz w:val="21"/>
                <w:szCs w:val="21"/>
                <w:lang w:val="en-US" w:eastAsia="zh-CN"/>
              </w:rPr>
              <w:t>9</w:t>
            </w:r>
            <w:r>
              <w:rPr>
                <w:rFonts w:hint="default"/>
                <w:b/>
                <w:bCs/>
                <w:sz w:val="21"/>
                <w:szCs w:val="21"/>
                <w:lang w:val="en-US" w:eastAsia="zh-CN"/>
              </w:rPr>
              <w:t>、公司业务拓展情况？</w:t>
            </w:r>
          </w:p>
          <w:p>
            <w:pPr>
              <w:pStyle w:val="3"/>
              <w:numPr>
                <w:ilvl w:val="-1"/>
                <w:numId w:val="0"/>
              </w:numPr>
              <w:ind w:firstLine="420" w:firstLineChars="200"/>
              <w:rPr>
                <w:rFonts w:hint="default"/>
                <w:sz w:val="21"/>
                <w:szCs w:val="21"/>
                <w:lang w:val="en-US" w:eastAsia="zh-CN"/>
              </w:rPr>
            </w:pPr>
            <w:r>
              <w:rPr>
                <w:rFonts w:hint="default"/>
                <w:sz w:val="21"/>
                <w:szCs w:val="21"/>
                <w:lang w:val="en-US" w:eastAsia="zh-CN"/>
              </w:rPr>
              <w:t>除港澳台等地区外，公司业务已基本实现全国覆盖，包括了西藏、青海、新疆、宁夏等欠发达地区。</w:t>
            </w:r>
            <w:r>
              <w:rPr>
                <w:rFonts w:hint="default"/>
                <w:sz w:val="21"/>
                <w:szCs w:val="21"/>
                <w:highlight w:val="none"/>
                <w:lang w:val="en-US" w:eastAsia="zh-CN"/>
              </w:rPr>
              <w:t>自2017年至2023年，山东省收入占比由43.82%逐年降低至</w:t>
            </w:r>
            <w:r>
              <w:rPr>
                <w:rFonts w:hint="eastAsia"/>
                <w:sz w:val="21"/>
                <w:szCs w:val="21"/>
                <w:highlight w:val="none"/>
                <w:lang w:val="en-US" w:eastAsia="zh-CN"/>
              </w:rPr>
              <w:t>21.50</w:t>
            </w:r>
            <w:r>
              <w:rPr>
                <w:rFonts w:hint="default"/>
                <w:sz w:val="21"/>
                <w:szCs w:val="21"/>
                <w:highlight w:val="none"/>
                <w:lang w:val="en-US" w:eastAsia="zh-CN"/>
              </w:rPr>
              <w:t>%，河北、</w:t>
            </w:r>
            <w:r>
              <w:rPr>
                <w:rFonts w:hint="eastAsia"/>
                <w:sz w:val="21"/>
                <w:szCs w:val="21"/>
                <w:highlight w:val="none"/>
                <w:lang w:val="en-US" w:eastAsia="zh-CN"/>
              </w:rPr>
              <w:t>江苏、安徽</w:t>
            </w:r>
            <w:r>
              <w:rPr>
                <w:rFonts w:hint="default"/>
                <w:sz w:val="21"/>
                <w:szCs w:val="21"/>
                <w:highlight w:val="none"/>
                <w:lang w:val="en-US" w:eastAsia="zh-CN"/>
              </w:rPr>
              <w:t>等山东省外区域的营收稳步上升。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756" w:type="dxa"/>
            <w:vAlign w:val="center"/>
          </w:tcPr>
          <w:p>
            <w:pPr>
              <w:widowControl/>
              <w:jc w:val="center"/>
              <w:rPr>
                <w:rFonts w:ascii="宋体" w:hAnsi="宋体" w:eastAsia="宋体" w:cs="宋体"/>
                <w:kern w:val="0"/>
                <w:sz w:val="22"/>
              </w:rPr>
            </w:pPr>
            <w:r>
              <w:rPr>
                <w:rFonts w:hint="eastAsia" w:ascii="宋体" w:hAnsi="宋体" w:eastAsia="宋体" w:cs="宋体"/>
                <w:color w:val="000000"/>
                <w:kern w:val="0"/>
                <w:sz w:val="22"/>
              </w:rPr>
              <w:t>附件清单（如有）</w:t>
            </w:r>
          </w:p>
        </w:tc>
        <w:tc>
          <w:tcPr>
            <w:tcW w:w="5800" w:type="dxa"/>
            <w:vAlign w:val="center"/>
          </w:tcPr>
          <w:p>
            <w:pPr>
              <w:widowControl/>
              <w:jc w:val="left"/>
              <w:rPr>
                <w:rFonts w:ascii="宋体" w:hAnsi="宋体" w:eastAsia="宋体" w:cs="宋体"/>
                <w:kern w:val="0"/>
                <w:sz w:val="22"/>
              </w:rPr>
            </w:pPr>
            <w:r>
              <w:rPr>
                <w:rFonts w:hint="eastAsia" w:ascii="宋体" w:hAnsi="宋体" w:eastAsia="宋体" w:cs="宋体"/>
                <w:color w:val="000000"/>
                <w:kern w:val="0"/>
                <w:sz w:val="22"/>
              </w:rPr>
              <w:t>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07A715"/>
    <w:multiLevelType w:val="singleLevel"/>
    <w:tmpl w:val="EA07A715"/>
    <w:lvl w:ilvl="0" w:tentative="0">
      <w:start w:val="1"/>
      <w:numFmt w:val="decimal"/>
      <w:suff w:val="nothing"/>
      <w:lvlText w:val="%1、"/>
      <w:lvlJc w:val="left"/>
      <w:pPr>
        <w:ind w:left="-2"/>
      </w:pPr>
    </w:lvl>
  </w:abstractNum>
  <w:abstractNum w:abstractNumId="1">
    <w:nsid w:val="EBCBE607"/>
    <w:multiLevelType w:val="singleLevel"/>
    <w:tmpl w:val="EBCBE60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4MWZjMDQ1MWU4NDFkMTRlODc2MzY4OGE5MTgwZWMifQ=="/>
  </w:docVars>
  <w:rsids>
    <w:rsidRoot w:val="00172A27"/>
    <w:rsid w:val="00437DB0"/>
    <w:rsid w:val="007963DE"/>
    <w:rsid w:val="009F2CF0"/>
    <w:rsid w:val="00C20653"/>
    <w:rsid w:val="010A1B1D"/>
    <w:rsid w:val="013F35C7"/>
    <w:rsid w:val="016F222E"/>
    <w:rsid w:val="021D3B2B"/>
    <w:rsid w:val="02227CFD"/>
    <w:rsid w:val="0264185F"/>
    <w:rsid w:val="02701533"/>
    <w:rsid w:val="02B13BC6"/>
    <w:rsid w:val="02C72BF4"/>
    <w:rsid w:val="03463684"/>
    <w:rsid w:val="03A26EFC"/>
    <w:rsid w:val="03F01827"/>
    <w:rsid w:val="03FE37A0"/>
    <w:rsid w:val="04E00A6D"/>
    <w:rsid w:val="04F05A45"/>
    <w:rsid w:val="05435F87"/>
    <w:rsid w:val="05437A4D"/>
    <w:rsid w:val="059D36F5"/>
    <w:rsid w:val="05D26539"/>
    <w:rsid w:val="05D9297D"/>
    <w:rsid w:val="07097292"/>
    <w:rsid w:val="07460ABA"/>
    <w:rsid w:val="078F6F30"/>
    <w:rsid w:val="07A27123"/>
    <w:rsid w:val="07AC7BD4"/>
    <w:rsid w:val="07C7513E"/>
    <w:rsid w:val="08616FEA"/>
    <w:rsid w:val="08EE736F"/>
    <w:rsid w:val="08F62613"/>
    <w:rsid w:val="08F874F0"/>
    <w:rsid w:val="09094DDA"/>
    <w:rsid w:val="09632933"/>
    <w:rsid w:val="097F1A8E"/>
    <w:rsid w:val="0A0D68E9"/>
    <w:rsid w:val="0A1107B2"/>
    <w:rsid w:val="0A44176F"/>
    <w:rsid w:val="0A4B061F"/>
    <w:rsid w:val="0A6646D7"/>
    <w:rsid w:val="0AC20E80"/>
    <w:rsid w:val="0ACA197F"/>
    <w:rsid w:val="0ACC7133"/>
    <w:rsid w:val="0AFE299F"/>
    <w:rsid w:val="0B64383C"/>
    <w:rsid w:val="0BB3573E"/>
    <w:rsid w:val="0BD62C31"/>
    <w:rsid w:val="0CDC5604"/>
    <w:rsid w:val="0D016360"/>
    <w:rsid w:val="0DD341C2"/>
    <w:rsid w:val="0DDA0D2C"/>
    <w:rsid w:val="0E2C57A1"/>
    <w:rsid w:val="0E636C57"/>
    <w:rsid w:val="0EC87A33"/>
    <w:rsid w:val="0ED924BE"/>
    <w:rsid w:val="0ED96309"/>
    <w:rsid w:val="0EE91861"/>
    <w:rsid w:val="0EEE3020"/>
    <w:rsid w:val="0F503A5A"/>
    <w:rsid w:val="0F5572A5"/>
    <w:rsid w:val="0F5727DE"/>
    <w:rsid w:val="0F9A02BF"/>
    <w:rsid w:val="0FAB3DE0"/>
    <w:rsid w:val="102A7E2E"/>
    <w:rsid w:val="108175CA"/>
    <w:rsid w:val="109816DF"/>
    <w:rsid w:val="10FF4C3C"/>
    <w:rsid w:val="11211562"/>
    <w:rsid w:val="112655BB"/>
    <w:rsid w:val="11332717"/>
    <w:rsid w:val="114C4F30"/>
    <w:rsid w:val="11DE7013"/>
    <w:rsid w:val="12093BAD"/>
    <w:rsid w:val="121811C9"/>
    <w:rsid w:val="12C05415"/>
    <w:rsid w:val="13032866"/>
    <w:rsid w:val="131A369D"/>
    <w:rsid w:val="136705BC"/>
    <w:rsid w:val="141166AC"/>
    <w:rsid w:val="14211F49"/>
    <w:rsid w:val="15160683"/>
    <w:rsid w:val="15417794"/>
    <w:rsid w:val="156144BC"/>
    <w:rsid w:val="1642631D"/>
    <w:rsid w:val="16612B9C"/>
    <w:rsid w:val="169F72CB"/>
    <w:rsid w:val="16BE1E47"/>
    <w:rsid w:val="177253C0"/>
    <w:rsid w:val="17DF6058"/>
    <w:rsid w:val="17ED46D0"/>
    <w:rsid w:val="182B7D2A"/>
    <w:rsid w:val="184B797D"/>
    <w:rsid w:val="18666660"/>
    <w:rsid w:val="18895C11"/>
    <w:rsid w:val="18AC0339"/>
    <w:rsid w:val="18C24271"/>
    <w:rsid w:val="19024334"/>
    <w:rsid w:val="19D4595C"/>
    <w:rsid w:val="1A123269"/>
    <w:rsid w:val="1A533D8C"/>
    <w:rsid w:val="1A981ABF"/>
    <w:rsid w:val="1AA0263F"/>
    <w:rsid w:val="1AAA2915"/>
    <w:rsid w:val="1B364D60"/>
    <w:rsid w:val="1B4D3645"/>
    <w:rsid w:val="1B7D37E0"/>
    <w:rsid w:val="1BBB78FF"/>
    <w:rsid w:val="1BCE6400"/>
    <w:rsid w:val="1C281CCA"/>
    <w:rsid w:val="1CAD5C4C"/>
    <w:rsid w:val="1CD04682"/>
    <w:rsid w:val="1D010737"/>
    <w:rsid w:val="1D032DBE"/>
    <w:rsid w:val="1D336832"/>
    <w:rsid w:val="1D342C3A"/>
    <w:rsid w:val="1DF97785"/>
    <w:rsid w:val="1E2612FC"/>
    <w:rsid w:val="1E276378"/>
    <w:rsid w:val="1EF315BA"/>
    <w:rsid w:val="1F54082A"/>
    <w:rsid w:val="1F69641E"/>
    <w:rsid w:val="1F713148"/>
    <w:rsid w:val="1FB57B5F"/>
    <w:rsid w:val="1FBF5D12"/>
    <w:rsid w:val="2020430B"/>
    <w:rsid w:val="209452FD"/>
    <w:rsid w:val="21260517"/>
    <w:rsid w:val="2165773C"/>
    <w:rsid w:val="21AA4163"/>
    <w:rsid w:val="21D56297"/>
    <w:rsid w:val="22057693"/>
    <w:rsid w:val="220B45FB"/>
    <w:rsid w:val="223360A0"/>
    <w:rsid w:val="22907E14"/>
    <w:rsid w:val="22C504CA"/>
    <w:rsid w:val="230A7776"/>
    <w:rsid w:val="233E7BBA"/>
    <w:rsid w:val="239724A4"/>
    <w:rsid w:val="2436696D"/>
    <w:rsid w:val="24486182"/>
    <w:rsid w:val="247A5BD6"/>
    <w:rsid w:val="24AA16AC"/>
    <w:rsid w:val="255013C8"/>
    <w:rsid w:val="255A6D2C"/>
    <w:rsid w:val="25BA1229"/>
    <w:rsid w:val="27215DF4"/>
    <w:rsid w:val="27397488"/>
    <w:rsid w:val="27760BB9"/>
    <w:rsid w:val="27855555"/>
    <w:rsid w:val="27A2751F"/>
    <w:rsid w:val="27EB31D8"/>
    <w:rsid w:val="28154152"/>
    <w:rsid w:val="281976B6"/>
    <w:rsid w:val="282473C7"/>
    <w:rsid w:val="28C01545"/>
    <w:rsid w:val="28CE09B0"/>
    <w:rsid w:val="29477D41"/>
    <w:rsid w:val="297B7E8B"/>
    <w:rsid w:val="299020A1"/>
    <w:rsid w:val="2A032341"/>
    <w:rsid w:val="2A0E5B0E"/>
    <w:rsid w:val="2A4B1DB7"/>
    <w:rsid w:val="2ABD7C20"/>
    <w:rsid w:val="2ADA3454"/>
    <w:rsid w:val="2B6A4497"/>
    <w:rsid w:val="2BC55B39"/>
    <w:rsid w:val="2CAD6C55"/>
    <w:rsid w:val="2CD077D7"/>
    <w:rsid w:val="2CEA61F8"/>
    <w:rsid w:val="2D8F7C42"/>
    <w:rsid w:val="2D951AFB"/>
    <w:rsid w:val="2E6B3F2B"/>
    <w:rsid w:val="2EC6530B"/>
    <w:rsid w:val="2F6A2554"/>
    <w:rsid w:val="30E12562"/>
    <w:rsid w:val="3115795B"/>
    <w:rsid w:val="311C1AD3"/>
    <w:rsid w:val="31456BEB"/>
    <w:rsid w:val="31605B7D"/>
    <w:rsid w:val="31612DB1"/>
    <w:rsid w:val="318A49A8"/>
    <w:rsid w:val="321665E0"/>
    <w:rsid w:val="325B3210"/>
    <w:rsid w:val="329007D9"/>
    <w:rsid w:val="329B1F49"/>
    <w:rsid w:val="32DD7307"/>
    <w:rsid w:val="33147CE6"/>
    <w:rsid w:val="335E09E9"/>
    <w:rsid w:val="33A00548"/>
    <w:rsid w:val="33AC6322"/>
    <w:rsid w:val="3439694D"/>
    <w:rsid w:val="34516EE5"/>
    <w:rsid w:val="345320E1"/>
    <w:rsid w:val="35275116"/>
    <w:rsid w:val="35D005E4"/>
    <w:rsid w:val="35D1418C"/>
    <w:rsid w:val="35F37400"/>
    <w:rsid w:val="363D3C0F"/>
    <w:rsid w:val="363E1541"/>
    <w:rsid w:val="36573053"/>
    <w:rsid w:val="36A67FA0"/>
    <w:rsid w:val="36BB34B9"/>
    <w:rsid w:val="37464610"/>
    <w:rsid w:val="3798061D"/>
    <w:rsid w:val="37C27B03"/>
    <w:rsid w:val="387A6C7E"/>
    <w:rsid w:val="38A36DF6"/>
    <w:rsid w:val="39052B68"/>
    <w:rsid w:val="392E24CC"/>
    <w:rsid w:val="395D6464"/>
    <w:rsid w:val="397D1296"/>
    <w:rsid w:val="39BB6F27"/>
    <w:rsid w:val="39D31C98"/>
    <w:rsid w:val="3AC4126A"/>
    <w:rsid w:val="3AE643CE"/>
    <w:rsid w:val="3B0F2A3B"/>
    <w:rsid w:val="3B4066D5"/>
    <w:rsid w:val="3B5404EC"/>
    <w:rsid w:val="3C0F02F1"/>
    <w:rsid w:val="3C44739D"/>
    <w:rsid w:val="3C725E88"/>
    <w:rsid w:val="3C951CEB"/>
    <w:rsid w:val="3CB72D11"/>
    <w:rsid w:val="3D896A98"/>
    <w:rsid w:val="3DC87A8D"/>
    <w:rsid w:val="3DFB09DB"/>
    <w:rsid w:val="3E11180D"/>
    <w:rsid w:val="3E8401FC"/>
    <w:rsid w:val="3E940F7D"/>
    <w:rsid w:val="3EDC2031"/>
    <w:rsid w:val="3F0E0AC7"/>
    <w:rsid w:val="3F4756E8"/>
    <w:rsid w:val="3F7F3446"/>
    <w:rsid w:val="3FA93D9F"/>
    <w:rsid w:val="400C5F49"/>
    <w:rsid w:val="401F5C3E"/>
    <w:rsid w:val="4064171F"/>
    <w:rsid w:val="40B774B3"/>
    <w:rsid w:val="40C63A63"/>
    <w:rsid w:val="40EA56FB"/>
    <w:rsid w:val="41037834"/>
    <w:rsid w:val="41250B55"/>
    <w:rsid w:val="418C1E31"/>
    <w:rsid w:val="41CA7CD2"/>
    <w:rsid w:val="420B22DF"/>
    <w:rsid w:val="4235270E"/>
    <w:rsid w:val="425F778B"/>
    <w:rsid w:val="427778D5"/>
    <w:rsid w:val="42A96C58"/>
    <w:rsid w:val="42FF712E"/>
    <w:rsid w:val="432307B8"/>
    <w:rsid w:val="432A1001"/>
    <w:rsid w:val="43394FCF"/>
    <w:rsid w:val="43790FC1"/>
    <w:rsid w:val="44331706"/>
    <w:rsid w:val="444B19CF"/>
    <w:rsid w:val="445642ED"/>
    <w:rsid w:val="446F7A2D"/>
    <w:rsid w:val="447A7409"/>
    <w:rsid w:val="447D0FBB"/>
    <w:rsid w:val="44E15CD4"/>
    <w:rsid w:val="45222596"/>
    <w:rsid w:val="452914D7"/>
    <w:rsid w:val="453136A9"/>
    <w:rsid w:val="45827D99"/>
    <w:rsid w:val="470F4080"/>
    <w:rsid w:val="472B1063"/>
    <w:rsid w:val="475F01D5"/>
    <w:rsid w:val="47B072FC"/>
    <w:rsid w:val="47CF4FD6"/>
    <w:rsid w:val="48783EC5"/>
    <w:rsid w:val="48AE790D"/>
    <w:rsid w:val="48D23F22"/>
    <w:rsid w:val="48D909BC"/>
    <w:rsid w:val="48F12E38"/>
    <w:rsid w:val="4903536C"/>
    <w:rsid w:val="49687097"/>
    <w:rsid w:val="49756D85"/>
    <w:rsid w:val="4979722E"/>
    <w:rsid w:val="4984533F"/>
    <w:rsid w:val="49C9058B"/>
    <w:rsid w:val="4A6E03EE"/>
    <w:rsid w:val="4AB01230"/>
    <w:rsid w:val="4AD13BC7"/>
    <w:rsid w:val="4B090752"/>
    <w:rsid w:val="4B4D41D4"/>
    <w:rsid w:val="4B653633"/>
    <w:rsid w:val="4B7E2F51"/>
    <w:rsid w:val="4B930A43"/>
    <w:rsid w:val="4BF70FA7"/>
    <w:rsid w:val="4C757CBC"/>
    <w:rsid w:val="4C903D54"/>
    <w:rsid w:val="4D317A1B"/>
    <w:rsid w:val="4D387C5C"/>
    <w:rsid w:val="4D9011F0"/>
    <w:rsid w:val="4E126D3A"/>
    <w:rsid w:val="4E714C6A"/>
    <w:rsid w:val="4E796E1E"/>
    <w:rsid w:val="4F13449C"/>
    <w:rsid w:val="4F297D4A"/>
    <w:rsid w:val="4F881896"/>
    <w:rsid w:val="4F8E345D"/>
    <w:rsid w:val="503E4904"/>
    <w:rsid w:val="50692847"/>
    <w:rsid w:val="508F5DD3"/>
    <w:rsid w:val="509C43C4"/>
    <w:rsid w:val="50D7421A"/>
    <w:rsid w:val="50E161BC"/>
    <w:rsid w:val="512111FB"/>
    <w:rsid w:val="5138209E"/>
    <w:rsid w:val="516F18AB"/>
    <w:rsid w:val="523A1E14"/>
    <w:rsid w:val="529E4657"/>
    <w:rsid w:val="52B753C1"/>
    <w:rsid w:val="52DD2E1E"/>
    <w:rsid w:val="534E704F"/>
    <w:rsid w:val="539B6B31"/>
    <w:rsid w:val="53CF1E7C"/>
    <w:rsid w:val="53D02297"/>
    <w:rsid w:val="53E91C39"/>
    <w:rsid w:val="543D53F8"/>
    <w:rsid w:val="546E0A3F"/>
    <w:rsid w:val="54E619FF"/>
    <w:rsid w:val="551B42A4"/>
    <w:rsid w:val="551D67DF"/>
    <w:rsid w:val="5545416E"/>
    <w:rsid w:val="55FE4406"/>
    <w:rsid w:val="561673D2"/>
    <w:rsid w:val="566779D8"/>
    <w:rsid w:val="56914A08"/>
    <w:rsid w:val="56E74480"/>
    <w:rsid w:val="56E87D29"/>
    <w:rsid w:val="57FF1A43"/>
    <w:rsid w:val="57FF3E6E"/>
    <w:rsid w:val="592C2B4D"/>
    <w:rsid w:val="597A6232"/>
    <w:rsid w:val="59A12425"/>
    <w:rsid w:val="59C3104F"/>
    <w:rsid w:val="59F0161C"/>
    <w:rsid w:val="59F439CA"/>
    <w:rsid w:val="5A1A68E8"/>
    <w:rsid w:val="5AB40632"/>
    <w:rsid w:val="5B060463"/>
    <w:rsid w:val="5BD42293"/>
    <w:rsid w:val="5BDD766D"/>
    <w:rsid w:val="5C307A8B"/>
    <w:rsid w:val="5C8368D6"/>
    <w:rsid w:val="5C9626D8"/>
    <w:rsid w:val="5D312048"/>
    <w:rsid w:val="5D500321"/>
    <w:rsid w:val="5D902E1F"/>
    <w:rsid w:val="5E0013AF"/>
    <w:rsid w:val="5E532442"/>
    <w:rsid w:val="5EB26960"/>
    <w:rsid w:val="5EF53CC8"/>
    <w:rsid w:val="5EF84405"/>
    <w:rsid w:val="5F6107C3"/>
    <w:rsid w:val="5FB765CD"/>
    <w:rsid w:val="60331C88"/>
    <w:rsid w:val="605D7B4A"/>
    <w:rsid w:val="6060031F"/>
    <w:rsid w:val="60614D0A"/>
    <w:rsid w:val="61107AD5"/>
    <w:rsid w:val="611976B3"/>
    <w:rsid w:val="612666CE"/>
    <w:rsid w:val="61361570"/>
    <w:rsid w:val="618B4015"/>
    <w:rsid w:val="619E1588"/>
    <w:rsid w:val="61C57FB9"/>
    <w:rsid w:val="61E96F29"/>
    <w:rsid w:val="620C4264"/>
    <w:rsid w:val="62B2525D"/>
    <w:rsid w:val="62D2376F"/>
    <w:rsid w:val="6365113D"/>
    <w:rsid w:val="638B41CB"/>
    <w:rsid w:val="640A42F1"/>
    <w:rsid w:val="642E7568"/>
    <w:rsid w:val="64787261"/>
    <w:rsid w:val="64EC395F"/>
    <w:rsid w:val="64F62857"/>
    <w:rsid w:val="656B002A"/>
    <w:rsid w:val="65B72141"/>
    <w:rsid w:val="65BF1D00"/>
    <w:rsid w:val="66087D37"/>
    <w:rsid w:val="664E6468"/>
    <w:rsid w:val="665D7F78"/>
    <w:rsid w:val="66633782"/>
    <w:rsid w:val="66A148DD"/>
    <w:rsid w:val="66B370FA"/>
    <w:rsid w:val="66C66513"/>
    <w:rsid w:val="66D91FDE"/>
    <w:rsid w:val="671A784B"/>
    <w:rsid w:val="679E48C0"/>
    <w:rsid w:val="68314937"/>
    <w:rsid w:val="684F1CF5"/>
    <w:rsid w:val="68B34299"/>
    <w:rsid w:val="68DA5601"/>
    <w:rsid w:val="68F83862"/>
    <w:rsid w:val="692823E0"/>
    <w:rsid w:val="69370C94"/>
    <w:rsid w:val="69376D7B"/>
    <w:rsid w:val="698353CB"/>
    <w:rsid w:val="69E11460"/>
    <w:rsid w:val="6B131620"/>
    <w:rsid w:val="6B520BFD"/>
    <w:rsid w:val="6BF41431"/>
    <w:rsid w:val="6C1372C1"/>
    <w:rsid w:val="6C3B59F1"/>
    <w:rsid w:val="6C8A547B"/>
    <w:rsid w:val="6C9A398D"/>
    <w:rsid w:val="6CC938CF"/>
    <w:rsid w:val="6CF96C8E"/>
    <w:rsid w:val="6D3C12AA"/>
    <w:rsid w:val="6DA85A13"/>
    <w:rsid w:val="6DBF58D0"/>
    <w:rsid w:val="6DEC349C"/>
    <w:rsid w:val="6DFC5EB5"/>
    <w:rsid w:val="6E564558"/>
    <w:rsid w:val="6E6B3B38"/>
    <w:rsid w:val="6E7626AB"/>
    <w:rsid w:val="6E7A7577"/>
    <w:rsid w:val="6EBC4EA2"/>
    <w:rsid w:val="6F4B11EA"/>
    <w:rsid w:val="6F6A074D"/>
    <w:rsid w:val="6F717228"/>
    <w:rsid w:val="6F8E19D1"/>
    <w:rsid w:val="6F9F7DAF"/>
    <w:rsid w:val="6FA87620"/>
    <w:rsid w:val="6FC36291"/>
    <w:rsid w:val="70556C38"/>
    <w:rsid w:val="70605573"/>
    <w:rsid w:val="70EE1B56"/>
    <w:rsid w:val="71424947"/>
    <w:rsid w:val="71AC2D14"/>
    <w:rsid w:val="71EE215A"/>
    <w:rsid w:val="72360EE8"/>
    <w:rsid w:val="72646CEB"/>
    <w:rsid w:val="72B90FC4"/>
    <w:rsid w:val="73345474"/>
    <w:rsid w:val="73C76A4A"/>
    <w:rsid w:val="73E532F1"/>
    <w:rsid w:val="74401AB8"/>
    <w:rsid w:val="750077C7"/>
    <w:rsid w:val="751437B2"/>
    <w:rsid w:val="752179EF"/>
    <w:rsid w:val="75952E0A"/>
    <w:rsid w:val="75A339A7"/>
    <w:rsid w:val="75C76111"/>
    <w:rsid w:val="765D56C8"/>
    <w:rsid w:val="766E7E8B"/>
    <w:rsid w:val="769062DB"/>
    <w:rsid w:val="76C6190C"/>
    <w:rsid w:val="7733375C"/>
    <w:rsid w:val="777D392A"/>
    <w:rsid w:val="77857E22"/>
    <w:rsid w:val="779E27EC"/>
    <w:rsid w:val="781F7040"/>
    <w:rsid w:val="783629EC"/>
    <w:rsid w:val="7883527A"/>
    <w:rsid w:val="78AE262D"/>
    <w:rsid w:val="78D10B9C"/>
    <w:rsid w:val="79270A91"/>
    <w:rsid w:val="7A122D59"/>
    <w:rsid w:val="7A304361"/>
    <w:rsid w:val="7ABA1BA8"/>
    <w:rsid w:val="7B7C4A19"/>
    <w:rsid w:val="7BF64FE7"/>
    <w:rsid w:val="7C313C16"/>
    <w:rsid w:val="7C6164C4"/>
    <w:rsid w:val="7C6E7291"/>
    <w:rsid w:val="7C8E0680"/>
    <w:rsid w:val="7CB75A48"/>
    <w:rsid w:val="7CC3658D"/>
    <w:rsid w:val="7CE765F7"/>
    <w:rsid w:val="7D28519D"/>
    <w:rsid w:val="7D60687A"/>
    <w:rsid w:val="7DE83587"/>
    <w:rsid w:val="7E15459A"/>
    <w:rsid w:val="7E5342F6"/>
    <w:rsid w:val="7EEE63B7"/>
    <w:rsid w:val="7EF2463D"/>
    <w:rsid w:val="7F1B2E7F"/>
    <w:rsid w:val="7F232D2E"/>
    <w:rsid w:val="7F593C7E"/>
    <w:rsid w:val="7F863FFD"/>
    <w:rsid w:val="7F8E4305"/>
    <w:rsid w:val="7FAC1E0B"/>
    <w:rsid w:val="7FB45BB2"/>
    <w:rsid w:val="7FC75574"/>
    <w:rsid w:val="7FD40763"/>
    <w:rsid w:val="7FE61CF4"/>
    <w:rsid w:val="7FF369C9"/>
    <w:rsid w:val="7FF36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3">
    <w:name w:val="Normal Indent"/>
    <w:basedOn w:val="1"/>
    <w:autoRedefine/>
    <w:qFormat/>
    <w:uiPriority w:val="0"/>
    <w:pPr>
      <w:ind w:firstLine="420" w:firstLineChars="200"/>
    </w:pPr>
  </w:style>
  <w:style w:type="paragraph" w:styleId="4">
    <w:name w:val="annotation text"/>
    <w:basedOn w:val="1"/>
    <w:autoRedefine/>
    <w:qFormat/>
    <w:uiPriority w:val="0"/>
    <w:pPr>
      <w:jc w:val="left"/>
    </w:pPr>
  </w:style>
  <w:style w:type="paragraph" w:styleId="5">
    <w:name w:val="Body Text"/>
    <w:basedOn w:val="1"/>
    <w:next w:val="6"/>
    <w:autoRedefine/>
    <w:qFormat/>
    <w:uiPriority w:val="0"/>
    <w:rPr>
      <w:rFonts w:eastAsia="仿宋_GB2312"/>
      <w:color w:val="000000"/>
    </w:rPr>
  </w:style>
  <w:style w:type="paragraph" w:styleId="6">
    <w:name w:val="Title"/>
    <w:basedOn w:val="1"/>
    <w:next w:val="1"/>
    <w:autoRedefine/>
    <w:qFormat/>
    <w:uiPriority w:val="0"/>
    <w:pPr>
      <w:widowControl/>
      <w:spacing w:before="240" w:after="60" w:line="560" w:lineRule="exact"/>
      <w:jc w:val="center"/>
      <w:outlineLvl w:val="0"/>
    </w:pPr>
    <w:rPr>
      <w:rFonts w:ascii="Arial" w:hAnsi="Arial" w:eastAsia="华文中宋" w:cs="Arial"/>
      <w:b/>
      <w:bCs/>
      <w:color w:val="FF0000"/>
      <w:kern w:val="0"/>
      <w:sz w:val="84"/>
      <w:szCs w:val="32"/>
    </w:rPr>
  </w:style>
  <w:style w:type="paragraph" w:styleId="7">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Body Text First Indent 2"/>
    <w:autoRedefine/>
    <w:qFormat/>
    <w:uiPriority w:val="0"/>
    <w:pPr>
      <w:keepNext w:val="0"/>
      <w:keepLines w:val="0"/>
      <w:widowControl w:val="0"/>
      <w:suppressLineNumbers w:val="0"/>
      <w:spacing w:after="120" w:afterLines="0" w:afterAutospacing="0" w:line="312" w:lineRule="auto"/>
      <w:ind w:left="420" w:leftChars="200" w:firstLine="420" w:firstLineChars="200"/>
      <w:jc w:val="both"/>
    </w:pPr>
    <w:rPr>
      <w:rFonts w:hint="default" w:ascii="Times New Roman" w:hAnsi="Times New Roman" w:eastAsia="宋体" w:cs="Times New Roman"/>
      <w:kern w:val="0"/>
      <w:sz w:val="24"/>
      <w:szCs w:val="24"/>
      <w:lang w:val="en-US" w:eastAsia="zh-CN" w:bidi="ar"/>
    </w:rPr>
  </w:style>
  <w:style w:type="table" w:styleId="10">
    <w:name w:val="Table Grid"/>
    <w:basedOn w:val="9"/>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autoRedefine/>
    <w:qFormat/>
    <w:uiPriority w:val="34"/>
    <w:pPr>
      <w:ind w:firstLine="420" w:firstLineChars="200"/>
    </w:pPr>
  </w:style>
  <w:style w:type="paragraph" w:customStyle="1" w:styleId="13">
    <w:name w:val="_Style 217"/>
    <w:autoRedefine/>
    <w:qFormat/>
    <w:uiPriority w:val="0"/>
    <w:pPr>
      <w:widowControl w:val="0"/>
      <w:jc w:val="both"/>
    </w:pPr>
    <w:rPr>
      <w:rFonts w:ascii="Calibri" w:hAnsi="Calibri" w:eastAsia="宋体" w:cs="Times New Roman"/>
      <w:kern w:val="2"/>
      <w:sz w:val="21"/>
      <w:szCs w:val="21"/>
      <w:lang w:val="en-US" w:eastAsia="zh-CN" w:bidi="ar-SA"/>
    </w:rPr>
  </w:style>
  <w:style w:type="paragraph" w:customStyle="1" w:styleId="14">
    <w:name w:val="_Style 113"/>
    <w:autoRedefine/>
    <w:qFormat/>
    <w:uiPriority w:val="0"/>
    <w:rPr>
      <w:rFonts w:ascii="宋体" w:hAnsi="宋体" w:eastAsia="宋体" w:cs="宋体"/>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1953</Words>
  <Characters>2200</Characters>
  <Lines>1</Lines>
  <Paragraphs>1</Paragraphs>
  <TotalTime>23</TotalTime>
  <ScaleCrop>false</ScaleCrop>
  <LinksUpToDate>false</LinksUpToDate>
  <CharactersWithSpaces>2259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2022-06-17T06:36:00Z</dcterms:created>
  <dc:creator>Ivin</dc:creator>
  <cp:lastModifiedBy>Ivin</cp:lastModifiedBy>
  <cp:lastPrinted>2022-09-30T10:29:00Z</cp:lastPrinted>
  <dcterms:modified xsi:type="dcterms:W3CDTF">2024-04-07T07:52:45Z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43AA4060BE6541B4B49B44F9DC865FEA_13</vt:lpwstr>
  </property>
</Properties>
</file>