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90332" w14:paraId="16D50E4C" w14:textId="77777777">
        <w:trPr>
          <w:trHeight w:val="132"/>
        </w:trPr>
        <w:tc>
          <w:tcPr>
            <w:tcW w:w="4148" w:type="dxa"/>
          </w:tcPr>
          <w:p w14:paraId="752E70F1" w14:textId="77777777" w:rsidR="00190332" w:rsidRDefault="00CA128B">
            <w:r>
              <w:rPr>
                <w:rFonts w:hint="eastAsia"/>
              </w:rPr>
              <w:t>证券代码：</w:t>
            </w:r>
            <w:r>
              <w:t>601607</w:t>
            </w:r>
          </w:p>
          <w:p w14:paraId="11AFC43E" w14:textId="77777777" w:rsidR="00190332" w:rsidRDefault="00190332"/>
        </w:tc>
        <w:tc>
          <w:tcPr>
            <w:tcW w:w="4148" w:type="dxa"/>
          </w:tcPr>
          <w:p w14:paraId="1F082736" w14:textId="77777777" w:rsidR="00190332" w:rsidRDefault="00CA128B">
            <w:pPr>
              <w:jc w:val="right"/>
            </w:pPr>
            <w:r>
              <w:rPr>
                <w:rFonts w:hint="eastAsia"/>
              </w:rPr>
              <w:t>证券简称：上海医药</w:t>
            </w:r>
          </w:p>
        </w:tc>
      </w:tr>
    </w:tbl>
    <w:p w14:paraId="06923E9F" w14:textId="77777777" w:rsidR="00190332" w:rsidRDefault="00CA128B">
      <w:pPr>
        <w:spacing w:line="440" w:lineRule="exact"/>
        <w:jc w:val="center"/>
        <w:rPr>
          <w:rStyle w:val="NormalCharacter"/>
          <w:rFonts w:ascii="宋体" w:hAnsi="宋体"/>
          <w:b/>
          <w:bCs/>
          <w:iCs/>
          <w:sz w:val="24"/>
        </w:rPr>
      </w:pPr>
      <w:r>
        <w:rPr>
          <w:rStyle w:val="NormalCharacter"/>
          <w:rFonts w:ascii="宋体" w:hAnsi="宋体"/>
          <w:b/>
          <w:bCs/>
          <w:iCs/>
          <w:sz w:val="24"/>
        </w:rPr>
        <w:t>上海医药</w:t>
      </w:r>
      <w:r>
        <w:rPr>
          <w:rStyle w:val="NormalCharacter"/>
          <w:rFonts w:ascii="宋体" w:hAnsi="宋体" w:hint="eastAsia"/>
          <w:b/>
          <w:bCs/>
          <w:iCs/>
          <w:sz w:val="24"/>
        </w:rPr>
        <w:t>集团</w:t>
      </w:r>
      <w:r>
        <w:rPr>
          <w:rStyle w:val="NormalCharacter"/>
          <w:rFonts w:ascii="宋体" w:hAnsi="宋体"/>
          <w:b/>
          <w:bCs/>
          <w:iCs/>
          <w:sz w:val="24"/>
        </w:rPr>
        <w:t>股份有限公司</w:t>
      </w:r>
    </w:p>
    <w:p w14:paraId="33791867" w14:textId="77777777" w:rsidR="00190332" w:rsidRDefault="00CA128B">
      <w:pPr>
        <w:spacing w:line="440" w:lineRule="exact"/>
        <w:jc w:val="center"/>
        <w:rPr>
          <w:rStyle w:val="NormalCharacter"/>
          <w:rFonts w:ascii="宋体" w:hAnsi="宋体"/>
          <w:b/>
          <w:bCs/>
          <w:iCs/>
          <w:sz w:val="24"/>
        </w:rPr>
      </w:pPr>
      <w:r>
        <w:rPr>
          <w:rStyle w:val="NormalCharacter"/>
          <w:rFonts w:ascii="宋体" w:hAnsi="宋体"/>
          <w:b/>
          <w:bCs/>
          <w:iCs/>
          <w:sz w:val="24"/>
        </w:rPr>
        <w:t>投资者关系活动记录表</w:t>
      </w:r>
    </w:p>
    <w:p w14:paraId="47A9FB90" w14:textId="17809A94" w:rsidR="00190332" w:rsidRDefault="00CA128B">
      <w:pPr>
        <w:spacing w:line="440" w:lineRule="exact"/>
        <w:rPr>
          <w:rStyle w:val="NormalCharacter"/>
          <w:rFonts w:ascii="宋体" w:hAnsi="宋体"/>
          <w:bCs/>
          <w:iCs/>
          <w:sz w:val="24"/>
        </w:rPr>
      </w:pPr>
      <w:r>
        <w:rPr>
          <w:rStyle w:val="NormalCharacter"/>
          <w:rFonts w:ascii="宋体" w:hAnsi="宋体"/>
          <w:bCs/>
          <w:iCs/>
          <w:sz w:val="24"/>
        </w:rPr>
        <w:t xml:space="preserve">                                                       编号：202</w:t>
      </w:r>
      <w:r w:rsidR="007D7D06">
        <w:rPr>
          <w:rStyle w:val="NormalCharacter"/>
          <w:rFonts w:ascii="宋体" w:hAnsi="宋体"/>
          <w:bCs/>
          <w:iCs/>
          <w:sz w:val="24"/>
        </w:rPr>
        <w:t>4</w:t>
      </w:r>
      <w:r>
        <w:rPr>
          <w:rStyle w:val="NormalCharacter"/>
          <w:rFonts w:ascii="宋体" w:hAnsi="宋体"/>
          <w:bCs/>
          <w:iCs/>
          <w:sz w:val="24"/>
        </w:rPr>
        <w:t>-00</w:t>
      </w:r>
      <w:r w:rsidR="00755033">
        <w:rPr>
          <w:rStyle w:val="NormalCharacter"/>
          <w:rFonts w:ascii="宋体" w:hAnsi="宋体"/>
          <w:bCs/>
          <w:iCs/>
          <w:sz w:val="24"/>
        </w:rPr>
        <w:t>1</w:t>
      </w:r>
    </w:p>
    <w:tbl>
      <w:tblPr>
        <w:tblW w:w="8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7282"/>
      </w:tblGrid>
      <w:tr w:rsidR="00190332" w14:paraId="1B9E4FAB" w14:textId="77777777">
        <w:trPr>
          <w:trHeight w:val="1881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9C7A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投资者关系活动类别</w:t>
            </w:r>
          </w:p>
          <w:p w14:paraId="1A93D402" w14:textId="77777777" w:rsidR="00190332" w:rsidRDefault="00190332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027B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特定对象调研        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分析师会议</w:t>
            </w:r>
          </w:p>
          <w:p w14:paraId="0A20F38A" w14:textId="529E12C2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媒体采访            </w:t>
            </w:r>
            <w:r w:rsidR="007C186E">
              <w:rPr>
                <w:rStyle w:val="NormalCharacter"/>
                <w:rFonts w:ascii="宋体" w:hAnsi="宋体"/>
                <w:bCs/>
                <w:iCs/>
                <w:sz w:val="24"/>
              </w:rPr>
              <w:sym w:font="Wingdings 2" w:char="F052"/>
            </w:r>
            <w:r>
              <w:rPr>
                <w:rStyle w:val="NormalCharacter"/>
                <w:rFonts w:ascii="宋体" w:hAnsi="宋体"/>
                <w:sz w:val="24"/>
              </w:rPr>
              <w:t>业绩说明会</w:t>
            </w:r>
          </w:p>
          <w:p w14:paraId="2D2BBA38" w14:textId="70EF919D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新闻发布会          </w:t>
            </w:r>
            <w:r w:rsid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路演活动</w:t>
            </w:r>
          </w:p>
          <w:p w14:paraId="0193BBF5" w14:textId="77777777" w:rsidR="00190332" w:rsidRDefault="00CA128B">
            <w:pPr>
              <w:tabs>
                <w:tab w:val="left" w:pos="3045"/>
                <w:tab w:val="center" w:pos="3199"/>
              </w:tabs>
              <w:spacing w:line="440" w:lineRule="exact"/>
              <w:ind w:left="1320" w:hangingChars="550" w:hanging="1320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现场参观</w:t>
            </w: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ab/>
              <w:t xml:space="preserve">           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其他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</w:t>
            </w:r>
          </w:p>
        </w:tc>
      </w:tr>
      <w:tr w:rsidR="00190332" w14:paraId="6C3A4496" w14:textId="77777777">
        <w:trPr>
          <w:trHeight w:val="1491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64D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参与单位名称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B0A8" w14:textId="71284223" w:rsidR="00600B36" w:rsidRDefault="00D453DE">
            <w:pPr>
              <w:spacing w:line="276" w:lineRule="auto"/>
              <w:jc w:val="left"/>
              <w:rPr>
                <w:rFonts w:ascii="宋体" w:hAnsi="宋体"/>
                <w:bCs/>
                <w:sz w:val="24"/>
                <w:szCs w:val="22"/>
              </w:rPr>
            </w:pPr>
            <w:r>
              <w:rPr>
                <w:rFonts w:ascii="宋体" w:hAnsi="宋体"/>
                <w:bCs/>
                <w:sz w:val="24"/>
                <w:szCs w:val="22"/>
              </w:rPr>
              <w:t>此次业绩说明会通过</w:t>
            </w:r>
            <w:r w:rsidR="00600B36">
              <w:rPr>
                <w:rFonts w:ascii="宋体" w:hAnsi="宋体"/>
                <w:bCs/>
                <w:sz w:val="24"/>
                <w:szCs w:val="22"/>
              </w:rPr>
              <w:t>上证路演中心</w:t>
            </w:r>
            <w:r>
              <w:rPr>
                <w:rFonts w:ascii="宋体" w:hAnsi="宋体"/>
                <w:bCs/>
                <w:sz w:val="24"/>
                <w:szCs w:val="22"/>
              </w:rPr>
              <w:t>向全市场公开发布</w:t>
            </w:r>
          </w:p>
          <w:p w14:paraId="28F57946" w14:textId="2F12F6D2" w:rsidR="00190332" w:rsidRDefault="00600B36">
            <w:pPr>
              <w:spacing w:line="276" w:lineRule="auto"/>
              <w:jc w:val="left"/>
              <w:rPr>
                <w:rFonts w:ascii="宋体" w:hAnsi="宋体"/>
                <w:bCs/>
                <w:sz w:val="24"/>
                <w:szCs w:val="22"/>
              </w:rPr>
            </w:pPr>
            <w:r>
              <w:rPr>
                <w:rFonts w:ascii="宋体" w:hAnsi="宋体" w:hint="eastAsia"/>
                <w:bCs/>
                <w:sz w:val="24"/>
                <w:szCs w:val="22"/>
              </w:rPr>
              <w:t>参与机构：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中信证券、中信建投、国金证券、浙商证券、</w:t>
            </w:r>
            <w:r w:rsidR="00AB6D27" w:rsidRPr="00AB6D27">
              <w:rPr>
                <w:rFonts w:ascii="宋体" w:hAnsi="宋体" w:hint="eastAsia"/>
                <w:bCs/>
                <w:sz w:val="24"/>
                <w:szCs w:val="22"/>
              </w:rPr>
              <w:t>汇添富基金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AB6D27" w:rsidRPr="00AB6D27">
              <w:rPr>
                <w:rFonts w:ascii="宋体" w:hAnsi="宋体" w:hint="eastAsia"/>
                <w:bCs/>
                <w:sz w:val="24"/>
                <w:szCs w:val="22"/>
              </w:rPr>
              <w:t>富国基金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、广发基金、嘉实基金、</w:t>
            </w:r>
            <w:r w:rsidR="00AB6D27" w:rsidRPr="00AB6D27">
              <w:rPr>
                <w:rFonts w:ascii="宋体" w:hAnsi="宋体" w:hint="eastAsia"/>
                <w:bCs/>
                <w:sz w:val="24"/>
                <w:szCs w:val="22"/>
              </w:rPr>
              <w:t>华宝基金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AB6D27" w:rsidRPr="00AB6D27">
              <w:rPr>
                <w:rFonts w:ascii="宋体" w:hAnsi="宋体" w:hint="eastAsia"/>
                <w:bCs/>
                <w:sz w:val="24"/>
                <w:szCs w:val="22"/>
              </w:rPr>
              <w:t>东方资产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AB6D27" w:rsidRPr="00AB6D27">
              <w:rPr>
                <w:rFonts w:ascii="宋体" w:hAnsi="宋体" w:hint="eastAsia"/>
                <w:bCs/>
                <w:sz w:val="24"/>
                <w:szCs w:val="22"/>
              </w:rPr>
              <w:t>华安基金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AB6D27" w:rsidRPr="00AB6D27">
              <w:rPr>
                <w:rFonts w:ascii="宋体" w:hAnsi="宋体" w:hint="eastAsia"/>
                <w:bCs/>
                <w:sz w:val="24"/>
                <w:szCs w:val="22"/>
              </w:rPr>
              <w:t>前海人寿</w:t>
            </w:r>
            <w:r w:rsidR="00AB6D27">
              <w:rPr>
                <w:rFonts w:ascii="宋体" w:hAnsi="宋体" w:hint="eastAsia"/>
                <w:bCs/>
                <w:sz w:val="24"/>
                <w:szCs w:val="22"/>
              </w:rPr>
              <w:t>、摩根士丹利、南方基金、拾贝投资、润晖投资、</w:t>
            </w:r>
            <w:r w:rsidR="00CA0A67">
              <w:rPr>
                <w:rFonts w:ascii="宋体" w:hAnsi="宋体" w:hint="eastAsia"/>
                <w:bCs/>
                <w:sz w:val="24"/>
                <w:szCs w:val="22"/>
              </w:rPr>
              <w:t>等</w:t>
            </w:r>
            <w:r w:rsidR="00AB6D27">
              <w:rPr>
                <w:rFonts w:ascii="宋体" w:hAnsi="宋体"/>
                <w:bCs/>
                <w:sz w:val="24"/>
                <w:szCs w:val="22"/>
              </w:rPr>
              <w:t>198</w:t>
            </w:r>
            <w:r>
              <w:rPr>
                <w:rFonts w:ascii="宋体" w:hAnsi="宋体" w:hint="eastAsia"/>
                <w:bCs/>
                <w:sz w:val="24"/>
                <w:szCs w:val="22"/>
              </w:rPr>
              <w:t>人次。</w:t>
            </w:r>
          </w:p>
        </w:tc>
      </w:tr>
      <w:tr w:rsidR="00190332" w14:paraId="05B8F41A" w14:textId="77777777">
        <w:trPr>
          <w:trHeight w:val="77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21FF" w14:textId="77777777" w:rsidR="00190332" w:rsidRDefault="00CA128B">
            <w:pPr>
              <w:spacing w:line="440" w:lineRule="exact"/>
              <w:jc w:val="center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FA4B" w14:textId="07288609" w:rsidR="00190332" w:rsidRDefault="00CA128B">
            <w:pPr>
              <w:spacing w:line="276" w:lineRule="auto"/>
              <w:jc w:val="lef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202</w:t>
            </w:r>
            <w:r w:rsidR="00BF740E">
              <w:rPr>
                <w:rStyle w:val="NormalCharacter"/>
                <w:rFonts w:ascii="宋体" w:hAnsi="宋体"/>
                <w:bCs/>
                <w:iCs/>
                <w:sz w:val="24"/>
              </w:rPr>
              <w:t>4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年</w:t>
            </w:r>
            <w:r w:rsidR="007C186E">
              <w:rPr>
                <w:rStyle w:val="NormalCharacter"/>
                <w:rFonts w:ascii="宋体" w:hAnsi="宋体"/>
                <w:bCs/>
                <w:iCs/>
                <w:sz w:val="24"/>
              </w:rPr>
              <w:t>3</w:t>
            </w:r>
            <w:r w:rsid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月2</w:t>
            </w:r>
            <w:r w:rsidR="007C186E">
              <w:rPr>
                <w:rStyle w:val="NormalCharacter"/>
                <w:rFonts w:ascii="宋体" w:hAnsi="宋体"/>
                <w:bCs/>
                <w:iCs/>
                <w:sz w:val="24"/>
              </w:rPr>
              <w:t>9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  <w:tr w:rsidR="00190332" w14:paraId="4F63DA9E" w14:textId="77777777">
        <w:trPr>
          <w:trHeight w:val="67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4FCE" w14:textId="77777777" w:rsidR="00190332" w:rsidRDefault="00CA128B">
            <w:pPr>
              <w:spacing w:line="440" w:lineRule="exact"/>
              <w:jc w:val="center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地点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5AD0" w14:textId="7D8D5E90" w:rsidR="00190332" w:rsidRDefault="007C186E">
            <w:pPr>
              <w:spacing w:line="276" w:lineRule="auto"/>
              <w:jc w:val="lef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上海医药大厦报告厅及线上平台</w:t>
            </w:r>
          </w:p>
        </w:tc>
      </w:tr>
      <w:tr w:rsidR="00190332" w14:paraId="58BE10C1" w14:textId="77777777">
        <w:trPr>
          <w:trHeight w:val="1019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F62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上市公司接待人员姓名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4555" w14:textId="1285D429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执行董事、总裁 沈波</w:t>
            </w:r>
          </w:p>
          <w:p w14:paraId="7B68C8AF" w14:textId="08B98FA2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执行董事、执行总裁 李永忠</w:t>
            </w:r>
          </w:p>
          <w:p w14:paraId="7DE7D69C" w14:textId="22FACDC6" w:rsid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副总裁 张耀华</w:t>
            </w:r>
          </w:p>
          <w:p w14:paraId="0AB4E512" w14:textId="0BAB260E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副总裁、董事会秘书 钟涛</w:t>
            </w:r>
          </w:p>
          <w:p w14:paraId="42211462" w14:textId="0B6F8D27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副总裁 李东明</w:t>
            </w:r>
          </w:p>
          <w:p w14:paraId="0A17DB3B" w14:textId="49C2EDE9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总监、首席医学官 于顺江</w:t>
            </w:r>
          </w:p>
          <w:p w14:paraId="504221ED" w14:textId="7A687B4A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财务部总经理</w:t>
            </w: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 xml:space="preserve"> </w:t>
            </w: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祝合银</w:t>
            </w:r>
          </w:p>
          <w:p w14:paraId="141C637B" w14:textId="154EB454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营销中心副主任、产品战略部总经理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杨毓方</w:t>
            </w:r>
          </w:p>
          <w:p w14:paraId="067F326C" w14:textId="023900F8" w:rsidR="00190332" w:rsidRDefault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战略发展部总经理、全球研发合作部副总经理 魏明扬</w:t>
            </w:r>
          </w:p>
        </w:tc>
      </w:tr>
      <w:tr w:rsidR="00190332" w14:paraId="3EC054D5" w14:textId="77777777">
        <w:trPr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ACCF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F5BB" w14:textId="36BAB9AB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="00D453DE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公司对于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ROE</w:t>
            </w:r>
            <w:r w:rsidR="00D453DE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及净利率的绩效考核要求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？</w:t>
            </w:r>
          </w:p>
          <w:p w14:paraId="3016FF32" w14:textId="4EA79116" w:rsidR="00A451B5" w:rsidRPr="00AB6D27" w:rsidRDefault="00A451B5" w:rsidP="00A451B5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A：</w:t>
            </w:r>
            <w:r w:rsidR="00D453DE">
              <w:rPr>
                <w:rFonts w:ascii="宋体" w:hAnsi="宋体" w:cs="宋体" w:hint="eastAsia"/>
                <w:kern w:val="0"/>
                <w:sz w:val="24"/>
                <w:lang w:bidi="ar"/>
              </w:rPr>
              <w:t>目前，公司绩效考核分为两类，一类是财务业绩指标，占据较大权重，另一类是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可持续发展</w:t>
            </w:r>
            <w:r w:rsidR="00D453DE">
              <w:rPr>
                <w:rFonts w:ascii="宋体" w:hAnsi="宋体" w:cs="宋体" w:hint="eastAsia"/>
                <w:kern w:val="0"/>
                <w:sz w:val="24"/>
                <w:lang w:bidi="ar"/>
              </w:rPr>
              <w:t>指标。在财务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业绩指标中</w:t>
            </w:r>
            <w:r w:rsidR="00D453DE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ROE、利润和收入等</w:t>
            </w:r>
            <w:r w:rsidR="00D453DE">
              <w:rPr>
                <w:rFonts w:ascii="宋体" w:hAnsi="宋体" w:cs="宋体" w:hint="eastAsia"/>
                <w:kern w:val="0"/>
                <w:sz w:val="24"/>
                <w:lang w:bidi="ar"/>
              </w:rPr>
              <w:t>都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是核心指标。</w:t>
            </w:r>
          </w:p>
          <w:p w14:paraId="2649EA1B" w14:textId="77777777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7CA6DA28" w14:textId="0AA3A993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</w:t>
            </w:r>
            <w:r w:rsidR="00D453DE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：商业整体增长亮眼，作为公司的基石业务，未来有哪些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规划</w:t>
            </w:r>
            <w:r w:rsidR="001534EB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？和工业</w:t>
            </w:r>
            <w:r w:rsidR="00D453DE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业务有哪些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联动和赋能？</w:t>
            </w:r>
          </w:p>
          <w:p w14:paraId="280C3442" w14:textId="2FBE5B67" w:rsidR="00A451B5" w:rsidRPr="00AB6D27" w:rsidRDefault="00A451B5" w:rsidP="00A451B5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A：</w:t>
            </w:r>
            <w:r w:rsidR="000A165D">
              <w:rPr>
                <w:rFonts w:ascii="宋体" w:hAnsi="宋体" w:cs="宋体" w:hint="eastAsia"/>
                <w:kern w:val="0"/>
                <w:sz w:val="24"/>
                <w:lang w:bidi="ar"/>
              </w:rPr>
              <w:t>上药作为商业龙头之一，一方面</w:t>
            </w:r>
            <w:r w:rsidR="00D453DE">
              <w:rPr>
                <w:rFonts w:ascii="宋体" w:hAnsi="宋体" w:cs="宋体" w:hint="eastAsia"/>
                <w:kern w:val="0"/>
                <w:sz w:val="24"/>
                <w:lang w:bidi="ar"/>
              </w:rPr>
              <w:t>将继续推进网络布局的优化。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目前</w:t>
            </w:r>
            <w:r w:rsidR="000A165D">
              <w:rPr>
                <w:rFonts w:ascii="宋体" w:hAnsi="宋体" w:cs="宋体" w:hint="eastAsia"/>
                <w:kern w:val="0"/>
                <w:sz w:val="24"/>
                <w:lang w:bidi="ar"/>
              </w:rPr>
              <w:t>，公司已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覆盖25省，还有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继续拓展的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空间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  <w:r w:rsidR="000A165D">
              <w:rPr>
                <w:rFonts w:ascii="宋体" w:hAnsi="宋体" w:cs="宋体" w:hint="eastAsia"/>
                <w:kern w:val="0"/>
                <w:sz w:val="24"/>
                <w:lang w:bidi="ar"/>
              </w:rPr>
              <w:t>另一方面将继续推进</w:t>
            </w:r>
            <w:r w:rsidR="000A165D"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创新服务。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近十年来，</w:t>
            </w:r>
            <w:r w:rsidR="000A165D">
              <w:rPr>
                <w:rFonts w:ascii="宋体" w:hAnsi="宋体" w:cs="宋体" w:hint="eastAsia"/>
                <w:kern w:val="0"/>
                <w:sz w:val="24"/>
                <w:lang w:bidi="ar"/>
              </w:rPr>
              <w:t>公司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创新服务布局成效显著，主要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体现在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三个方面。</w:t>
            </w:r>
          </w:p>
          <w:p w14:paraId="773D880A" w14:textId="677F69CF" w:rsidR="00A451B5" w:rsidRPr="00AB6D27" w:rsidRDefault="000A165D" w:rsidP="00695C8B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其一，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为创新药企业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提供全方位服务，目前市场地位领先。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十年前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开始，我们开始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为创新药企业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打造覆盖上市前到上市后的全生命周期解决方案。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2015年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，公司孵化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云健康，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0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年，公司孵化镁信，为创新药支付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提供便利。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目前，公司已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创新药准入、商业化和多元支付方面建立了优势。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未来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该平台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将为上药自己研发生产的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创新药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进行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赋能。</w:t>
            </w:r>
          </w:p>
          <w:p w14:paraId="0E98CD17" w14:textId="4B4AE459" w:rsidR="00A451B5" w:rsidRPr="00AB6D27" w:rsidRDefault="00A451B5" w:rsidP="00695C8B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其二，着力建立商业板块CSO团队，</w:t>
            </w:r>
            <w:r w:rsidR="000A165D">
              <w:rPr>
                <w:rFonts w:ascii="宋体" w:hAnsi="宋体" w:cs="宋体" w:hint="eastAsia"/>
                <w:kern w:val="0"/>
                <w:sz w:val="24"/>
                <w:lang w:bidi="ar"/>
              </w:rPr>
              <w:t>已为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外资企业推广产品超过60个。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 w:rsidR="00695C8B">
              <w:rPr>
                <w:rFonts w:ascii="宋体" w:hAnsi="宋体" w:cs="宋体"/>
                <w:kern w:val="0"/>
                <w:sz w:val="24"/>
                <w:lang w:bidi="ar"/>
              </w:rPr>
              <w:t>023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年底，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赛诺菲把超过1/3的产品打包给公司，规模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超过5</w:t>
            </w:r>
            <w:r w:rsidR="00695C8B">
              <w:rPr>
                <w:rFonts w:ascii="宋体" w:hAnsi="宋体" w:cs="宋体"/>
                <w:kern w:val="0"/>
                <w:sz w:val="24"/>
                <w:lang w:bidi="ar"/>
              </w:rPr>
              <w:t>0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亿。</w:t>
            </w:r>
            <w:r w:rsidR="001534EB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未来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，医药商业板块的C</w:t>
            </w:r>
            <w:r w:rsidR="001534EB">
              <w:rPr>
                <w:rFonts w:ascii="宋体" w:hAnsi="宋体" w:cs="宋体"/>
                <w:kern w:val="0"/>
                <w:sz w:val="24"/>
                <w:lang w:bidi="ar"/>
              </w:rPr>
              <w:t>SO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业务也将赋能医药工业板块的诸多优质产品</w:t>
            </w:r>
            <w:r w:rsidR="001534EB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17009CBC" w14:textId="4DAE8B97" w:rsidR="00A451B5" w:rsidRPr="00AB6D27" w:rsidRDefault="000A165D" w:rsidP="00695C8B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其三，新建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医美推广团队，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据有关报告，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预计2025全球减肥市场</w:t>
            </w:r>
            <w:r w:rsidR="003A13AC">
              <w:rPr>
                <w:rFonts w:ascii="宋体" w:hAnsi="宋体" w:cs="宋体" w:hint="eastAsia"/>
                <w:kern w:val="0"/>
                <w:sz w:val="24"/>
                <w:lang w:bidi="ar"/>
              </w:rPr>
              <w:t>将达到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2000亿美金，中国2023年也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有近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150亿美金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的市场规模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。去年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，公司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获得贝那鲁肽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的运营权，并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建立了专业的医美营销团队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。未来，我们将</w:t>
            </w:r>
            <w:r w:rsidR="003A13AC">
              <w:rPr>
                <w:rFonts w:ascii="宋体" w:hAnsi="宋体" w:cs="宋体" w:hint="eastAsia"/>
                <w:kern w:val="0"/>
                <w:sz w:val="24"/>
                <w:lang w:bidi="ar"/>
              </w:rPr>
              <w:t>在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玻尿酸，肉毒素和减重</w:t>
            </w:r>
            <w:r w:rsidR="003A13AC">
              <w:rPr>
                <w:rFonts w:ascii="宋体" w:hAnsi="宋体" w:cs="宋体" w:hint="eastAsia"/>
                <w:kern w:val="0"/>
                <w:sz w:val="24"/>
                <w:lang w:bidi="ar"/>
              </w:rPr>
              <w:t>等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方面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寻求更多合作</w:t>
            </w:r>
            <w:r w:rsidR="003A13AC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0D89A6AD" w14:textId="6DD63017" w:rsidR="00A451B5" w:rsidRPr="00AB6D27" w:rsidRDefault="00A451B5" w:rsidP="00695C8B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数字化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方面，公司在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十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年前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就开始布局S</w:t>
            </w:r>
            <w:r w:rsidR="001534EB">
              <w:rPr>
                <w:rFonts w:ascii="宋体" w:hAnsi="宋体" w:cs="宋体"/>
                <w:kern w:val="0"/>
                <w:sz w:val="24"/>
                <w:lang w:bidi="ar"/>
              </w:rPr>
              <w:t>PD业务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通过数字化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、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智能化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帮助医院提升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运营效率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未来，医药商业板块的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SPD</w:t>
            </w:r>
            <w:r w:rsidR="00695C8B">
              <w:rPr>
                <w:rFonts w:ascii="宋体" w:hAnsi="宋体" w:cs="宋体" w:hint="eastAsia"/>
                <w:kern w:val="0"/>
                <w:sz w:val="24"/>
                <w:lang w:bidi="ar"/>
              </w:rPr>
              <w:t>业务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也可为工业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器械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制造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领域的布局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进行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赋能。</w:t>
            </w:r>
          </w:p>
          <w:p w14:paraId="74CBEE2C" w14:textId="77777777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4E7CF815" w14:textId="588EDAC8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Q：创新药研发的进展</w:t>
            </w:r>
            <w:r w:rsidR="003A13AC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以及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上市预期</w:t>
            </w:r>
            <w:r w:rsidR="003A13AC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如何？</w:t>
            </w:r>
          </w:p>
          <w:p w14:paraId="2B461F43" w14:textId="645E05BD" w:rsidR="00A451B5" w:rsidRPr="00AB6D27" w:rsidRDefault="00A451B5" w:rsidP="00A451B5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A：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目前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，公司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在研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新药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管线共有68个，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其中创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新药55个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1534EB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改良型新药13项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。公司已有安柯瑞（重组人5型腺病毒）、凯力康（尤瑞克林）、培菲康（双歧杆菌三联活菌）3款创新药，兰索拉唑碳酸氢钠1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款改良型新药上市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。在创新药管线中，已有3项提交</w:t>
            </w:r>
            <w:r w:rsidR="001534EB">
              <w:rPr>
                <w:rFonts w:ascii="宋体" w:hAnsi="宋体" w:cs="宋体" w:hint="eastAsia"/>
                <w:kern w:val="0"/>
                <w:sz w:val="24"/>
                <w:lang w:bidi="ar"/>
              </w:rPr>
              <w:t>上市申请，并已有2项具有良好前景的1类新药获得受理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52BA1BC9" w14:textId="174A9187" w:rsidR="00A451B5" w:rsidRPr="00AB6D27" w:rsidRDefault="001534EB" w:rsidP="00D17872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从团队建设来讲，现在临床试验的推进主要依赖于自建的临床注册团队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速度较外包时期显著加快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。今年预计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将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新增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若干项目进入临床2期及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3期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5C9C1294" w14:textId="77777777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6A81ADDA" w14:textId="77777777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Q：中药板块未来的发展趋势展望？</w:t>
            </w:r>
          </w:p>
          <w:p w14:paraId="0BF7683A" w14:textId="09EA9B86" w:rsidR="00A451B5" w:rsidRPr="00AB6D27" w:rsidRDefault="00A451B5" w:rsidP="00A451B5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A：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中药业务去年整体表现优秀，营收接近100亿，绝大部分是中成药，有很多优势品种，比如雷允上的银杏酮酯、青春宝的冠心宁，胡庆余堂的胃复春、厦中的八宝丹等。</w:t>
            </w:r>
          </w:p>
          <w:p w14:paraId="016EB55B" w14:textId="3166CBBD" w:rsidR="00A451B5" w:rsidRDefault="00D12B9B" w:rsidP="00D12B9B">
            <w:pPr>
              <w:spacing w:line="276" w:lineRule="auto"/>
              <w:ind w:firstLineChars="157" w:firstLine="377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公司中药业务未来发展可期，从策略上讲，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主要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做两件事情，其一是巩固终端营销体系，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通过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学术推广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提升销售能力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。其二是大品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种二次开发，通过真实世界研究进一步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佐证临床价值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已有多个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重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点产品在开展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RCT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研究</w:t>
            </w:r>
            <w:r w:rsidR="00A451B5"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2E465094" w14:textId="77777777" w:rsidR="009A275A" w:rsidRPr="00A451B5" w:rsidRDefault="009A275A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0F301D3B" w14:textId="77777777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Q：降本增效的问题，工业板块有哪些降本增效的工作在推进，以及未来的展望？</w:t>
            </w:r>
          </w:p>
          <w:p w14:paraId="04A982BF" w14:textId="5BE6B35F" w:rsidR="00A451B5" w:rsidRPr="00AB6D27" w:rsidRDefault="00A451B5" w:rsidP="00545E27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A：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制造管理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的原则方针是质量为先、成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本最优、智能制造和绿色发展。在确保质量的前提下，持续开展降本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增效是工业板块重点工作。整体思路是围绕提升产能利用率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严格控制新增产能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的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六大举措：其一是优化生产布局，重点发展一批水平比较高的基地，水平较低的基地会逐步关闭。其二是全面的精细管理，上药在医药行业开展较早，已经形成了文化。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 w:rsidR="009A275A">
              <w:rPr>
                <w:rFonts w:ascii="宋体" w:hAnsi="宋体" w:cs="宋体"/>
                <w:kern w:val="0"/>
                <w:sz w:val="24"/>
                <w:lang w:bidi="ar"/>
              </w:rPr>
              <w:t>023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年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推进了23个重点产品的全价值链的降本，今年将进一步扩展到所有的重点品种。其三是扩大智能采购；第四提升资金指标，优化工序、提升效率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、降低成本。其五是提升生产基地的人员效率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。第六是加强降能降耗。</w:t>
            </w:r>
          </w:p>
          <w:p w14:paraId="760983CC" w14:textId="77777777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66121299" w14:textId="49AD4928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</w:t>
            </w:r>
            <w:r w:rsidR="00545E27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：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公司在医药行业销售费用</w:t>
            </w:r>
            <w:r w:rsidR="00545E27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排名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靠前，</w:t>
            </w:r>
            <w:r w:rsidR="00545E27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对于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销售费用</w:t>
            </w:r>
            <w:r w:rsidR="00545E27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的管控有哪些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举措？</w:t>
            </w:r>
            <w:r w:rsidR="00545E27" w:rsidRPr="00A451B5"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  <w:t xml:space="preserve"> </w:t>
            </w:r>
          </w:p>
          <w:p w14:paraId="5E605F0E" w14:textId="5BB548A7" w:rsidR="00A451B5" w:rsidRPr="00AB6D27" w:rsidRDefault="00A451B5" w:rsidP="00A451B5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A：</w:t>
            </w:r>
            <w:r w:rsidR="00545E27" w:rsidRP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虽然公司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销售费用的绝对金额较大，但同时，公司销售额也较大。2</w:t>
            </w:r>
            <w:r w:rsidR="00545E27">
              <w:rPr>
                <w:rFonts w:ascii="宋体" w:hAnsi="宋体" w:cs="宋体"/>
                <w:kern w:val="0"/>
                <w:sz w:val="24"/>
                <w:lang w:bidi="ar"/>
              </w:rPr>
              <w:t>023年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四季度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，公司的销售费用率开始下降，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背后是营销模式的整合与调整。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 w:rsidR="009A275A">
              <w:rPr>
                <w:rFonts w:ascii="宋体" w:hAnsi="宋体" w:cs="宋体"/>
                <w:kern w:val="0"/>
                <w:sz w:val="24"/>
                <w:lang w:bidi="ar"/>
              </w:rPr>
              <w:t>023</w:t>
            </w:r>
            <w:r w:rsidR="009A275A">
              <w:rPr>
                <w:rFonts w:ascii="宋体" w:hAnsi="宋体" w:cs="宋体" w:hint="eastAsia"/>
                <w:kern w:val="0"/>
                <w:sz w:val="24"/>
                <w:lang w:bidi="ar"/>
              </w:rPr>
              <w:t>年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下半年开始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，管理层就坚决对于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营销模式进行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了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有效的调整和优化，自营终端能力得到很大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改善及提高。预计在营销模式优化的过程中，2</w:t>
            </w:r>
            <w:r w:rsidR="00545E27">
              <w:rPr>
                <w:rFonts w:ascii="宋体" w:hAnsi="宋体" w:cs="宋体"/>
                <w:kern w:val="0"/>
                <w:sz w:val="24"/>
                <w:lang w:bidi="ar"/>
              </w:rPr>
              <w:t>024年的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销售费用</w:t>
            </w:r>
            <w:r w:rsidR="00545E27">
              <w:rPr>
                <w:rFonts w:ascii="宋体" w:hAnsi="宋体" w:cs="宋体" w:hint="eastAsia"/>
                <w:kern w:val="0"/>
                <w:sz w:val="24"/>
                <w:lang w:bidi="ar"/>
              </w:rPr>
              <w:t>率将得到进一步的管控</w:t>
            </w: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2A093844" w14:textId="0C4E0C29" w:rsidR="00F62A3F" w:rsidRDefault="00F62A3F" w:rsidP="00A451B5">
            <w:pPr>
              <w:spacing w:line="276" w:lineRule="auto"/>
              <w:ind w:firstLineChars="200" w:firstLine="420"/>
            </w:pPr>
          </w:p>
        </w:tc>
      </w:tr>
      <w:tr w:rsidR="00190332" w14:paraId="3DEF6B5C" w14:textId="77777777">
        <w:trPr>
          <w:trHeight w:val="102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37D5" w14:textId="77777777" w:rsidR="00190332" w:rsidRDefault="00CA128B">
            <w:pPr>
              <w:spacing w:line="440" w:lineRule="exact"/>
              <w:ind w:firstLineChars="50" w:firstLine="120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D906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无</w:t>
            </w:r>
          </w:p>
        </w:tc>
      </w:tr>
      <w:tr w:rsidR="00190332" w14:paraId="1DA7DBF6" w14:textId="77777777">
        <w:trPr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7A65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注意事项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398" w14:textId="77777777" w:rsidR="00190332" w:rsidRDefault="00CA128B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Fonts w:hint="eastAsia"/>
                <w:sz w:val="24"/>
              </w:rPr>
              <w:t>公司严格遵守信披规则进行投资者交流，如涉及公司未来计划、发展战略等前瞻性描述，不构成公司对投资者的实质性承诺。</w:t>
            </w:r>
          </w:p>
        </w:tc>
      </w:tr>
    </w:tbl>
    <w:p w14:paraId="4BAE399E" w14:textId="77777777" w:rsidR="00190332" w:rsidRDefault="00190332" w:rsidP="009A275A">
      <w:pPr>
        <w:spacing w:line="440" w:lineRule="exact"/>
        <w:rPr>
          <w:rStyle w:val="NormalCharacter"/>
          <w:rFonts w:ascii="宋体" w:hAnsi="宋体"/>
          <w:sz w:val="24"/>
        </w:rPr>
      </w:pPr>
    </w:p>
    <w:sectPr w:rsidR="0019033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94AB" w14:textId="77777777" w:rsidR="00583851" w:rsidRDefault="00583851">
      <w:r>
        <w:separator/>
      </w:r>
    </w:p>
  </w:endnote>
  <w:endnote w:type="continuationSeparator" w:id="0">
    <w:p w14:paraId="74575150" w14:textId="77777777" w:rsidR="00583851" w:rsidRDefault="005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1980" w14:textId="77777777" w:rsidR="00190332" w:rsidRDefault="00190332">
    <w:pPr>
      <w:pStyle w:val="a9"/>
      <w:framePr w:wrap="around" w:hAnchor="text" w:xAlign="center" w:y="1"/>
      <w:rPr>
        <w:rStyle w:val="PageNumber"/>
      </w:rPr>
    </w:pPr>
  </w:p>
  <w:p w14:paraId="4D5923C8" w14:textId="77777777" w:rsidR="00190332" w:rsidRDefault="00190332">
    <w:pPr>
      <w:pStyle w:val="a9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7111"/>
    </w:sdtPr>
    <w:sdtEndPr/>
    <w:sdtContent>
      <w:p w14:paraId="7E0663C7" w14:textId="77777777" w:rsidR="00190332" w:rsidRDefault="00CA12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94" w:rsidRPr="00330694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562EB7D0" w14:textId="77777777" w:rsidR="00190332" w:rsidRDefault="00190332">
    <w:pPr>
      <w:pStyle w:val="a9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E58D" w14:textId="77777777" w:rsidR="00583851" w:rsidRDefault="00583851">
      <w:r>
        <w:separator/>
      </w:r>
    </w:p>
  </w:footnote>
  <w:footnote w:type="continuationSeparator" w:id="0">
    <w:p w14:paraId="6584358D" w14:textId="77777777" w:rsidR="00583851" w:rsidRDefault="0058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23EF" w14:textId="77777777" w:rsidR="00190332" w:rsidRDefault="00190332">
    <w:pPr>
      <w:pStyle w:val="ab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0ZGQ4MGFlMGFlMGE3NGYwOTgwNGYyNTA2NGE2OTkifQ=="/>
  </w:docVars>
  <w:rsids>
    <w:rsidRoot w:val="001612A5"/>
    <w:rsid w:val="000049BC"/>
    <w:rsid w:val="00017ACD"/>
    <w:rsid w:val="00022A13"/>
    <w:rsid w:val="00022DF1"/>
    <w:rsid w:val="0003022F"/>
    <w:rsid w:val="00030CA1"/>
    <w:rsid w:val="0007505C"/>
    <w:rsid w:val="0008531D"/>
    <w:rsid w:val="00094165"/>
    <w:rsid w:val="000A165D"/>
    <w:rsid w:val="000C29D0"/>
    <w:rsid w:val="000D180F"/>
    <w:rsid w:val="000D664B"/>
    <w:rsid w:val="000E5DA9"/>
    <w:rsid w:val="000E5E80"/>
    <w:rsid w:val="0010206E"/>
    <w:rsid w:val="001114F1"/>
    <w:rsid w:val="00111E46"/>
    <w:rsid w:val="00134F96"/>
    <w:rsid w:val="00141050"/>
    <w:rsid w:val="00144F45"/>
    <w:rsid w:val="0015245E"/>
    <w:rsid w:val="001529C7"/>
    <w:rsid w:val="001534EB"/>
    <w:rsid w:val="001612A5"/>
    <w:rsid w:val="001624F7"/>
    <w:rsid w:val="00180868"/>
    <w:rsid w:val="00186572"/>
    <w:rsid w:val="00190332"/>
    <w:rsid w:val="00195363"/>
    <w:rsid w:val="001B6BFB"/>
    <w:rsid w:val="001D469E"/>
    <w:rsid w:val="001E50A4"/>
    <w:rsid w:val="002005A4"/>
    <w:rsid w:val="00202C9E"/>
    <w:rsid w:val="00206D18"/>
    <w:rsid w:val="00234622"/>
    <w:rsid w:val="0025479E"/>
    <w:rsid w:val="00262CD4"/>
    <w:rsid w:val="00265473"/>
    <w:rsid w:val="002B7874"/>
    <w:rsid w:val="002C442B"/>
    <w:rsid w:val="002D6829"/>
    <w:rsid w:val="002D6DB9"/>
    <w:rsid w:val="002E015F"/>
    <w:rsid w:val="00306017"/>
    <w:rsid w:val="00307E40"/>
    <w:rsid w:val="00316D48"/>
    <w:rsid w:val="00330694"/>
    <w:rsid w:val="00332743"/>
    <w:rsid w:val="0036458C"/>
    <w:rsid w:val="00385085"/>
    <w:rsid w:val="00393349"/>
    <w:rsid w:val="003A13AC"/>
    <w:rsid w:val="003B61F9"/>
    <w:rsid w:val="003C0DC9"/>
    <w:rsid w:val="003D22D5"/>
    <w:rsid w:val="003D40ED"/>
    <w:rsid w:val="00424896"/>
    <w:rsid w:val="0047467F"/>
    <w:rsid w:val="00480547"/>
    <w:rsid w:val="00483506"/>
    <w:rsid w:val="004934E1"/>
    <w:rsid w:val="00496BE7"/>
    <w:rsid w:val="004C1E8C"/>
    <w:rsid w:val="004E3C38"/>
    <w:rsid w:val="004F205D"/>
    <w:rsid w:val="004F5FEE"/>
    <w:rsid w:val="00504100"/>
    <w:rsid w:val="005121B3"/>
    <w:rsid w:val="00515E05"/>
    <w:rsid w:val="005271BE"/>
    <w:rsid w:val="0052745A"/>
    <w:rsid w:val="00545E27"/>
    <w:rsid w:val="00555B2C"/>
    <w:rsid w:val="00555F7C"/>
    <w:rsid w:val="00583851"/>
    <w:rsid w:val="00590199"/>
    <w:rsid w:val="00600B36"/>
    <w:rsid w:val="0060600D"/>
    <w:rsid w:val="00606465"/>
    <w:rsid w:val="006075E9"/>
    <w:rsid w:val="00613D64"/>
    <w:rsid w:val="00622F8A"/>
    <w:rsid w:val="006541D2"/>
    <w:rsid w:val="0066537A"/>
    <w:rsid w:val="00695C8B"/>
    <w:rsid w:val="006A28D8"/>
    <w:rsid w:val="006A6E4F"/>
    <w:rsid w:val="006B3A5E"/>
    <w:rsid w:val="006D2DD9"/>
    <w:rsid w:val="006E1E89"/>
    <w:rsid w:val="006F130E"/>
    <w:rsid w:val="00703790"/>
    <w:rsid w:val="00706404"/>
    <w:rsid w:val="00735612"/>
    <w:rsid w:val="00741119"/>
    <w:rsid w:val="00755033"/>
    <w:rsid w:val="007557BB"/>
    <w:rsid w:val="00782468"/>
    <w:rsid w:val="00796AE3"/>
    <w:rsid w:val="007C186E"/>
    <w:rsid w:val="007D7D06"/>
    <w:rsid w:val="007F78C1"/>
    <w:rsid w:val="00804589"/>
    <w:rsid w:val="008322EE"/>
    <w:rsid w:val="00856C4A"/>
    <w:rsid w:val="00864F81"/>
    <w:rsid w:val="008728FC"/>
    <w:rsid w:val="0089503A"/>
    <w:rsid w:val="008A4FEB"/>
    <w:rsid w:val="008A50FC"/>
    <w:rsid w:val="008C39F1"/>
    <w:rsid w:val="008F2559"/>
    <w:rsid w:val="00906130"/>
    <w:rsid w:val="009122E1"/>
    <w:rsid w:val="00921DDC"/>
    <w:rsid w:val="0095315B"/>
    <w:rsid w:val="00954F0C"/>
    <w:rsid w:val="00962C11"/>
    <w:rsid w:val="0097279B"/>
    <w:rsid w:val="00992F1D"/>
    <w:rsid w:val="00993637"/>
    <w:rsid w:val="00996805"/>
    <w:rsid w:val="00996F8E"/>
    <w:rsid w:val="009A275A"/>
    <w:rsid w:val="00A143D5"/>
    <w:rsid w:val="00A451B5"/>
    <w:rsid w:val="00A501F8"/>
    <w:rsid w:val="00A72166"/>
    <w:rsid w:val="00A85263"/>
    <w:rsid w:val="00A9767A"/>
    <w:rsid w:val="00AB3821"/>
    <w:rsid w:val="00AB40FE"/>
    <w:rsid w:val="00AB6D27"/>
    <w:rsid w:val="00AC10DE"/>
    <w:rsid w:val="00AC30AD"/>
    <w:rsid w:val="00AF3BD1"/>
    <w:rsid w:val="00AF5898"/>
    <w:rsid w:val="00B11B7A"/>
    <w:rsid w:val="00B32A5C"/>
    <w:rsid w:val="00B32B73"/>
    <w:rsid w:val="00B3362D"/>
    <w:rsid w:val="00B530C2"/>
    <w:rsid w:val="00B91FC8"/>
    <w:rsid w:val="00BB665F"/>
    <w:rsid w:val="00BE05EA"/>
    <w:rsid w:val="00BE7581"/>
    <w:rsid w:val="00BF4496"/>
    <w:rsid w:val="00BF740E"/>
    <w:rsid w:val="00C02CE7"/>
    <w:rsid w:val="00C16AB4"/>
    <w:rsid w:val="00C50D5F"/>
    <w:rsid w:val="00C6696E"/>
    <w:rsid w:val="00C66C63"/>
    <w:rsid w:val="00C8334E"/>
    <w:rsid w:val="00C83D8C"/>
    <w:rsid w:val="00C85EF5"/>
    <w:rsid w:val="00C900BA"/>
    <w:rsid w:val="00C91D00"/>
    <w:rsid w:val="00CA0A67"/>
    <w:rsid w:val="00CA128B"/>
    <w:rsid w:val="00CA259E"/>
    <w:rsid w:val="00CC6B9F"/>
    <w:rsid w:val="00CD5794"/>
    <w:rsid w:val="00CD74C6"/>
    <w:rsid w:val="00CD7863"/>
    <w:rsid w:val="00CF3BCC"/>
    <w:rsid w:val="00D10426"/>
    <w:rsid w:val="00D12B9B"/>
    <w:rsid w:val="00D138A9"/>
    <w:rsid w:val="00D17872"/>
    <w:rsid w:val="00D35A87"/>
    <w:rsid w:val="00D425A2"/>
    <w:rsid w:val="00D453DE"/>
    <w:rsid w:val="00D45916"/>
    <w:rsid w:val="00D95D48"/>
    <w:rsid w:val="00DA21B2"/>
    <w:rsid w:val="00DA2A6C"/>
    <w:rsid w:val="00DB6FE8"/>
    <w:rsid w:val="00DC47C4"/>
    <w:rsid w:val="00DF4246"/>
    <w:rsid w:val="00E2446B"/>
    <w:rsid w:val="00E36635"/>
    <w:rsid w:val="00EC4411"/>
    <w:rsid w:val="00ED40C7"/>
    <w:rsid w:val="00EF4BC0"/>
    <w:rsid w:val="00F10E99"/>
    <w:rsid w:val="00F300A7"/>
    <w:rsid w:val="00F41F3D"/>
    <w:rsid w:val="00F475BD"/>
    <w:rsid w:val="00F54949"/>
    <w:rsid w:val="00F54A77"/>
    <w:rsid w:val="00F62A3F"/>
    <w:rsid w:val="00F805D5"/>
    <w:rsid w:val="00FB2C2F"/>
    <w:rsid w:val="00FB30CD"/>
    <w:rsid w:val="00FB5862"/>
    <w:rsid w:val="00FB726F"/>
    <w:rsid w:val="00FB7C73"/>
    <w:rsid w:val="00FE5237"/>
    <w:rsid w:val="00FF4076"/>
    <w:rsid w:val="023C4137"/>
    <w:rsid w:val="03630182"/>
    <w:rsid w:val="1FF22C96"/>
    <w:rsid w:val="23B8751D"/>
    <w:rsid w:val="278B57CE"/>
    <w:rsid w:val="29747F51"/>
    <w:rsid w:val="346A1E20"/>
    <w:rsid w:val="41796AE8"/>
    <w:rsid w:val="42BC698B"/>
    <w:rsid w:val="46842A30"/>
    <w:rsid w:val="471D71FD"/>
    <w:rsid w:val="477A0836"/>
    <w:rsid w:val="50494C0B"/>
    <w:rsid w:val="51597B96"/>
    <w:rsid w:val="52DB3004"/>
    <w:rsid w:val="543319E0"/>
    <w:rsid w:val="56222037"/>
    <w:rsid w:val="566D2997"/>
    <w:rsid w:val="57923C2C"/>
    <w:rsid w:val="59D606DD"/>
    <w:rsid w:val="61A37D03"/>
    <w:rsid w:val="61F13DDD"/>
    <w:rsid w:val="646B78AC"/>
    <w:rsid w:val="6632298B"/>
    <w:rsid w:val="67743C03"/>
    <w:rsid w:val="7EC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EAD81"/>
  <w15:docId w15:val="{4EE74311-A2A8-4430-AE35-3C9FDB1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widowControl w:val="0"/>
      <w:ind w:leftChars="2500" w:left="100"/>
      <w:textAlignment w:val="auto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unhideWhenUsed/>
    <w:qFormat/>
    <w:pPr>
      <w:widowControl w:val="0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Pr>
      <w:color w:val="CC0000"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paragraph" w:customStyle="1" w:styleId="BodyTextIndent">
    <w:name w:val="BodyTextIndent"/>
    <w:basedOn w:val="a"/>
    <w:qFormat/>
    <w:pPr>
      <w:spacing w:after="120"/>
      <w:ind w:leftChars="200" w:left="200"/>
    </w:pPr>
    <w:rPr>
      <w:szCs w:val="20"/>
    </w:rPr>
  </w:style>
  <w:style w:type="paragraph" w:customStyle="1" w:styleId="179">
    <w:name w:val="179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UserStyle2">
    <w:name w:val="UserStyle_2"/>
    <w:basedOn w:val="a"/>
    <w:qFormat/>
    <w:pPr>
      <w:tabs>
        <w:tab w:val="left" w:pos="720"/>
      </w:tabs>
      <w:ind w:left="720" w:hanging="720"/>
    </w:pPr>
    <w:rPr>
      <w:sz w:val="18"/>
      <w:szCs w:val="18"/>
    </w:rPr>
  </w:style>
  <w:style w:type="paragraph" w:customStyle="1" w:styleId="UserStyle3">
    <w:name w:val="UserStyle_3"/>
    <w:basedOn w:val="a"/>
    <w:qFormat/>
    <w:rPr>
      <w:rFonts w:ascii="仿宋_GB2312" w:eastAsia="仿宋_GB2312"/>
      <w:sz w:val="32"/>
      <w:szCs w:val="32"/>
    </w:rPr>
  </w:style>
  <w:style w:type="table" w:customStyle="1" w:styleId="TableGrid">
    <w:name w:val="TableGrid"/>
    <w:basedOn w:val="TableNormal"/>
    <w:qFormat/>
    <w:tblPr/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link w:val="Char"/>
    <w:uiPriority w:val="34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  <w:qFormat/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列出段落 Char"/>
    <w:link w:val="1"/>
    <w:uiPriority w:val="34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330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B4F8-D2B4-482D-95DB-5B5E39E2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王梓安</cp:lastModifiedBy>
  <cp:revision>4</cp:revision>
  <cp:lastPrinted>2020-05-06T16:51:00Z</cp:lastPrinted>
  <dcterms:created xsi:type="dcterms:W3CDTF">2024-04-07T08:43:00Z</dcterms:created>
  <dcterms:modified xsi:type="dcterms:W3CDTF">2024-04-08T05:39:00Z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D653F3924E1B434A904C0F4EE5CE03FE_13</vt:lpwstr>
  </property>
</Properties>
</file>