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4"/>
          <w:szCs w:val="24"/>
        </w:rPr>
      </w:pPr>
      <w:r>
        <w:rPr>
          <w:rFonts w:hint="eastAsia" w:ascii="宋体" w:hAnsi="宋体" w:eastAsia="宋体"/>
          <w:sz w:val="24"/>
          <w:szCs w:val="24"/>
        </w:rPr>
        <w:t>证券代码：</w:t>
      </w:r>
      <w:r>
        <w:rPr>
          <w:rFonts w:ascii="宋体" w:hAnsi="宋体" w:eastAsia="宋体"/>
          <w:sz w:val="24"/>
          <w:szCs w:val="24"/>
        </w:rPr>
        <w:t xml:space="preserve">600332                                     </w:t>
      </w:r>
      <w:r>
        <w:rPr>
          <w:rFonts w:hint="eastAsia" w:ascii="宋体" w:hAnsi="宋体" w:eastAsia="宋体"/>
          <w:sz w:val="24"/>
          <w:szCs w:val="24"/>
        </w:rPr>
        <w:t>证券简称：白云山</w:t>
      </w:r>
    </w:p>
    <w:p>
      <w:pPr>
        <w:rPr>
          <w:rFonts w:ascii="宋体" w:hAnsi="宋体" w:eastAsia="宋体"/>
          <w:sz w:val="24"/>
          <w:szCs w:val="24"/>
        </w:rPr>
      </w:pPr>
    </w:p>
    <w:p>
      <w:pPr>
        <w:jc w:val="center"/>
        <w:rPr>
          <w:rFonts w:ascii="宋体" w:hAnsi="宋体" w:eastAsia="宋体"/>
          <w:b/>
          <w:sz w:val="28"/>
          <w:szCs w:val="24"/>
        </w:rPr>
      </w:pPr>
      <w:r>
        <w:rPr>
          <w:rFonts w:hint="eastAsia" w:ascii="宋体" w:hAnsi="宋体" w:eastAsia="宋体"/>
          <w:b/>
          <w:sz w:val="28"/>
          <w:szCs w:val="24"/>
        </w:rPr>
        <w:t>广州白云山医药集团股份有限公司</w:t>
      </w:r>
    </w:p>
    <w:p>
      <w:pPr>
        <w:jc w:val="center"/>
        <w:rPr>
          <w:rFonts w:ascii="宋体" w:hAnsi="宋体" w:eastAsia="宋体"/>
          <w:b/>
          <w:sz w:val="28"/>
          <w:szCs w:val="24"/>
        </w:rPr>
      </w:pPr>
      <w:r>
        <w:rPr>
          <w:rFonts w:hint="eastAsia" w:ascii="宋体" w:hAnsi="宋体" w:eastAsia="宋体"/>
          <w:b/>
          <w:sz w:val="28"/>
          <w:szCs w:val="24"/>
        </w:rPr>
        <w:t>投资者关系活动记录表</w:t>
      </w:r>
    </w:p>
    <w:p>
      <w:pPr>
        <w:rPr>
          <w:rFonts w:ascii="宋体" w:hAnsi="宋体" w:eastAsia="宋体"/>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投资者关系活动类别</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default" w:ascii="宋体" w:hAnsi="宋体" w:eastAsia="宋体" w:cs="Times New Roman"/>
                <w:sz w:val="24"/>
                <w:szCs w:val="24"/>
              </w:rPr>
              <w:sym w:font="Wingdings 2" w:char="0052"/>
            </w:r>
            <w:r>
              <w:rPr>
                <w:rFonts w:hint="default" w:ascii="宋体" w:hAnsi="宋体" w:eastAsia="宋体" w:cs="Times New Roman"/>
                <w:sz w:val="24"/>
                <w:szCs w:val="24"/>
              </w:rPr>
              <w:t xml:space="preserve">特定对象调研 </w:t>
            </w:r>
            <w:r>
              <w:rPr>
                <w:rFonts w:hint="default" w:ascii="宋体" w:hAnsi="宋体" w:eastAsia="宋体" w:cs="Times New Roman"/>
                <w:sz w:val="24"/>
                <w:szCs w:val="24"/>
              </w:rPr>
              <w:sym w:font="Wingdings 2" w:char="0052"/>
            </w:r>
            <w:r>
              <w:rPr>
                <w:rFonts w:hint="default" w:ascii="宋体" w:hAnsi="宋体" w:eastAsia="宋体" w:cs="Times New Roman"/>
                <w:sz w:val="24"/>
                <w:szCs w:val="24"/>
              </w:rPr>
              <w:t xml:space="preserve">分析师会议 </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default" w:ascii="宋体" w:hAnsi="宋体" w:eastAsia="宋体" w:cs="Times New Roman"/>
                <w:sz w:val="24"/>
                <w:szCs w:val="24"/>
              </w:rPr>
              <w:sym w:font="Wingdings 2" w:char="00A3"/>
            </w:r>
            <w:r>
              <w:rPr>
                <w:rFonts w:hint="default" w:ascii="宋体" w:hAnsi="宋体" w:eastAsia="宋体" w:cs="Times New Roman"/>
                <w:sz w:val="24"/>
                <w:szCs w:val="24"/>
              </w:rPr>
              <w:t xml:space="preserve">媒体采访 </w:t>
            </w:r>
            <w:r>
              <w:rPr>
                <w:rFonts w:hint="default" w:ascii="宋体" w:hAnsi="宋体" w:eastAsia="宋体" w:cs="Times New Roman"/>
                <w:sz w:val="24"/>
                <w:szCs w:val="24"/>
              </w:rPr>
              <w:sym w:font="Wingdings 2" w:char="00A3"/>
            </w:r>
            <w:r>
              <w:rPr>
                <w:rFonts w:hint="default" w:ascii="宋体" w:hAnsi="宋体" w:eastAsia="宋体" w:cs="Times New Roman"/>
                <w:sz w:val="24"/>
                <w:szCs w:val="24"/>
              </w:rPr>
              <w:t xml:space="preserve">业绩说明会 </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default" w:ascii="宋体" w:hAnsi="宋体" w:eastAsia="宋体" w:cs="Times New Roman"/>
                <w:sz w:val="24"/>
                <w:szCs w:val="24"/>
              </w:rPr>
              <w:t>□新闻发布会</w:t>
            </w:r>
            <w:r>
              <w:rPr>
                <w:rFonts w:hint="eastAsia" w:ascii="宋体" w:hAnsi="宋体" w:eastAsia="宋体" w:cs="Times New Roman"/>
                <w:sz w:val="24"/>
                <w:szCs w:val="24"/>
                <w:lang w:val="en-US" w:eastAsia="zh-CN"/>
              </w:rPr>
              <w:t xml:space="preserve"> </w:t>
            </w:r>
            <w:r>
              <w:rPr>
                <w:rFonts w:hint="default" w:ascii="宋体" w:hAnsi="宋体" w:eastAsia="宋体" w:cs="Times New Roman"/>
                <w:sz w:val="24"/>
                <w:szCs w:val="24"/>
              </w:rPr>
              <w:sym w:font="Wingdings 2" w:char="0052"/>
            </w:r>
            <w:r>
              <w:rPr>
                <w:rFonts w:hint="default" w:ascii="宋体" w:hAnsi="宋体" w:eastAsia="宋体" w:cs="Times New Roman"/>
                <w:sz w:val="24"/>
                <w:szCs w:val="24"/>
              </w:rPr>
              <w:t xml:space="preserve">路演活动 </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default" w:ascii="宋体" w:hAnsi="宋体" w:eastAsia="宋体" w:cs="Times New Roman"/>
                <w:sz w:val="24"/>
                <w:szCs w:val="24"/>
              </w:rPr>
              <w:t>□现场参观</w:t>
            </w:r>
            <w:r>
              <w:rPr>
                <w:rFonts w:hint="eastAsia" w:ascii="宋体" w:hAnsi="宋体" w:eastAsia="宋体" w:cs="Times New Roman"/>
                <w:sz w:val="24"/>
                <w:szCs w:val="24"/>
              </w:rPr>
              <w:t xml:space="preserve"> </w:t>
            </w:r>
            <w:r>
              <w:rPr>
                <w:rFonts w:hint="default" w:ascii="宋体" w:hAnsi="宋体" w:eastAsia="宋体" w:cs="Times New Roman"/>
                <w:sz w:val="24"/>
                <w:szCs w:val="24"/>
              </w:rPr>
              <w:sym w:font="Wingdings 2" w:char="00A3"/>
            </w:r>
            <w:r>
              <w:rPr>
                <w:rFonts w:hint="default" w:ascii="宋体" w:hAnsi="宋体" w:eastAsia="宋体" w:cs="Times New Roman"/>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default" w:ascii="宋体" w:hAnsi="宋体" w:eastAsia="宋体" w:cs="Times New Roman"/>
                <w:sz w:val="24"/>
                <w:szCs w:val="24"/>
              </w:rPr>
              <w:t>召开方式</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rPr>
            </w:pPr>
            <w:r>
              <w:rPr>
                <w:rFonts w:hint="eastAsia" w:ascii="宋体" w:hAnsi="宋体" w:eastAsia="宋体" w:cs="Times New Roman"/>
                <w:sz w:val="24"/>
                <w:szCs w:val="24"/>
                <w:lang w:val="en-US" w:eastAsia="zh-CN"/>
              </w:rPr>
              <w:t>现场路演、线上调研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时间</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eastAsia="zh-CN"/>
              </w:rPr>
            </w:pPr>
            <w:r>
              <w:rPr>
                <w:rFonts w:hint="default" w:ascii="宋体" w:hAnsi="宋体" w:eastAsia="宋体" w:cs="Times New Roman"/>
                <w:sz w:val="24"/>
                <w:szCs w:val="24"/>
              </w:rPr>
              <w:t>202</w:t>
            </w:r>
            <w:r>
              <w:rPr>
                <w:rFonts w:hint="eastAsia" w:ascii="宋体" w:hAnsi="宋体" w:eastAsia="宋体" w:cs="Times New Roman"/>
                <w:sz w:val="24"/>
                <w:szCs w:val="24"/>
                <w:lang w:val="en-US" w:eastAsia="zh-CN"/>
              </w:rPr>
              <w:t>4</w:t>
            </w:r>
            <w:r>
              <w:rPr>
                <w:rFonts w:hint="default" w:ascii="宋体" w:hAnsi="宋体" w:eastAsia="宋体" w:cs="Times New Roman"/>
                <w:sz w:val="24"/>
                <w:szCs w:val="24"/>
              </w:rPr>
              <w:t>年</w:t>
            </w: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月</w:t>
            </w:r>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日</w:t>
            </w:r>
            <w:r>
              <w:rPr>
                <w:rFonts w:hint="eastAsia" w:ascii="宋体" w:hAnsi="宋体" w:eastAsia="宋体" w:cs="Times New Roman"/>
                <w:sz w:val="24"/>
                <w:szCs w:val="24"/>
                <w:lang w:val="en-US" w:eastAsia="zh-CN"/>
              </w:rPr>
              <w:t>至2024年3月31日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地点</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eastAsia="zh-Hans"/>
              </w:rPr>
            </w:pPr>
            <w:r>
              <w:rPr>
                <w:rFonts w:hint="eastAsia" w:ascii="宋体" w:hAnsi="宋体" w:eastAsia="宋体" w:cs="Times New Roman"/>
                <w:sz w:val="24"/>
                <w:szCs w:val="24"/>
                <w:lang w:val="en-US" w:eastAsia="zh-CN"/>
              </w:rPr>
              <w:t>上海、北京及香港三地路演场地会议室，公司会议室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公司参与人员</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副董事长程宁女士、执行董事张春波先生、执行董事兼总经理黎洪先生、副总经理郑坚雄先生、董事会秘书黄雪贞女士、财务总监刘菲女士、王老吉大健康常务副总经理赵敏女士、证券代表黄瑞媚女士、董秘室经理郭云倩女士、董秘室主管李春瑶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96"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sz w:val="24"/>
                <w:szCs w:val="24"/>
                <w:lang w:eastAsia="zh-Hans"/>
              </w:rPr>
            </w:pPr>
            <w:r>
              <w:rPr>
                <w:rFonts w:hint="eastAsia" w:ascii="宋体" w:hAnsi="宋体" w:eastAsia="宋体" w:cs="Times New Roman"/>
                <w:sz w:val="24"/>
                <w:szCs w:val="24"/>
                <w:lang w:eastAsia="zh-Hans"/>
              </w:rPr>
              <w:t>接待人员</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3月19日：花旗银行</w:t>
            </w:r>
          </w:p>
          <w:p>
            <w:pPr>
              <w:keepNext w:val="0"/>
              <w:keepLines w:val="0"/>
              <w:suppressLineNumbers w:val="0"/>
              <w:spacing w:before="0" w:beforeAutospacing="0" w:after="0" w:afterAutospacing="0" w:line="360" w:lineRule="auto"/>
              <w:ind w:left="0" w:right="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3月20日：太平洋保险、汇添富基金、兴全基金、平安养老、中银基金、高毅资产</w:t>
            </w:r>
          </w:p>
          <w:p>
            <w:pPr>
              <w:keepNext w:val="0"/>
              <w:keepLines w:val="0"/>
              <w:suppressLineNumbers w:val="0"/>
              <w:spacing w:before="0" w:beforeAutospacing="0" w:after="0" w:afterAutospacing="0" w:line="360" w:lineRule="auto"/>
              <w:ind w:left="0" w:right="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3月22日：阳光资管、工银瑞信、银华基金、人保养老</w:t>
            </w:r>
          </w:p>
          <w:p>
            <w:pPr>
              <w:keepNext w:val="0"/>
              <w:keepLines w:val="0"/>
              <w:suppressLineNumbers w:val="0"/>
              <w:spacing w:before="0" w:beforeAutospacing="0" w:after="0" w:afterAutospacing="0" w:line="360" w:lineRule="auto"/>
              <w:ind w:left="0" w:right="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3月26日：Taikang Insurance Group Inc, Boyu Capital Iny Mgmt Co Ltd, Balyasny Asset Management,HSBC Global AM HK</w:t>
            </w:r>
          </w:p>
          <w:p>
            <w:pPr>
              <w:keepNext w:val="0"/>
              <w:keepLines w:val="0"/>
              <w:suppressLineNumbers w:val="0"/>
              <w:spacing w:before="0" w:beforeAutospacing="0" w:after="0" w:afterAutospacing="0" w:line="360" w:lineRule="auto"/>
              <w:ind w:left="0" w:right="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3月27日：Keywise Capital</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3月28日：信达医药、农银人寿、恒生前海基金、泰康人寿、广东正圆、恒越基金、华夏久盈资产、泰信基金、深圳创富兆业、嘉实基金、富安达基金、乾阳投资、广发证券、仁桥资产管理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default" w:ascii="宋体" w:hAnsi="宋体" w:eastAsia="宋体" w:cs="Times New Roman"/>
                <w:sz w:val="24"/>
                <w:szCs w:val="24"/>
              </w:rPr>
              <w:t>投资者关系活动主要内容介绍</w:t>
            </w:r>
          </w:p>
        </w:tc>
        <w:tc>
          <w:tcPr>
            <w:tcW w:w="6600" w:type="dxa"/>
            <w:noWrap w:val="0"/>
            <w:vAlign w:val="top"/>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left="0" w:right="0" w:firstLine="480" w:firstLineChars="200"/>
              <w:jc w:val="left"/>
              <w:rPr>
                <w:rFonts w:hint="eastAsia" w:ascii="宋体" w:hAnsi="宋体" w:eastAsia="宋体" w:cs="Times New Roman"/>
                <w:b w:val="0"/>
                <w:bCs w:val="0"/>
                <w:sz w:val="24"/>
                <w:szCs w:val="24"/>
              </w:rPr>
            </w:pPr>
            <w:r>
              <w:rPr>
                <w:rFonts w:hint="eastAsia" w:ascii="宋体" w:hAnsi="宋体" w:eastAsia="宋体" w:cs="Times New Roman"/>
                <w:b w:val="0"/>
                <w:bCs w:val="0"/>
                <w:sz w:val="24"/>
                <w:szCs w:val="24"/>
              </w:rPr>
              <w:t>主要内容包括：</w:t>
            </w:r>
          </w:p>
          <w:p>
            <w:pPr>
              <w:keepNext w:val="0"/>
              <w:keepLines w:val="0"/>
              <w:pageBreakBefore w:val="0"/>
              <w:widowControl/>
              <w:numPr>
                <w:ilvl w:val="0"/>
                <w:numId w:val="1"/>
              </w:numPr>
              <w:suppressLineNumbers w:val="0"/>
              <w:kinsoku/>
              <w:wordWrap/>
              <w:overflowPunct/>
              <w:topLinePunct w:val="0"/>
              <w:autoSpaceDE/>
              <w:autoSpaceDN/>
              <w:bidi w:val="0"/>
              <w:snapToGrid/>
              <w:spacing w:before="0" w:beforeAutospacing="0" w:after="0" w:afterAutospacing="0" w:line="500" w:lineRule="exact"/>
              <w:ind w:left="0" w:right="0" w:firstLine="480" w:firstLineChars="20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公司2023年经营情况介绍</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rightChars="0" w:firstLine="480" w:firstLineChars="20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公司成立于1997年，2013年6月完成换股吸收合并白云山A，并于7月正式更名为“广州白云山医药集团股份有限公司”。目前，公司业务包括大南药、大健康、大商业、大医疗四大业务板块。2023年，公司实现营业收入755.15亿元，同比增长 6.68%；利润总额为51.1亿元，同比增长1.33%；归属本公司股东的净利润为40.56亿元，同比增长 2.25%；归属于本公司股东的扣除非经常性损益的净利润为36.36亿元，同比上升9.53%；经营活动产生的现金流净额为41.03亿元，同比下降41.38%。</w:t>
            </w:r>
          </w:p>
          <w:p>
            <w:pPr>
              <w:keepNext w:val="0"/>
              <w:keepLines w:val="0"/>
              <w:pageBreakBefore w:val="0"/>
              <w:widowControl/>
              <w:numPr>
                <w:ilvl w:val="0"/>
                <w:numId w:val="1"/>
              </w:numPr>
              <w:suppressLineNumbers w:val="0"/>
              <w:kinsoku/>
              <w:wordWrap/>
              <w:overflowPunct/>
              <w:topLinePunct w:val="0"/>
              <w:autoSpaceDE/>
              <w:autoSpaceDN/>
              <w:bidi w:val="0"/>
              <w:snapToGrid/>
              <w:spacing w:before="0" w:beforeAutospacing="0" w:after="0" w:afterAutospacing="0" w:line="500" w:lineRule="exact"/>
              <w:ind w:left="0" w:leftChars="0" w:right="0" w:rightChars="0" w:firstLine="480" w:firstLineChars="20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公司大健康板块在新品拓展方面有何计划？</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rightChars="0" w:firstLine="480" w:firstLineChars="20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2023年，公司大健康板块推出了山茶花味凉茶、藤椒青提口味凉茶、榴莲风味凉茶等新品，并以新疆沙棘、西梅为原料，开发了精制沙棘液果汁饮料、新西梅原浆、西梅羽衣甘蓝高纤啫喱等系列产品。未来，大健康板块将持续以消费者对健康的需求为导向，聚焦天然植物饮品，持续丰富产品口味和包装，拓展新品类，不断丰富大健康产品矩阵。</w:t>
            </w:r>
          </w:p>
          <w:p>
            <w:pPr>
              <w:keepNext w:val="0"/>
              <w:keepLines w:val="0"/>
              <w:pageBreakBefore w:val="0"/>
              <w:widowControl/>
              <w:numPr>
                <w:ilvl w:val="0"/>
                <w:numId w:val="1"/>
              </w:numPr>
              <w:suppressLineNumbers w:val="0"/>
              <w:kinsoku/>
              <w:wordWrap/>
              <w:overflowPunct/>
              <w:topLinePunct w:val="0"/>
              <w:autoSpaceDE/>
              <w:autoSpaceDN/>
              <w:bidi w:val="0"/>
              <w:snapToGrid/>
              <w:spacing w:before="0" w:beforeAutospacing="0" w:after="0" w:afterAutospacing="0" w:line="500" w:lineRule="exact"/>
              <w:ind w:left="0" w:leftChars="0" w:right="0" w:rightChars="0" w:firstLine="480" w:firstLineChars="20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公司大健康板块新品2023年销售情况如何？</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rightChars="0" w:firstLine="480" w:firstLineChars="20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除王老吉凉茶外，公司近年重点打造大健康产品还有刺柠吉系列和荔小吉系列。刺柠吉自2019年上市至今一直受到市场的关注，目前正在开展全面的铺货工作；荔小吉系列产品为公司2022年推出的新产品系列，目前处于样本市场打造阶段。现阶段，两款产品尚处培育阶段，对公司整体营业收入影响不算重大。未来，公司将按照规划，大力推进刺柠吉、荔小吉系列产品等新产品的开发、销售，努力提高新产品市场认识度，逐步将其培育成为大健康板块重要产品。</w:t>
            </w:r>
          </w:p>
          <w:p>
            <w:pPr>
              <w:keepNext w:val="0"/>
              <w:keepLines w:val="0"/>
              <w:pageBreakBefore w:val="0"/>
              <w:widowControl/>
              <w:numPr>
                <w:ilvl w:val="0"/>
                <w:numId w:val="1"/>
              </w:numPr>
              <w:suppressLineNumbers w:val="0"/>
              <w:kinsoku/>
              <w:wordWrap/>
              <w:overflowPunct/>
              <w:topLinePunct w:val="0"/>
              <w:autoSpaceDE/>
              <w:autoSpaceDN/>
              <w:bidi w:val="0"/>
              <w:snapToGrid/>
              <w:spacing w:before="0" w:beforeAutospacing="0" w:after="0" w:afterAutospacing="0" w:line="500" w:lineRule="exact"/>
              <w:ind w:left="0" w:leftChars="0" w:right="0" w:rightChars="0" w:firstLine="480" w:firstLineChars="20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公司对目前凉茶行业发展情况有何看法？</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rightChars="0" w:firstLine="480" w:firstLineChars="200"/>
              <w:jc w:val="left"/>
              <w:rPr>
                <w:rFonts w:hint="default"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考虑到消费升级、国际化发展以及市场的拓展空间等因素，公司认为凉茶行业仍有继续发展的空间。未来，公司一方面将根据消费者需求持续推进凉茶产品的升级，推出更具年轻化、时尚化的产品；另一方面，也将持续强化新品培育，不断推动公司大健康板块饮料品种与产品口味进一步丰富。</w:t>
            </w:r>
          </w:p>
          <w:p>
            <w:pPr>
              <w:keepNext w:val="0"/>
              <w:keepLines w:val="0"/>
              <w:pageBreakBefore w:val="0"/>
              <w:widowControl/>
              <w:numPr>
                <w:ilvl w:val="0"/>
                <w:numId w:val="1"/>
              </w:numPr>
              <w:suppressLineNumbers w:val="0"/>
              <w:kinsoku/>
              <w:wordWrap/>
              <w:overflowPunct/>
              <w:topLinePunct w:val="0"/>
              <w:autoSpaceDE/>
              <w:autoSpaceDN/>
              <w:bidi w:val="0"/>
              <w:snapToGrid/>
              <w:spacing w:before="0" w:beforeAutospacing="0" w:after="0" w:afterAutospacing="0" w:line="500" w:lineRule="exact"/>
              <w:ind w:left="0" w:leftChars="0" w:right="0" w:rightChars="0" w:firstLine="480" w:firstLineChars="20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公司大南药板块化学药集采情况如何？</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rightChars="0" w:firstLine="480" w:firstLineChars="200"/>
              <w:jc w:val="left"/>
              <w:rPr>
                <w:rFonts w:hint="default"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答：在国家已经进行的集中采购中，公司分别在第三批以及第五批国采中有中标品种。其中，盐酸美金刚片、盐酸环丙沙星片两个产品在第三批国采中标，注射用头孢呋辛（0.25g、0.75g、1.5g）在第五批国采中标。</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firstLine="480" w:firstLineChars="20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（六）公司参与中成药集采情况如何？</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firstLine="480" w:firstLineChars="20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答：在已公布结果的中成药集采中，公司合并报表范围内的中标产品主要包括滋肾育胎丸、清开灵系列部分品规以及鸦胆子油乳注射液。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（七）公司目前研发进展如何？</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rightChars="0" w:firstLine="480" w:firstLineChars="200"/>
              <w:jc w:val="left"/>
              <w:rPr>
                <w:rFonts w:hint="default"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公司重视研发创新。2023年，公司持续加大研发力度，共计投入研发费用为7.82亿元，截至2023年末公司在研项目超过150个，获得盐酸达泊西汀片等新品的生产批件11项，获得中药创新药养阴舒肝颗粒、儿童小柴胡颗粒临床试验批件2项；获得各级科技奖项19项，其中中一药业的“滋肾育胎丸的创新研究与应用”项目荣获2023年第48届日内瓦国际发明展金奖。</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rightChars="0" w:firstLine="480" w:firstLineChars="20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（八）金戈2023年销售情况如何？金戈的竞争优势在哪里？预计未来还有发展空间吗？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2023年金戈销售收入突破12亿元，同比增速超过20%。这主要是因为2023年公司继续线下推进全国KA连锁的深度合作、加大中小连锁的开发上柜，线上加强全国TOP10电商巨头的深度合作，增强品类份额。目前金戈同类产品在市场上竞争比较激烈，但公司认为金戈在质量、品规、品牌等方面在同类药中具有竞争优势，未来仍有增长空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（九）公司大南药板块有哪些销售收入比较大的产品？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default"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答：除金戈外，公司旗下销售收入过亿产品包括消渴丸、小柴胡颗粒、滋肾育胎丸、华佗再造丸、清开灵系列、注射用头孢呋辛钠等。</w:t>
            </w:r>
          </w:p>
          <w:p>
            <w:pPr>
              <w:pStyle w:val="2"/>
              <w:keepNext w:val="0"/>
              <w:keepLines w:val="0"/>
              <w:pageBreakBefore w:val="0"/>
              <w:widowControl w:val="0"/>
              <w:numPr>
                <w:ilvl w:val="-1"/>
                <w:numId w:val="0"/>
              </w:numPr>
              <w:suppressLineNumbers w:val="0"/>
              <w:kinsoku/>
              <w:wordWrap/>
              <w:overflowPunct/>
              <w:topLinePunct w:val="0"/>
              <w:autoSpaceDE/>
              <w:autoSpaceDN/>
              <w:bidi w:val="0"/>
              <w:snapToGrid/>
              <w:spacing w:before="0" w:beforeAutospacing="0" w:after="0" w:afterAutospacing="0" w:line="500" w:lineRule="exact"/>
              <w:ind w:left="0" w:leftChars="0" w:right="0" w:firstLine="480" w:firstLineChars="200"/>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（十）2023年国家对医药行业反腐败力度不断加大，对公司医药相关业务是否有影响？</w:t>
            </w:r>
          </w:p>
          <w:p>
            <w:pPr>
              <w:pStyle w:val="2"/>
              <w:keepNext w:val="0"/>
              <w:keepLines w:val="0"/>
              <w:pageBreakBefore w:val="0"/>
              <w:widowControl w:val="0"/>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firstLine="480" w:firstLineChars="200"/>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答：2023年5月，国家卫健委等 14部委联合下发了《2023 年纠正医药购销领域和医疗服务中不正之风工作要点》，公布今年医药购销、医疗纠风重点。从中长期看，行业严格监管有利于优质龙头企业的发展，公司将坚决贯彻落实国家关于医药卫生体制的政策要求，坚持以合规为经营底线，推动公司持续健康发展。</w:t>
            </w:r>
          </w:p>
          <w:p>
            <w:pPr>
              <w:pStyle w:val="2"/>
              <w:keepNext w:val="0"/>
              <w:keepLines w:val="0"/>
              <w:pageBreakBefore w:val="0"/>
              <w:widowControl w:val="0"/>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firstLine="480" w:firstLineChars="200"/>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（十一）2023年中药材价格上涨对公司有何影响？</w:t>
            </w:r>
          </w:p>
          <w:p>
            <w:pPr>
              <w:pStyle w:val="2"/>
              <w:keepNext w:val="0"/>
              <w:keepLines w:val="0"/>
              <w:pageBreakBefore w:val="0"/>
              <w:widowControl w:val="0"/>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firstLine="480" w:firstLineChars="200"/>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答：2023年以来，市场上多种中药材价格持续上升，所涉及的重要药材品种大多为常用大宗药材，导致公司相关中药产品的成本有所增加。公司通过下属的中药材集中采购平台，根据生产所需，通过招标或定向采购等形式，集中从合格供应商采购，有较强的议价能力，此外，公司拥有多个药材种植基地，确保药材质量及数量得到保证，有效控制采购成本。</w:t>
            </w:r>
          </w:p>
          <w:p>
            <w:pPr>
              <w:pStyle w:val="2"/>
              <w:keepNext w:val="0"/>
              <w:keepLines w:val="0"/>
              <w:pageBreakBefore w:val="0"/>
              <w:widowControl w:val="0"/>
              <w:numPr>
                <w:ilvl w:val="0"/>
                <w:numId w:val="0"/>
              </w:numPr>
              <w:suppressLineNumbers w:val="0"/>
              <w:kinsoku/>
              <w:wordWrap/>
              <w:overflowPunct/>
              <w:topLinePunct w:val="0"/>
              <w:autoSpaceDE/>
              <w:autoSpaceDN/>
              <w:bidi w:val="0"/>
              <w:snapToGrid/>
              <w:spacing w:before="0" w:beforeAutospacing="0" w:after="0" w:afterAutospacing="0" w:line="500" w:lineRule="exact"/>
              <w:ind w:left="420" w:leftChars="200" w:right="0" w:rightChars="0"/>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（十二）公司化学药及中成药营业收入分别占比多少？</w:t>
            </w:r>
          </w:p>
          <w:p>
            <w:pPr>
              <w:pStyle w:val="2"/>
              <w:keepNext w:val="0"/>
              <w:keepLines w:val="0"/>
              <w:pageBreakBefore w:val="0"/>
              <w:widowControl w:val="0"/>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rightChars="0" w:firstLine="480" w:firstLineChars="200"/>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答：2023年公司中成药板块实现营业收入62.71亿元，占大南药板块营业收入的比例约为58%；化学药板块实现营业收入46.18亿元，占大南药板块营业收入的比例约为42%。</w:t>
            </w:r>
          </w:p>
          <w:p>
            <w:pPr>
              <w:pStyle w:val="2"/>
              <w:keepNext w:val="0"/>
              <w:keepLines w:val="0"/>
              <w:pageBreakBefore w:val="0"/>
              <w:widowControl w:val="0"/>
              <w:numPr>
                <w:ilvl w:val="0"/>
                <w:numId w:val="0"/>
              </w:numPr>
              <w:suppressLineNumbers w:val="0"/>
              <w:kinsoku/>
              <w:wordWrap/>
              <w:overflowPunct/>
              <w:topLinePunct w:val="0"/>
              <w:autoSpaceDE/>
              <w:autoSpaceDN/>
              <w:bidi w:val="0"/>
              <w:snapToGrid/>
              <w:spacing w:before="0" w:beforeAutospacing="0" w:after="0" w:afterAutospacing="0" w:line="500" w:lineRule="exact"/>
              <w:ind w:left="420" w:leftChars="200" w:right="0" w:rightChars="0"/>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（十三）广州医药新三板挂牌进展情况如何？</w:t>
            </w:r>
          </w:p>
          <w:p>
            <w:pPr>
              <w:pStyle w:val="2"/>
              <w:keepNext w:val="0"/>
              <w:keepLines w:val="0"/>
              <w:pageBreakBefore w:val="0"/>
              <w:widowControl w:val="0"/>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rightChars="0" w:firstLine="480" w:firstLineChars="200"/>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答：根据业务发展需要，广州医药计划在全国中小企业股份转让系统挂牌，并择机于北交所上市。广州医药已聘请具有相应资质的主办券商、会计师、律师等中介机构，积极准备申请新三板挂牌所需资料文件并加紧推进相关事宜。</w:t>
            </w:r>
          </w:p>
          <w:p>
            <w:pPr>
              <w:pStyle w:val="2"/>
              <w:keepNext w:val="0"/>
              <w:keepLines w:val="0"/>
              <w:pageBreakBefore w:val="0"/>
              <w:widowControl w:val="0"/>
              <w:numPr>
                <w:ilvl w:val="0"/>
                <w:numId w:val="0"/>
              </w:numPr>
              <w:suppressLineNumbers w:val="0"/>
              <w:kinsoku/>
              <w:wordWrap/>
              <w:overflowPunct/>
              <w:topLinePunct w:val="0"/>
              <w:autoSpaceDE/>
              <w:autoSpaceDN/>
              <w:bidi w:val="0"/>
              <w:snapToGrid/>
              <w:spacing w:before="0" w:beforeAutospacing="0" w:after="0" w:afterAutospacing="0" w:line="500" w:lineRule="exact"/>
              <w:ind w:left="420" w:leftChars="200" w:right="0" w:rightChars="0"/>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（十四）公司大商业板块未来发展计划？</w:t>
            </w:r>
          </w:p>
          <w:p>
            <w:pPr>
              <w:pStyle w:val="2"/>
              <w:keepNext w:val="0"/>
              <w:keepLines w:val="0"/>
              <w:pageBreakBefore w:val="0"/>
              <w:widowControl w:val="0"/>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rightChars="0" w:firstLine="480" w:firstLineChars="200"/>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答：2023年，广州医药不断加大投资并购推进力度，拓宽全国销售网络，新设广药黑龙江医药有限公司、广药（韶关）医药有限公司并实现开业，完善广东省的二级子公司布局，粤港澳大湾区9地市子公司全部落地；完成汕头、湛江、东莞、惠州四地市全资子公司的设立工作。下一步，广州医药将按照计划，不断推进投资合作，加快推进省外重点区域布点及省内地级市布局。</w:t>
            </w:r>
          </w:p>
          <w:p>
            <w:pPr>
              <w:pStyle w:val="2"/>
              <w:keepNext w:val="0"/>
              <w:keepLines w:val="0"/>
              <w:pageBreakBefore w:val="0"/>
              <w:widowControl w:val="0"/>
              <w:numPr>
                <w:ilvl w:val="0"/>
                <w:numId w:val="0"/>
              </w:numPr>
              <w:suppressLineNumbers w:val="0"/>
              <w:kinsoku/>
              <w:wordWrap/>
              <w:overflowPunct/>
              <w:topLinePunct w:val="0"/>
              <w:autoSpaceDE/>
              <w:autoSpaceDN/>
              <w:bidi w:val="0"/>
              <w:snapToGrid/>
              <w:spacing w:before="0" w:beforeAutospacing="0" w:after="0" w:afterAutospacing="0" w:line="500" w:lineRule="exact"/>
              <w:ind w:left="420" w:leftChars="200" w:right="0" w:rightChars="0"/>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（十五）公司在资源整合方面有何举措？</w:t>
            </w:r>
          </w:p>
          <w:p>
            <w:pPr>
              <w:pStyle w:val="2"/>
              <w:keepNext w:val="0"/>
              <w:keepLines w:val="0"/>
              <w:pageBreakBefore w:val="0"/>
              <w:widowControl w:val="0"/>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rightChars="0" w:firstLine="480" w:firstLineChars="200"/>
              <w:rPr>
                <w:rFonts w:hint="default"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答：资源整合一直是公司的重点工作，以达到降低成本、提高效益的目的。目前公司已开展了对科研、品牌、广告、采购、销售等多个方面的资源整合，如建立了集采平台、专门的品牌公司、销售公司等。其中销售公司已整合了四家企业的销售资源，也是作为公司的销售业务整合的试点。后续，公司将结合各下属企业品牌及产品特点，谨慎研究，权衡利弊，根据实际情况逐步推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eastAsia" w:ascii="宋体" w:hAnsi="宋体" w:eastAsia="宋体" w:cs="Times New Roman"/>
                <w:b w:val="0"/>
                <w:bCs w:val="0"/>
                <w:sz w:val="24"/>
                <w:szCs w:val="24"/>
                <w:lang w:val="en-US" w:eastAsia="zh-CN"/>
              </w:rPr>
            </w:pPr>
            <w:r>
              <w:rPr>
                <w:rFonts w:hint="eastAsia" w:ascii="宋体" w:hAnsi="宋体" w:eastAsia="宋体" w:cs="Times New Roman"/>
                <w:b w:val="0"/>
                <w:bCs w:val="0"/>
                <w:sz w:val="24"/>
                <w:szCs w:val="24"/>
                <w:lang w:val="en-US" w:eastAsia="zh-CN"/>
              </w:rPr>
              <w:t>（十六）公司海外业务发展情况？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eastAsia" w:ascii="宋体" w:hAnsi="宋体" w:eastAsia="宋体" w:cs="Times New Roman"/>
                <w:b w:val="0"/>
                <w:bCs w:val="0"/>
                <w:sz w:val="24"/>
                <w:szCs w:val="24"/>
                <w:lang w:val="en-US" w:eastAsia="zh-CN"/>
              </w:rPr>
            </w:pPr>
            <w:r>
              <w:rPr>
                <w:rFonts w:hint="eastAsia" w:ascii="宋体" w:hAnsi="宋体" w:eastAsia="宋体" w:cs="Times New Roman"/>
                <w:b w:val="0"/>
                <w:bCs w:val="0"/>
                <w:sz w:val="24"/>
                <w:szCs w:val="24"/>
                <w:lang w:val="en-US" w:eastAsia="zh-CN"/>
              </w:rPr>
              <w:t>答：大南药板块方面，</w:t>
            </w:r>
            <w:r>
              <w:rPr>
                <w:rFonts w:hint="eastAsia" w:ascii="宋体" w:hAnsi="宋体" w:eastAsia="宋体"/>
                <w:b w:val="0"/>
                <w:bCs w:val="0"/>
                <w:sz w:val="24"/>
                <w:szCs w:val="24"/>
                <w:lang w:eastAsia="zh-Hans" w:bidi="ar"/>
              </w:rPr>
              <w:t>随着中医药获世界越来越多国家的认可，中药国际化进程也在不断推进。公司华佗再造丸于20世纪90年代已进入国际市场，目前海外销售已布局至俄罗斯、越南等全球多个国家和地区。近年，子公司中一药业分别通过了澳大利亚的TGA认证和加拿大海外场地认证，辛夷鼻炎丸、三七化痔丸及复方南板蓝根颗粒分别获得澳大利亚和俄罗斯的产品注册证书，为公司中药业务开拓海外市场起到积极作用。</w:t>
            </w:r>
            <w:r>
              <w:rPr>
                <w:rFonts w:hint="eastAsia" w:ascii="宋体" w:hAnsi="宋体" w:eastAsia="宋体"/>
                <w:b w:val="0"/>
                <w:bCs w:val="0"/>
                <w:sz w:val="24"/>
                <w:szCs w:val="24"/>
                <w:lang w:val="en-US" w:eastAsia="zh-CN" w:bidi="ar"/>
              </w:rPr>
              <w:t>在</w:t>
            </w:r>
            <w:r>
              <w:rPr>
                <w:rFonts w:hint="eastAsia" w:ascii="宋体" w:hAnsi="宋体" w:eastAsia="宋体" w:cs="Times New Roman"/>
                <w:b w:val="0"/>
                <w:bCs w:val="0"/>
                <w:sz w:val="24"/>
                <w:szCs w:val="24"/>
                <w:lang w:val="en-US" w:eastAsia="zh-CN"/>
              </w:rPr>
              <w:t>大健康板块方面，公司通过积极参加国际展会、加快海外产品本地化改版、持续推进商标注册等大力推进海外市场布局。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eastAsia" w:ascii="宋体" w:hAnsi="宋体" w:eastAsia="宋体"/>
                <w:b w:val="0"/>
                <w:bCs w:val="0"/>
                <w:sz w:val="24"/>
                <w:szCs w:val="24"/>
              </w:rPr>
            </w:pPr>
            <w:r>
              <w:rPr>
                <w:rFonts w:hint="eastAsia" w:ascii="宋体" w:hAnsi="宋体" w:eastAsia="宋体" w:cs="Times New Roman"/>
                <w:b w:val="0"/>
                <w:bCs w:val="0"/>
                <w:sz w:val="24"/>
                <w:szCs w:val="24"/>
                <w:lang w:val="en-US" w:eastAsia="zh-CN"/>
              </w:rPr>
              <w:t>下一步，</w:t>
            </w:r>
            <w:r>
              <w:rPr>
                <w:rFonts w:hint="eastAsia" w:ascii="宋体" w:hAnsi="宋体" w:eastAsia="宋体"/>
                <w:b w:val="0"/>
                <w:bCs w:val="0"/>
                <w:sz w:val="24"/>
                <w:szCs w:val="24"/>
                <w:lang w:eastAsia="zh-Hans" w:bidi="ar"/>
              </w:rPr>
              <w:t>公司将继续拓展中药产品国际市场，积极推进产品海外注册及推动已获产品注册的国家和地区的市场销售工作</w:t>
            </w:r>
            <w:r>
              <w:rPr>
                <w:rFonts w:hint="eastAsia" w:ascii="宋体" w:hAnsi="宋体" w:eastAsia="宋体"/>
                <w:b w:val="0"/>
                <w:bCs w:val="0"/>
                <w:sz w:val="24"/>
                <w:szCs w:val="24"/>
                <w:lang w:eastAsia="zh-CN" w:bidi="ar"/>
              </w:rPr>
              <w:t>，</w:t>
            </w:r>
            <w:r>
              <w:rPr>
                <w:rFonts w:hint="eastAsia" w:ascii="宋体" w:hAnsi="宋体" w:eastAsia="宋体"/>
                <w:b w:val="0"/>
                <w:bCs w:val="0"/>
                <w:sz w:val="24"/>
                <w:szCs w:val="24"/>
                <w:lang w:eastAsia="zh-Hans" w:bidi="ar"/>
              </w:rPr>
              <w:t>助力公司和大南药板块海外市场发展</w:t>
            </w:r>
            <w:r>
              <w:rPr>
                <w:rFonts w:hint="eastAsia" w:ascii="宋体" w:hAnsi="宋体" w:eastAsia="宋体"/>
                <w:b w:val="0"/>
                <w:bCs w:val="0"/>
                <w:sz w:val="24"/>
                <w:szCs w:val="24"/>
                <w:lang w:eastAsia="zh-CN" w:bidi="ar"/>
              </w:rPr>
              <w:t>；</w:t>
            </w:r>
            <w:r>
              <w:rPr>
                <w:rFonts w:hint="eastAsia" w:ascii="宋体" w:hAnsi="宋体" w:eastAsia="宋体" w:cs="Times New Roman"/>
                <w:b w:val="0"/>
                <w:bCs w:val="0"/>
                <w:sz w:val="24"/>
                <w:szCs w:val="24"/>
                <w:lang w:val="en-US" w:eastAsia="zh-CN"/>
              </w:rPr>
              <w:t>同时也将继续加大力度拓展大健康产品海外市场，丰富海外产品矩阵，提升品牌国际知名度</w:t>
            </w:r>
            <w:r>
              <w:rPr>
                <w:rFonts w:hint="eastAsia" w:ascii="宋体" w:hAnsi="宋体" w:eastAsia="宋体"/>
                <w:b w:val="0"/>
                <w:bCs w:val="0"/>
                <w:sz w:val="24"/>
                <w:szCs w:val="24"/>
                <w:lang w:eastAsia="zh-Hans" w:bidi="ar"/>
              </w:rPr>
              <w:t>。</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jc w:val="left"/>
              <w:textAlignment w:val="baseline"/>
              <w:rPr>
                <w:rFonts w:hint="eastAsia" w:ascii="宋体" w:hAnsi="宋体" w:eastAsia="宋体"/>
                <w:b w:val="0"/>
                <w:bCs w:val="0"/>
                <w:sz w:val="24"/>
                <w:szCs w:val="24"/>
              </w:rPr>
            </w:pPr>
            <w:r>
              <w:rPr>
                <w:rFonts w:hint="eastAsia" w:ascii="宋体" w:hAnsi="宋体" w:eastAsia="宋体"/>
                <w:b w:val="0"/>
                <w:bCs w:val="0"/>
                <w:sz w:val="24"/>
                <w:szCs w:val="24"/>
              </w:rPr>
              <w:t>（</w:t>
            </w:r>
            <w:r>
              <w:rPr>
                <w:rFonts w:hint="eastAsia" w:ascii="宋体" w:hAnsi="宋体" w:eastAsia="宋体"/>
                <w:b w:val="0"/>
                <w:bCs w:val="0"/>
                <w:sz w:val="24"/>
                <w:szCs w:val="24"/>
                <w:lang w:val="en-US" w:eastAsia="zh-CN"/>
              </w:rPr>
              <w:t>十七</w:t>
            </w:r>
            <w:r>
              <w:rPr>
                <w:rFonts w:hint="eastAsia" w:ascii="宋体" w:hAnsi="宋体" w:eastAsia="宋体"/>
                <w:b w:val="0"/>
                <w:bCs w:val="0"/>
                <w:sz w:val="24"/>
                <w:szCs w:val="24"/>
              </w:rPr>
              <w:t>）公司并购方面有什么计划？</w:t>
            </w:r>
          </w:p>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baseline"/>
              <w:rPr>
                <w:rFonts w:hint="default" w:ascii="宋体" w:hAnsi="宋体" w:eastAsia="宋体" w:cs="Times New Roman"/>
                <w:b w:val="0"/>
                <w:bCs w:val="0"/>
                <w:kern w:val="2"/>
                <w:sz w:val="24"/>
                <w:szCs w:val="24"/>
                <w:lang w:val="en-US" w:eastAsia="zh-CN" w:bidi="ar"/>
              </w:rPr>
            </w:pPr>
            <w:r>
              <w:rPr>
                <w:rFonts w:hint="eastAsia" w:ascii="宋体" w:hAnsi="宋体" w:eastAsia="宋体"/>
                <w:b w:val="0"/>
                <w:bCs w:val="0"/>
                <w:sz w:val="24"/>
                <w:szCs w:val="24"/>
                <w:lang w:val="en-US" w:eastAsia="zh-CN"/>
              </w:rPr>
              <w:t>答</w:t>
            </w:r>
            <w:r>
              <w:rPr>
                <w:rFonts w:hint="eastAsia" w:ascii="宋体" w:hAnsi="宋体" w:eastAsia="宋体"/>
                <w:b w:val="0"/>
                <w:bCs w:val="0"/>
                <w:sz w:val="24"/>
                <w:szCs w:val="24"/>
              </w:rPr>
              <w:t>：公司持续物色符合公司发展战略的并购标的，如拥有高质量仿制药、创新药、生物药等产品批文或其他优质科研项目的企业。</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left="0" w:right="0" w:firstLine="480" w:firstLineChars="200"/>
              <w:jc w:val="left"/>
              <w:rPr>
                <w:rFonts w:hint="default" w:ascii="宋体" w:hAnsi="宋体" w:eastAsia="宋体" w:cs="Times New Roman"/>
                <w:b w:val="0"/>
                <w:bCs w:val="0"/>
                <w:sz w:val="24"/>
                <w:szCs w:val="24"/>
                <w:lang w:eastAsia="zh-Hans" w:bidi="ar"/>
              </w:rPr>
            </w:pPr>
            <w:r>
              <w:rPr>
                <w:rFonts w:hint="eastAsia" w:ascii="宋体" w:hAnsi="宋体" w:eastAsia="宋体" w:cs="Times New Roman"/>
                <w:b w:val="0"/>
                <w:bCs w:val="0"/>
                <w:sz w:val="24"/>
                <w:szCs w:val="24"/>
                <w:lang w:eastAsia="zh-CN" w:bidi="ar"/>
              </w:rPr>
              <w:t>（</w:t>
            </w:r>
            <w:r>
              <w:rPr>
                <w:rFonts w:hint="eastAsia" w:ascii="宋体" w:hAnsi="宋体" w:eastAsia="宋体" w:cs="Times New Roman"/>
                <w:b w:val="0"/>
                <w:bCs w:val="0"/>
                <w:sz w:val="24"/>
                <w:szCs w:val="24"/>
                <w:lang w:val="en-US" w:eastAsia="zh-CN" w:bidi="ar"/>
              </w:rPr>
              <w:t>十八</w:t>
            </w:r>
            <w:r>
              <w:rPr>
                <w:rFonts w:hint="eastAsia" w:ascii="宋体" w:hAnsi="宋体" w:eastAsia="宋体" w:cs="Times New Roman"/>
                <w:b w:val="0"/>
                <w:bCs w:val="0"/>
                <w:sz w:val="24"/>
                <w:szCs w:val="24"/>
                <w:lang w:eastAsia="zh-CN" w:bidi="ar"/>
              </w:rPr>
              <w:t>）</w:t>
            </w:r>
            <w:r>
              <w:rPr>
                <w:rFonts w:hint="default" w:ascii="宋体" w:hAnsi="宋体" w:eastAsia="宋体" w:cs="Times New Roman"/>
                <w:b w:val="0"/>
                <w:bCs w:val="0"/>
                <w:sz w:val="24"/>
                <w:szCs w:val="24"/>
                <w:lang w:eastAsia="zh-Hans" w:bidi="ar"/>
              </w:rPr>
              <w:t>公司有考虑提高分红比例吗？</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left="0" w:right="0" w:firstLine="480" w:firstLineChars="200"/>
              <w:jc w:val="left"/>
              <w:rPr>
                <w:rFonts w:hint="eastAsia" w:ascii="宋体" w:hAnsi="宋体" w:eastAsia="宋体" w:cs="Times New Roman"/>
                <w:b w:val="0"/>
                <w:bCs w:val="0"/>
                <w:sz w:val="24"/>
                <w:szCs w:val="24"/>
                <w:lang w:eastAsia="zh-Hans" w:bidi="ar"/>
              </w:rPr>
            </w:pPr>
            <w:r>
              <w:rPr>
                <w:rFonts w:hint="eastAsia" w:ascii="宋体" w:hAnsi="宋体" w:eastAsia="宋体" w:cs="Times New Roman"/>
                <w:b w:val="0"/>
                <w:bCs w:val="0"/>
                <w:sz w:val="24"/>
                <w:szCs w:val="24"/>
                <w:lang w:val="en-US" w:eastAsia="zh-CN" w:bidi="ar"/>
              </w:rPr>
              <w:t>答：</w:t>
            </w:r>
            <w:r>
              <w:rPr>
                <w:rFonts w:hint="eastAsia" w:ascii="宋体" w:hAnsi="宋体" w:eastAsia="宋体" w:cs="Times New Roman"/>
                <w:b w:val="0"/>
                <w:bCs w:val="0"/>
                <w:sz w:val="24"/>
                <w:szCs w:val="24"/>
                <w:lang w:eastAsia="zh-Hans" w:bidi="ar"/>
              </w:rPr>
              <w:t>公司始终重视对投资者的合理投资回报，制定了未来三年（2024-2026年）股东回报规划，该回报规划尚需2023年年度股东大会审议批准。公司章程中也对分红政策进行了明确规定，以保证利润分配政策的连续性和稳定性。因此，若无特殊情况，公司将按计划进行分红，预计现金方式分配的股利总额（包括中期已分配的现金红利）不低于当年实现的归属母公司的净利润的30%。</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left="0" w:right="0" w:firstLine="480" w:firstLineChars="200"/>
              <w:jc w:val="left"/>
              <w:rPr>
                <w:rFonts w:hint="eastAsia" w:ascii="宋体" w:hAnsi="宋体" w:eastAsia="宋体"/>
                <w:b w:val="0"/>
                <w:bCs w:val="0"/>
                <w:sz w:val="24"/>
                <w:szCs w:val="24"/>
                <w:lang w:val="en-US" w:eastAsia="zh-CN"/>
              </w:rPr>
            </w:pPr>
            <w:r>
              <w:rPr>
                <w:rFonts w:hint="eastAsia" w:ascii="宋体" w:hAnsi="宋体" w:eastAsia="宋体"/>
                <w:b w:val="0"/>
                <w:bCs w:val="0"/>
                <w:sz w:val="24"/>
                <w:szCs w:val="24"/>
                <w:lang w:val="en-US" w:eastAsia="zh-CN"/>
              </w:rPr>
              <w:t>（十九）</w:t>
            </w:r>
            <w:r>
              <w:rPr>
                <w:rFonts w:hint="eastAsia" w:ascii="宋体" w:hAnsi="宋体" w:eastAsia="宋体"/>
                <w:b w:val="0"/>
                <w:bCs w:val="0"/>
                <w:sz w:val="24"/>
                <w:szCs w:val="24"/>
                <w:lang w:eastAsia="zh-Hans" w:bidi="ar"/>
              </w:rPr>
              <w:t>公司实施职业经理人的进展如何？</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left="0" w:right="0" w:firstLine="480" w:firstLineChars="200"/>
              <w:jc w:val="left"/>
              <w:rPr>
                <w:rFonts w:hint="default" w:ascii="宋体" w:hAnsi="宋体" w:eastAsia="宋体" w:cs="Times New Roman"/>
                <w:b w:val="0"/>
                <w:bCs w:val="0"/>
                <w:sz w:val="24"/>
                <w:szCs w:val="24"/>
                <w:lang w:val="en-US" w:eastAsia="zh-Hans" w:bidi="ar"/>
              </w:rPr>
            </w:pPr>
            <w:r>
              <w:rPr>
                <w:rFonts w:hint="eastAsia" w:ascii="宋体" w:hAnsi="宋体" w:eastAsia="宋体"/>
                <w:b w:val="0"/>
                <w:bCs w:val="0"/>
                <w:sz w:val="24"/>
                <w:szCs w:val="24"/>
                <w:lang w:val="en-US" w:eastAsia="zh-CN"/>
              </w:rPr>
              <w:t>答：</w:t>
            </w:r>
            <w:r>
              <w:rPr>
                <w:rFonts w:hint="eastAsia" w:ascii="宋体" w:hAnsi="宋体" w:eastAsia="宋体" w:cs="Times New Roman"/>
                <w:b w:val="0"/>
                <w:bCs w:val="0"/>
                <w:kern w:val="2"/>
                <w:sz w:val="24"/>
                <w:szCs w:val="24"/>
                <w:lang w:val="en-US" w:eastAsia="zh-CN" w:bidi="ar"/>
              </w:rPr>
              <w:t>公司积极探索适合公司或下属企业发展的激励方案。自2021年公司首家子公司成功实施职业经理人制度以来，公司积极稳妥扩大职业经理人改革试点范围，支持更多符合条件的企业进行改革试点。</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left="0" w:right="0" w:firstLine="480" w:firstLineChars="200"/>
              <w:jc w:val="left"/>
              <w:rPr>
                <w:rFonts w:hint="eastAsia" w:ascii="宋体" w:hAnsi="宋体" w:eastAsia="宋体" w:cs="Times New Roman"/>
                <w:b w:val="0"/>
                <w:bCs w:val="0"/>
                <w:sz w:val="24"/>
                <w:szCs w:val="24"/>
                <w:lang w:eastAsia="zh-CN" w:bidi="ar"/>
              </w:rPr>
            </w:pPr>
            <w:r>
              <w:rPr>
                <w:rFonts w:hint="eastAsia" w:ascii="宋体" w:hAnsi="宋体" w:eastAsia="宋体" w:cs="Times New Roman"/>
                <w:b w:val="0"/>
                <w:bCs w:val="0"/>
                <w:sz w:val="24"/>
                <w:szCs w:val="24"/>
                <w:lang w:eastAsia="zh-CN" w:bidi="ar"/>
              </w:rPr>
              <w:t>（</w:t>
            </w:r>
            <w:r>
              <w:rPr>
                <w:rFonts w:hint="eastAsia" w:ascii="宋体" w:hAnsi="宋体" w:eastAsia="宋体" w:cs="Times New Roman"/>
                <w:b w:val="0"/>
                <w:bCs w:val="0"/>
                <w:sz w:val="24"/>
                <w:szCs w:val="24"/>
                <w:lang w:val="en-US" w:eastAsia="zh-CN" w:bidi="ar"/>
              </w:rPr>
              <w:t>二十</w:t>
            </w:r>
            <w:bookmarkStart w:id="0" w:name="_GoBack"/>
            <w:bookmarkEnd w:id="0"/>
            <w:r>
              <w:rPr>
                <w:rFonts w:hint="eastAsia" w:ascii="宋体" w:hAnsi="宋体" w:eastAsia="宋体" w:cs="Times New Roman"/>
                <w:b w:val="0"/>
                <w:bCs w:val="0"/>
                <w:sz w:val="24"/>
                <w:szCs w:val="24"/>
                <w:lang w:eastAsia="zh-CN" w:bidi="ar"/>
              </w:rPr>
              <w:t>）公司有计划实施股权激励吗？</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left="0" w:right="0" w:firstLine="480" w:firstLineChars="200"/>
              <w:jc w:val="left"/>
              <w:rPr>
                <w:rFonts w:hint="eastAsia" w:ascii="宋体" w:hAnsi="宋体" w:eastAsia="宋体" w:cs="Times New Roman"/>
                <w:b w:val="0"/>
                <w:bCs w:val="0"/>
                <w:sz w:val="24"/>
                <w:szCs w:val="24"/>
                <w:lang w:val="en-US" w:eastAsia="zh-CN" w:bidi="ar"/>
              </w:rPr>
            </w:pPr>
            <w:r>
              <w:rPr>
                <w:rFonts w:hint="eastAsia" w:ascii="宋体" w:hAnsi="宋体" w:eastAsia="宋体" w:cs="Times New Roman"/>
                <w:b w:val="0"/>
                <w:bCs w:val="0"/>
                <w:sz w:val="24"/>
                <w:szCs w:val="24"/>
                <w:lang w:eastAsia="zh-CN" w:bidi="ar"/>
              </w:rPr>
              <w:t>答：公司暂无相关计划，如有将按照两地上市规则履行披露义务。</w:t>
            </w:r>
          </w:p>
        </w:tc>
      </w:tr>
    </w:tbl>
    <w:p>
      <w:pPr>
        <w:rPr>
          <w:rFonts w:ascii="宋体" w:hAnsi="宋体" w:eastAsia="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2B3598"/>
    <w:multiLevelType w:val="singleLevel"/>
    <w:tmpl w:val="CD2B359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MmVlNzFjNDI0ZTliMTBjN2NmZDYxODZkZGVmMDcifQ=="/>
  </w:docVars>
  <w:rsids>
    <w:rsidRoot w:val="00172A27"/>
    <w:rsid w:val="00025CB0"/>
    <w:rsid w:val="00026AD9"/>
    <w:rsid w:val="00032329"/>
    <w:rsid w:val="000423CF"/>
    <w:rsid w:val="00044D1C"/>
    <w:rsid w:val="00050DF4"/>
    <w:rsid w:val="0005752C"/>
    <w:rsid w:val="00061C18"/>
    <w:rsid w:val="0008758C"/>
    <w:rsid w:val="000C455F"/>
    <w:rsid w:val="00150AE8"/>
    <w:rsid w:val="001512EA"/>
    <w:rsid w:val="00172A27"/>
    <w:rsid w:val="00181A29"/>
    <w:rsid w:val="00190A5F"/>
    <w:rsid w:val="0019375C"/>
    <w:rsid w:val="001A7C3F"/>
    <w:rsid w:val="001B2FA5"/>
    <w:rsid w:val="001D5B13"/>
    <w:rsid w:val="001D6CF4"/>
    <w:rsid w:val="001E2434"/>
    <w:rsid w:val="001E2B27"/>
    <w:rsid w:val="001E5849"/>
    <w:rsid w:val="001F0D8E"/>
    <w:rsid w:val="002030C7"/>
    <w:rsid w:val="00227682"/>
    <w:rsid w:val="00234F62"/>
    <w:rsid w:val="0023523C"/>
    <w:rsid w:val="00237154"/>
    <w:rsid w:val="0023740A"/>
    <w:rsid w:val="00244BDD"/>
    <w:rsid w:val="002A55F9"/>
    <w:rsid w:val="002D34CA"/>
    <w:rsid w:val="002F071F"/>
    <w:rsid w:val="0031151B"/>
    <w:rsid w:val="00333576"/>
    <w:rsid w:val="00372AEC"/>
    <w:rsid w:val="00372E22"/>
    <w:rsid w:val="003843DA"/>
    <w:rsid w:val="00393833"/>
    <w:rsid w:val="003B20EB"/>
    <w:rsid w:val="003D4A24"/>
    <w:rsid w:val="003E2611"/>
    <w:rsid w:val="00416276"/>
    <w:rsid w:val="00417D16"/>
    <w:rsid w:val="00426DE7"/>
    <w:rsid w:val="00430C9F"/>
    <w:rsid w:val="00440515"/>
    <w:rsid w:val="00444319"/>
    <w:rsid w:val="004508A9"/>
    <w:rsid w:val="00454DB9"/>
    <w:rsid w:val="004575B0"/>
    <w:rsid w:val="004629A5"/>
    <w:rsid w:val="00464276"/>
    <w:rsid w:val="004830A0"/>
    <w:rsid w:val="004A0494"/>
    <w:rsid w:val="004D0DC3"/>
    <w:rsid w:val="004D7C37"/>
    <w:rsid w:val="00535815"/>
    <w:rsid w:val="005666FB"/>
    <w:rsid w:val="0058744F"/>
    <w:rsid w:val="005A0C6A"/>
    <w:rsid w:val="005A6D48"/>
    <w:rsid w:val="005D695F"/>
    <w:rsid w:val="005E6EA6"/>
    <w:rsid w:val="005F2058"/>
    <w:rsid w:val="005F2987"/>
    <w:rsid w:val="005F4FCF"/>
    <w:rsid w:val="00624602"/>
    <w:rsid w:val="00631DD3"/>
    <w:rsid w:val="006366B1"/>
    <w:rsid w:val="00641E4D"/>
    <w:rsid w:val="00643621"/>
    <w:rsid w:val="00653716"/>
    <w:rsid w:val="00672B6C"/>
    <w:rsid w:val="00676F1A"/>
    <w:rsid w:val="0068760B"/>
    <w:rsid w:val="00690627"/>
    <w:rsid w:val="00694DCE"/>
    <w:rsid w:val="006A31C5"/>
    <w:rsid w:val="006B399C"/>
    <w:rsid w:val="006C7988"/>
    <w:rsid w:val="006D3077"/>
    <w:rsid w:val="006E36C1"/>
    <w:rsid w:val="006F0129"/>
    <w:rsid w:val="006F78C2"/>
    <w:rsid w:val="007118FE"/>
    <w:rsid w:val="00711D0F"/>
    <w:rsid w:val="00711D80"/>
    <w:rsid w:val="007137B8"/>
    <w:rsid w:val="00716CD9"/>
    <w:rsid w:val="007616A5"/>
    <w:rsid w:val="007636A3"/>
    <w:rsid w:val="007802B8"/>
    <w:rsid w:val="007A2E2D"/>
    <w:rsid w:val="007C124C"/>
    <w:rsid w:val="007E76DC"/>
    <w:rsid w:val="00806304"/>
    <w:rsid w:val="00816522"/>
    <w:rsid w:val="008534FA"/>
    <w:rsid w:val="00861A58"/>
    <w:rsid w:val="008F5BDD"/>
    <w:rsid w:val="00900532"/>
    <w:rsid w:val="0092138B"/>
    <w:rsid w:val="00941BE8"/>
    <w:rsid w:val="00954ADF"/>
    <w:rsid w:val="00965600"/>
    <w:rsid w:val="00981F53"/>
    <w:rsid w:val="009846E6"/>
    <w:rsid w:val="009917D2"/>
    <w:rsid w:val="009A2F93"/>
    <w:rsid w:val="009B2D59"/>
    <w:rsid w:val="009D1231"/>
    <w:rsid w:val="009E4068"/>
    <w:rsid w:val="00A04B95"/>
    <w:rsid w:val="00A27FC2"/>
    <w:rsid w:val="00A42E7E"/>
    <w:rsid w:val="00A838B1"/>
    <w:rsid w:val="00AB16B9"/>
    <w:rsid w:val="00AB2E37"/>
    <w:rsid w:val="00AB78DB"/>
    <w:rsid w:val="00AD1DDC"/>
    <w:rsid w:val="00AE3836"/>
    <w:rsid w:val="00AF4F8E"/>
    <w:rsid w:val="00B10F38"/>
    <w:rsid w:val="00B2542A"/>
    <w:rsid w:val="00B34BCA"/>
    <w:rsid w:val="00B409FC"/>
    <w:rsid w:val="00B4791A"/>
    <w:rsid w:val="00B47DA0"/>
    <w:rsid w:val="00B85224"/>
    <w:rsid w:val="00B85BF3"/>
    <w:rsid w:val="00B86058"/>
    <w:rsid w:val="00BA4FAB"/>
    <w:rsid w:val="00BE71DD"/>
    <w:rsid w:val="00BF53F3"/>
    <w:rsid w:val="00BF6490"/>
    <w:rsid w:val="00C17FFD"/>
    <w:rsid w:val="00C30AEE"/>
    <w:rsid w:val="00C419EA"/>
    <w:rsid w:val="00C52639"/>
    <w:rsid w:val="00C618C3"/>
    <w:rsid w:val="00C6785D"/>
    <w:rsid w:val="00C67F92"/>
    <w:rsid w:val="00C74C1A"/>
    <w:rsid w:val="00C84386"/>
    <w:rsid w:val="00C90242"/>
    <w:rsid w:val="00CC5714"/>
    <w:rsid w:val="00CE6791"/>
    <w:rsid w:val="00CF047B"/>
    <w:rsid w:val="00CF4DDB"/>
    <w:rsid w:val="00D075FA"/>
    <w:rsid w:val="00D15514"/>
    <w:rsid w:val="00D25777"/>
    <w:rsid w:val="00D32B0B"/>
    <w:rsid w:val="00D4320B"/>
    <w:rsid w:val="00DA63E6"/>
    <w:rsid w:val="00DB1D0E"/>
    <w:rsid w:val="00DC5CB4"/>
    <w:rsid w:val="00DD7901"/>
    <w:rsid w:val="00DE1A21"/>
    <w:rsid w:val="00E00758"/>
    <w:rsid w:val="00E10DEB"/>
    <w:rsid w:val="00E265BD"/>
    <w:rsid w:val="00E4048D"/>
    <w:rsid w:val="00E735D9"/>
    <w:rsid w:val="00E7643E"/>
    <w:rsid w:val="00E863F3"/>
    <w:rsid w:val="00EA7ED8"/>
    <w:rsid w:val="00EC4BF3"/>
    <w:rsid w:val="00EC7D58"/>
    <w:rsid w:val="00F01C36"/>
    <w:rsid w:val="00F06EDA"/>
    <w:rsid w:val="00F22A2A"/>
    <w:rsid w:val="00F269D3"/>
    <w:rsid w:val="00F609E2"/>
    <w:rsid w:val="00FB5649"/>
    <w:rsid w:val="00FC6C8E"/>
    <w:rsid w:val="00FC7316"/>
    <w:rsid w:val="00FE79E5"/>
    <w:rsid w:val="010D427B"/>
    <w:rsid w:val="01201F55"/>
    <w:rsid w:val="03920A67"/>
    <w:rsid w:val="03C9092D"/>
    <w:rsid w:val="04212517"/>
    <w:rsid w:val="04917185"/>
    <w:rsid w:val="07452CE3"/>
    <w:rsid w:val="074B4461"/>
    <w:rsid w:val="07852DBD"/>
    <w:rsid w:val="079E79DA"/>
    <w:rsid w:val="07A836F4"/>
    <w:rsid w:val="07B03875"/>
    <w:rsid w:val="0882554E"/>
    <w:rsid w:val="090C0028"/>
    <w:rsid w:val="091A677A"/>
    <w:rsid w:val="09EB2C7F"/>
    <w:rsid w:val="0A2F6341"/>
    <w:rsid w:val="0A8344B4"/>
    <w:rsid w:val="0AA7304A"/>
    <w:rsid w:val="0ADD5073"/>
    <w:rsid w:val="0AEC3153"/>
    <w:rsid w:val="0B801AF3"/>
    <w:rsid w:val="0BCE214B"/>
    <w:rsid w:val="0C9B098C"/>
    <w:rsid w:val="0D9E5A0B"/>
    <w:rsid w:val="0E1600BC"/>
    <w:rsid w:val="0E5928AD"/>
    <w:rsid w:val="0EE20AF5"/>
    <w:rsid w:val="0FBF0E36"/>
    <w:rsid w:val="0FE91A0F"/>
    <w:rsid w:val="11976A68"/>
    <w:rsid w:val="11B36F2A"/>
    <w:rsid w:val="11BD6E3E"/>
    <w:rsid w:val="11E91587"/>
    <w:rsid w:val="12170AB5"/>
    <w:rsid w:val="124C4FD5"/>
    <w:rsid w:val="128D521B"/>
    <w:rsid w:val="130152C1"/>
    <w:rsid w:val="13482EF0"/>
    <w:rsid w:val="1363595C"/>
    <w:rsid w:val="14123C2A"/>
    <w:rsid w:val="142D0E0E"/>
    <w:rsid w:val="15507A24"/>
    <w:rsid w:val="16055DDA"/>
    <w:rsid w:val="16806CB1"/>
    <w:rsid w:val="16CA07EC"/>
    <w:rsid w:val="16DC407B"/>
    <w:rsid w:val="179E3A27"/>
    <w:rsid w:val="17C9137B"/>
    <w:rsid w:val="17CA65CA"/>
    <w:rsid w:val="17E54BD3"/>
    <w:rsid w:val="17F0126D"/>
    <w:rsid w:val="18090EA0"/>
    <w:rsid w:val="18545F68"/>
    <w:rsid w:val="18EE0096"/>
    <w:rsid w:val="1940793F"/>
    <w:rsid w:val="19A215B9"/>
    <w:rsid w:val="19FC104D"/>
    <w:rsid w:val="1A0E09F0"/>
    <w:rsid w:val="1A8707A2"/>
    <w:rsid w:val="1AB7210B"/>
    <w:rsid w:val="1AC65D6F"/>
    <w:rsid w:val="1B8515C8"/>
    <w:rsid w:val="1BAB4AC5"/>
    <w:rsid w:val="1C3861F8"/>
    <w:rsid w:val="1C4A1A87"/>
    <w:rsid w:val="1C4B4A0F"/>
    <w:rsid w:val="1C5B5A42"/>
    <w:rsid w:val="1CA94A00"/>
    <w:rsid w:val="1D7B7E7D"/>
    <w:rsid w:val="1D8944E9"/>
    <w:rsid w:val="1DD333DB"/>
    <w:rsid w:val="1E3C42D4"/>
    <w:rsid w:val="1ECB4267"/>
    <w:rsid w:val="1F3638AE"/>
    <w:rsid w:val="1F594E5D"/>
    <w:rsid w:val="202D1DEC"/>
    <w:rsid w:val="210743EB"/>
    <w:rsid w:val="21303941"/>
    <w:rsid w:val="217D46AD"/>
    <w:rsid w:val="218F236A"/>
    <w:rsid w:val="22121D98"/>
    <w:rsid w:val="222F1E4B"/>
    <w:rsid w:val="2265586D"/>
    <w:rsid w:val="23361B69"/>
    <w:rsid w:val="234B1C36"/>
    <w:rsid w:val="23563407"/>
    <w:rsid w:val="23CF4182"/>
    <w:rsid w:val="25C83F87"/>
    <w:rsid w:val="25DB0FD9"/>
    <w:rsid w:val="262275D1"/>
    <w:rsid w:val="266876DA"/>
    <w:rsid w:val="2758774E"/>
    <w:rsid w:val="278E4F1E"/>
    <w:rsid w:val="280D4603"/>
    <w:rsid w:val="287C121A"/>
    <w:rsid w:val="29B535B1"/>
    <w:rsid w:val="2A1A2444"/>
    <w:rsid w:val="2A715156"/>
    <w:rsid w:val="2A790107"/>
    <w:rsid w:val="2A86447F"/>
    <w:rsid w:val="2ADF2513"/>
    <w:rsid w:val="2B075C65"/>
    <w:rsid w:val="2B447689"/>
    <w:rsid w:val="2B591E08"/>
    <w:rsid w:val="2BCF10A6"/>
    <w:rsid w:val="2C1300E8"/>
    <w:rsid w:val="2C8B5ED0"/>
    <w:rsid w:val="2D4521E4"/>
    <w:rsid w:val="2DD90EBD"/>
    <w:rsid w:val="2DF81343"/>
    <w:rsid w:val="2EE47B19"/>
    <w:rsid w:val="2FEA11EA"/>
    <w:rsid w:val="3036293F"/>
    <w:rsid w:val="30896480"/>
    <w:rsid w:val="30963095"/>
    <w:rsid w:val="30A07565"/>
    <w:rsid w:val="31363720"/>
    <w:rsid w:val="314E47F2"/>
    <w:rsid w:val="31B118FD"/>
    <w:rsid w:val="32A7158A"/>
    <w:rsid w:val="32AE46C6"/>
    <w:rsid w:val="343230D5"/>
    <w:rsid w:val="346C48F4"/>
    <w:rsid w:val="34F9186F"/>
    <w:rsid w:val="354D54A9"/>
    <w:rsid w:val="359679D1"/>
    <w:rsid w:val="372C6E7F"/>
    <w:rsid w:val="376D1E36"/>
    <w:rsid w:val="37DA313A"/>
    <w:rsid w:val="3824770E"/>
    <w:rsid w:val="38C43E25"/>
    <w:rsid w:val="3A1F4445"/>
    <w:rsid w:val="3A3815D3"/>
    <w:rsid w:val="3A3E6C77"/>
    <w:rsid w:val="3A415891"/>
    <w:rsid w:val="3A591F82"/>
    <w:rsid w:val="3ACC7DDF"/>
    <w:rsid w:val="3B225C51"/>
    <w:rsid w:val="3C1852A6"/>
    <w:rsid w:val="3C6A7383"/>
    <w:rsid w:val="3C7D054C"/>
    <w:rsid w:val="3D605157"/>
    <w:rsid w:val="3D7A3C99"/>
    <w:rsid w:val="3DC512D0"/>
    <w:rsid w:val="3F4C5993"/>
    <w:rsid w:val="3F8E5FAB"/>
    <w:rsid w:val="3FD10385"/>
    <w:rsid w:val="3FDB51DB"/>
    <w:rsid w:val="41990C37"/>
    <w:rsid w:val="41ED47FB"/>
    <w:rsid w:val="42537038"/>
    <w:rsid w:val="430D7664"/>
    <w:rsid w:val="43190F58"/>
    <w:rsid w:val="4427077C"/>
    <w:rsid w:val="44617BA5"/>
    <w:rsid w:val="450137F0"/>
    <w:rsid w:val="45053792"/>
    <w:rsid w:val="45BE5CA2"/>
    <w:rsid w:val="45FA1CE4"/>
    <w:rsid w:val="460C5E7C"/>
    <w:rsid w:val="46380A1F"/>
    <w:rsid w:val="467CFF17"/>
    <w:rsid w:val="46A351E1"/>
    <w:rsid w:val="46BA58D8"/>
    <w:rsid w:val="47022DDB"/>
    <w:rsid w:val="47327B17"/>
    <w:rsid w:val="47B440D5"/>
    <w:rsid w:val="47C841F6"/>
    <w:rsid w:val="47D77BA6"/>
    <w:rsid w:val="47E47B88"/>
    <w:rsid w:val="48166B3E"/>
    <w:rsid w:val="48742673"/>
    <w:rsid w:val="48DA5496"/>
    <w:rsid w:val="491F1A22"/>
    <w:rsid w:val="49C16F7D"/>
    <w:rsid w:val="4A34702F"/>
    <w:rsid w:val="4A832E71"/>
    <w:rsid w:val="4AEA31D4"/>
    <w:rsid w:val="4B4810FE"/>
    <w:rsid w:val="4B73153F"/>
    <w:rsid w:val="4B977597"/>
    <w:rsid w:val="4C066EC9"/>
    <w:rsid w:val="4C3752D5"/>
    <w:rsid w:val="4CBF7C75"/>
    <w:rsid w:val="4CD11285"/>
    <w:rsid w:val="4CE70AA9"/>
    <w:rsid w:val="4D0623E1"/>
    <w:rsid w:val="4D233AF8"/>
    <w:rsid w:val="4D3E1798"/>
    <w:rsid w:val="4D480730"/>
    <w:rsid w:val="4D571ED4"/>
    <w:rsid w:val="4DD40C5E"/>
    <w:rsid w:val="4E121B55"/>
    <w:rsid w:val="4E30647F"/>
    <w:rsid w:val="4F6B3C13"/>
    <w:rsid w:val="502D0E36"/>
    <w:rsid w:val="50333DEC"/>
    <w:rsid w:val="50414974"/>
    <w:rsid w:val="508F56DF"/>
    <w:rsid w:val="50FB0FC7"/>
    <w:rsid w:val="51404C2B"/>
    <w:rsid w:val="52985AF9"/>
    <w:rsid w:val="53830F02"/>
    <w:rsid w:val="53FD9CDC"/>
    <w:rsid w:val="5560764A"/>
    <w:rsid w:val="55C86F8B"/>
    <w:rsid w:val="55D6790C"/>
    <w:rsid w:val="572C51A7"/>
    <w:rsid w:val="576C677A"/>
    <w:rsid w:val="587358E6"/>
    <w:rsid w:val="58AC2BA6"/>
    <w:rsid w:val="592D325B"/>
    <w:rsid w:val="593D2E59"/>
    <w:rsid w:val="5A497EFA"/>
    <w:rsid w:val="5A8D3D2B"/>
    <w:rsid w:val="5B697EEF"/>
    <w:rsid w:val="5C1F32A6"/>
    <w:rsid w:val="5E024645"/>
    <w:rsid w:val="5E548B43"/>
    <w:rsid w:val="5E780AE1"/>
    <w:rsid w:val="5EB3CE55"/>
    <w:rsid w:val="5F246A9A"/>
    <w:rsid w:val="5F2D68B1"/>
    <w:rsid w:val="5F8EA272"/>
    <w:rsid w:val="5FAE0644"/>
    <w:rsid w:val="5FF7D567"/>
    <w:rsid w:val="5FFD5AB9"/>
    <w:rsid w:val="60844B35"/>
    <w:rsid w:val="60B92AAF"/>
    <w:rsid w:val="610F1255"/>
    <w:rsid w:val="612A6E3D"/>
    <w:rsid w:val="61572249"/>
    <w:rsid w:val="61930DA7"/>
    <w:rsid w:val="62214605"/>
    <w:rsid w:val="6223212B"/>
    <w:rsid w:val="622C188E"/>
    <w:rsid w:val="62B75CC2"/>
    <w:rsid w:val="63604CB9"/>
    <w:rsid w:val="636D7E27"/>
    <w:rsid w:val="63F447FA"/>
    <w:rsid w:val="653603C7"/>
    <w:rsid w:val="65420882"/>
    <w:rsid w:val="6553506E"/>
    <w:rsid w:val="656C1155"/>
    <w:rsid w:val="65707DCC"/>
    <w:rsid w:val="658B309F"/>
    <w:rsid w:val="664A15ED"/>
    <w:rsid w:val="66727C84"/>
    <w:rsid w:val="66CD2666"/>
    <w:rsid w:val="67A27022"/>
    <w:rsid w:val="67E05496"/>
    <w:rsid w:val="680C559B"/>
    <w:rsid w:val="68686BBC"/>
    <w:rsid w:val="69044022"/>
    <w:rsid w:val="6907627A"/>
    <w:rsid w:val="696B304E"/>
    <w:rsid w:val="697838DF"/>
    <w:rsid w:val="69C40A40"/>
    <w:rsid w:val="6A293639"/>
    <w:rsid w:val="6A5777C2"/>
    <w:rsid w:val="6B7316A4"/>
    <w:rsid w:val="6B8B77E1"/>
    <w:rsid w:val="6BDA2AFA"/>
    <w:rsid w:val="6BE4317B"/>
    <w:rsid w:val="6C6E055C"/>
    <w:rsid w:val="6C740B5E"/>
    <w:rsid w:val="6D1D1356"/>
    <w:rsid w:val="6DE8697B"/>
    <w:rsid w:val="6EBC5114"/>
    <w:rsid w:val="6ED57945"/>
    <w:rsid w:val="6EF2710D"/>
    <w:rsid w:val="6F4E7113"/>
    <w:rsid w:val="6F541B76"/>
    <w:rsid w:val="6FAE28B9"/>
    <w:rsid w:val="70B12FF8"/>
    <w:rsid w:val="71F37B08"/>
    <w:rsid w:val="72127AC6"/>
    <w:rsid w:val="722F31E7"/>
    <w:rsid w:val="724F6669"/>
    <w:rsid w:val="72A5504C"/>
    <w:rsid w:val="73722F12"/>
    <w:rsid w:val="73B788E7"/>
    <w:rsid w:val="742C183A"/>
    <w:rsid w:val="743E1047"/>
    <w:rsid w:val="74566577"/>
    <w:rsid w:val="748E5089"/>
    <w:rsid w:val="74DB23BF"/>
    <w:rsid w:val="74FC2BFE"/>
    <w:rsid w:val="75E85E43"/>
    <w:rsid w:val="767E3A20"/>
    <w:rsid w:val="76AF7FDA"/>
    <w:rsid w:val="76F3B939"/>
    <w:rsid w:val="76FD4DCB"/>
    <w:rsid w:val="77664B3C"/>
    <w:rsid w:val="77C82386"/>
    <w:rsid w:val="790A14F7"/>
    <w:rsid w:val="790F2AC2"/>
    <w:rsid w:val="7A7237F8"/>
    <w:rsid w:val="7AA65250"/>
    <w:rsid w:val="7AFD1314"/>
    <w:rsid w:val="7B2F0256"/>
    <w:rsid w:val="7B926184"/>
    <w:rsid w:val="7C023D81"/>
    <w:rsid w:val="7C7F7042"/>
    <w:rsid w:val="7D2637C1"/>
    <w:rsid w:val="7E325778"/>
    <w:rsid w:val="7FB6280C"/>
    <w:rsid w:val="7FFF0A28"/>
    <w:rsid w:val="7FFF3A7E"/>
    <w:rsid w:val="8FFF3353"/>
    <w:rsid w:val="9CBF896A"/>
    <w:rsid w:val="A33D4B8B"/>
    <w:rsid w:val="A75F56E0"/>
    <w:rsid w:val="BFFA55A4"/>
    <w:rsid w:val="BFFBAC19"/>
    <w:rsid w:val="CFF5705B"/>
    <w:rsid w:val="DC5ED6EA"/>
    <w:rsid w:val="E67FB003"/>
    <w:rsid w:val="EB7F9EED"/>
    <w:rsid w:val="EC6FF248"/>
    <w:rsid w:val="EEFF9DCC"/>
    <w:rsid w:val="EF3E74E9"/>
    <w:rsid w:val="F6BEE215"/>
    <w:rsid w:val="F97B3386"/>
    <w:rsid w:val="FD7D69D4"/>
    <w:rsid w:val="FF2EA5B3"/>
    <w:rsid w:val="FFBF2C72"/>
    <w:rsid w:val="FFFFCDD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autoRedefine/>
    <w:unhideWhenUsed/>
    <w:qFormat/>
    <w:uiPriority w:val="1"/>
  </w:style>
  <w:style w:type="table" w:default="1" w:styleId="7">
    <w:name w:val="Normal Table"/>
    <w:autoRedefin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link w:val="12"/>
    <w:autoRedefine/>
    <w:unhideWhenUsed/>
    <w:qFormat/>
    <w:uiPriority w:val="99"/>
    <w:pPr>
      <w:jc w:val="left"/>
    </w:pPr>
  </w:style>
  <w:style w:type="paragraph" w:styleId="3">
    <w:name w:val="Balloon Text"/>
    <w:basedOn w:val="1"/>
    <w:link w:val="13"/>
    <w:autoRedefine/>
    <w:unhideWhenUsed/>
    <w:qFormat/>
    <w:uiPriority w:val="99"/>
    <w:rPr>
      <w:sz w:val="18"/>
      <w:szCs w:val="18"/>
    </w:rPr>
  </w:style>
  <w:style w:type="paragraph" w:styleId="4">
    <w:name w:val="footer"/>
    <w:basedOn w:val="1"/>
    <w:link w:val="14"/>
    <w:autoRedefine/>
    <w:unhideWhenUsed/>
    <w:qFormat/>
    <w:uiPriority w:val="99"/>
    <w:pPr>
      <w:tabs>
        <w:tab w:val="center" w:pos="4153"/>
        <w:tab w:val="right" w:pos="8306"/>
      </w:tabs>
      <w:snapToGrid w:val="0"/>
      <w:jc w:val="left"/>
    </w:pPr>
    <w:rPr>
      <w:sz w:val="18"/>
      <w:szCs w:val="18"/>
    </w:rPr>
  </w:style>
  <w:style w:type="paragraph" w:styleId="5">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autoRedefine/>
    <w:unhideWhenUsed/>
    <w:qFormat/>
    <w:uiPriority w:val="99"/>
    <w:rPr>
      <w:b/>
      <w:bCs/>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autoRedefine/>
    <w:qFormat/>
    <w:uiPriority w:val="22"/>
    <w:rPr>
      <w:b/>
    </w:rPr>
  </w:style>
  <w:style w:type="character" w:styleId="11">
    <w:name w:val="annotation reference"/>
    <w:autoRedefine/>
    <w:unhideWhenUsed/>
    <w:qFormat/>
    <w:uiPriority w:val="99"/>
    <w:rPr>
      <w:sz w:val="21"/>
      <w:szCs w:val="21"/>
    </w:rPr>
  </w:style>
  <w:style w:type="character" w:customStyle="1" w:styleId="12">
    <w:name w:val="批注文字 字符"/>
    <w:link w:val="2"/>
    <w:autoRedefine/>
    <w:qFormat/>
    <w:uiPriority w:val="99"/>
    <w:rPr>
      <w:rFonts w:ascii="等线" w:hAnsi="等线" w:eastAsia="等线"/>
      <w:kern w:val="2"/>
      <w:sz w:val="21"/>
      <w:szCs w:val="22"/>
    </w:rPr>
  </w:style>
  <w:style w:type="character" w:customStyle="1" w:styleId="13">
    <w:name w:val="批注框文本 字符"/>
    <w:link w:val="3"/>
    <w:autoRedefine/>
    <w:semiHidden/>
    <w:qFormat/>
    <w:uiPriority w:val="99"/>
    <w:rPr>
      <w:sz w:val="18"/>
      <w:szCs w:val="18"/>
    </w:rPr>
  </w:style>
  <w:style w:type="character" w:customStyle="1" w:styleId="14">
    <w:name w:val="页脚 字符"/>
    <w:link w:val="4"/>
    <w:autoRedefine/>
    <w:qFormat/>
    <w:uiPriority w:val="99"/>
    <w:rPr>
      <w:sz w:val="18"/>
      <w:szCs w:val="18"/>
    </w:rPr>
  </w:style>
  <w:style w:type="character" w:customStyle="1" w:styleId="15">
    <w:name w:val="页眉 字符"/>
    <w:link w:val="5"/>
    <w:autoRedefine/>
    <w:qFormat/>
    <w:uiPriority w:val="99"/>
    <w:rPr>
      <w:sz w:val="18"/>
      <w:szCs w:val="18"/>
    </w:rPr>
  </w:style>
  <w:style w:type="character" w:customStyle="1" w:styleId="16">
    <w:name w:val="批注主题 字符"/>
    <w:link w:val="6"/>
    <w:autoRedefine/>
    <w:semiHidden/>
    <w:qFormat/>
    <w:uiPriority w:val="99"/>
    <w:rPr>
      <w:rFonts w:ascii="等线" w:hAnsi="等线" w:eastAsia="等线"/>
      <w:b/>
      <w:bCs/>
      <w:kern w:val="2"/>
      <w:sz w:val="21"/>
      <w:szCs w:val="22"/>
    </w:rPr>
  </w:style>
  <w:style w:type="paragraph" w:styleId="17">
    <w:name w:val="List Paragraph"/>
    <w:basedOn w:val="1"/>
    <w:autoRedefine/>
    <w:qFormat/>
    <w:uiPriority w:val="34"/>
    <w:pPr>
      <w:ind w:firstLine="420" w:firstLineChars="200"/>
    </w:pPr>
  </w:style>
  <w:style w:type="paragraph" w:customStyle="1" w:styleId="18">
    <w:name w:val="Default"/>
    <w:autoRedefine/>
    <w:unhideWhenUsed/>
    <w:qFormat/>
    <w:uiPriority w:val="99"/>
    <w:pPr>
      <w:widowControl w:val="0"/>
      <w:autoSpaceDE w:val="0"/>
      <w:autoSpaceDN w:val="0"/>
      <w:adjustRightInd w:val="0"/>
    </w:pPr>
    <w:rPr>
      <w:rFonts w:hint="eastAsia" w:ascii="宋体" w:hAnsi="宋体"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GYBYS</Company>
  <Pages>5</Pages>
  <Words>2759</Words>
  <Characters>2951</Characters>
  <Lines>28</Lines>
  <Paragraphs>7</Paragraphs>
  <TotalTime>193</TotalTime>
  <ScaleCrop>false</ScaleCrop>
  <LinksUpToDate>false</LinksUpToDate>
  <CharactersWithSpaces>3015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2023-09-13T06:13:00Z</dcterms:created>
  <dc:creator>Licy</dc:creator>
  <cp:lastModifiedBy>瑶</cp:lastModifiedBy>
  <cp:lastPrinted>2024-04-08T06:15:00Z</cp:lastPrinted>
  <dcterms:modified xsi:type="dcterms:W3CDTF">2024-04-08T08:29:07Z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84E6EB5C8F034CE39A8467910E9ABD08_13</vt:lpwstr>
  </property>
</Properties>
</file>