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5645" w14:textId="77777777" w:rsidR="00257B2C" w:rsidRDefault="00000000">
      <w:pPr>
        <w:spacing w:line="276" w:lineRule="auto"/>
        <w:ind w:firstLine="64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四川天味食品集团股份有限公司</w:t>
      </w:r>
    </w:p>
    <w:p w14:paraId="3B335162" w14:textId="77777777" w:rsidR="00257B2C" w:rsidRDefault="00000000">
      <w:pPr>
        <w:spacing w:beforeLines="50" w:before="156" w:afterLines="50" w:after="156" w:line="276" w:lineRule="auto"/>
        <w:ind w:firstLine="602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投资者调研活动记录表</w:t>
      </w:r>
    </w:p>
    <w:p w14:paraId="3AC5FEE8" w14:textId="77777777" w:rsidR="00257B2C" w:rsidRDefault="00000000">
      <w:pPr>
        <w:spacing w:beforeLines="50" w:before="156" w:afterLines="50" w:after="156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证券代码：</w:t>
      </w:r>
      <w:r>
        <w:rPr>
          <w:rFonts w:ascii="Times New Roman" w:hAnsi="Times New Roman"/>
          <w:sz w:val="24"/>
        </w:rPr>
        <w:t xml:space="preserve">603317                                          </w:t>
      </w:r>
      <w:r>
        <w:rPr>
          <w:rFonts w:ascii="Times New Roman" w:hAnsi="Times New Roman"/>
          <w:sz w:val="24"/>
        </w:rPr>
        <w:t>证券简称：</w:t>
      </w:r>
      <w:proofErr w:type="gramStart"/>
      <w:r>
        <w:rPr>
          <w:rFonts w:ascii="Times New Roman" w:hAnsi="Times New Roman"/>
          <w:sz w:val="24"/>
        </w:rPr>
        <w:t>天味食品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7859"/>
      </w:tblGrid>
      <w:tr w:rsidR="00257B2C" w14:paraId="0465BAB9" w14:textId="77777777">
        <w:trPr>
          <w:trHeight w:val="114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F01C" w14:textId="77777777" w:rsidR="00257B2C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活动类型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363D" w14:textId="77777777" w:rsidR="00257B2C" w:rsidRDefault="00000000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</w:rPr>
              <w:sym w:font="Wingdings 2" w:char="0052"/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特定对象调研</w:t>
            </w:r>
            <w:r>
              <w:rPr>
                <w:rStyle w:val="font11"/>
                <w:sz w:val="24"/>
                <w:szCs w:val="24"/>
              </w:rPr>
              <w:sym w:font="Wingdings 2" w:char="0052"/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分析</w:t>
            </w:r>
            <w:proofErr w:type="gramStart"/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师会议</w:t>
            </w:r>
            <w:proofErr w:type="gramEnd"/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媒体采访</w:t>
            </w:r>
            <w:r>
              <w:rPr>
                <w:rStyle w:val="font11"/>
                <w:sz w:val="24"/>
                <w:szCs w:val="24"/>
              </w:rPr>
              <w:sym w:font="Wingdings 2" w:char="00A3"/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业绩说明会</w:t>
            </w:r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新闻发布会</w:t>
            </w:r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路演活动</w:t>
            </w:r>
            <w:r>
              <w:rPr>
                <w:rStyle w:val="font11"/>
                <w:sz w:val="24"/>
                <w:szCs w:val="24"/>
              </w:rPr>
              <w:sym w:font="Wingdings 2" w:char="00A3"/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现场参观</w:t>
            </w:r>
            <w:r>
              <w:rPr>
                <w:rStyle w:val="font11"/>
                <w:sz w:val="24"/>
                <w:szCs w:val="24"/>
              </w:rPr>
              <w:sym w:font="Wingdings 2" w:char="0052"/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电话通讯</w:t>
            </w:r>
            <w:r>
              <w:rPr>
                <w:rStyle w:val="font11"/>
                <w:sz w:val="24"/>
                <w:szCs w:val="24"/>
              </w:rPr>
              <w:sym w:font="Wingdings 2" w:char="00A3"/>
            </w:r>
            <w:r>
              <w:rPr>
                <w:rStyle w:val="font21"/>
                <w:rFonts w:ascii="Times New Roman" w:cs="Times New Roman" w:hint="default"/>
                <w:sz w:val="24"/>
                <w:szCs w:val="24"/>
              </w:rPr>
              <w:t>其他</w:t>
            </w:r>
          </w:p>
        </w:tc>
      </w:tr>
      <w:tr w:rsidR="00257B2C" w14:paraId="2A41BABC" w14:textId="77777777">
        <w:trPr>
          <w:trHeight w:val="2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08A6" w14:textId="77777777" w:rsidR="00257B2C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接待对象类型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A00C" w14:textId="77777777" w:rsidR="00257B2C" w:rsidRDefault="00000000">
            <w:pPr>
              <w:widowControl/>
              <w:spacing w:line="276" w:lineRule="auto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机构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个人</w:t>
            </w:r>
            <w:r>
              <w:rPr>
                <w:rStyle w:val="font11"/>
                <w:sz w:val="24"/>
                <w:szCs w:val="24"/>
              </w:rPr>
              <w:t>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其他</w:t>
            </w:r>
          </w:p>
        </w:tc>
      </w:tr>
      <w:tr w:rsidR="00257B2C" w14:paraId="53BB0392" w14:textId="77777777">
        <w:trPr>
          <w:trHeight w:val="160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7FD" w14:textId="77777777" w:rsidR="00257B2C" w:rsidRDefault="00000000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参与单位名称及人员姓名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88A6" w14:textId="77777777" w:rsidR="00257B2C" w:rsidRDefault="00000000">
            <w:pPr>
              <w:widowControl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Investment</w:t>
            </w:r>
            <w:r>
              <w:rPr>
                <w:rFonts w:ascii="Times New Roman" w:hAnsi="Times New Roman"/>
                <w:sz w:val="24"/>
              </w:rPr>
              <w:t>、</w:t>
            </w:r>
            <w:r>
              <w:rPr>
                <w:rFonts w:ascii="Times New Roman" w:hAnsi="Times New Roman"/>
                <w:sz w:val="24"/>
              </w:rPr>
              <w:t>Pinpoint ASSET</w:t>
            </w:r>
            <w:r>
              <w:rPr>
                <w:rFonts w:ascii="Times New Roman" w:hAnsi="Times New Roman"/>
                <w:sz w:val="24"/>
              </w:rPr>
              <w:t>、</w:t>
            </w:r>
            <w:r>
              <w:rPr>
                <w:rFonts w:ascii="Times New Roman" w:hAnsi="Times New Roman"/>
                <w:sz w:val="24"/>
              </w:rPr>
              <w:t>Samsung Asset</w:t>
            </w:r>
            <w:r>
              <w:rPr>
                <w:rFonts w:ascii="Times New Roman" w:hAnsi="Times New Roman"/>
                <w:sz w:val="24"/>
              </w:rPr>
              <w:t>、博时基金、财通证券、长城财富资管、长江证券、长信基金、淡水泉投资、东海基金、东吴证券、东兴证券、富国基金、</w:t>
            </w:r>
            <w:proofErr w:type="gramStart"/>
            <w:r>
              <w:rPr>
                <w:rFonts w:ascii="Times New Roman" w:hAnsi="Times New Roman"/>
                <w:sz w:val="24"/>
              </w:rPr>
              <w:t>工银瑞信</w:t>
            </w:r>
            <w:proofErr w:type="gramEnd"/>
            <w:r>
              <w:rPr>
                <w:rFonts w:ascii="Times New Roman" w:hAnsi="Times New Roman"/>
                <w:sz w:val="24"/>
              </w:rPr>
              <w:t>基金、广发基金、国都证券、国海富兰克林基金、国君证券、国联证券、国盛证券、国泰基金、国投安信、</w:t>
            </w:r>
            <w:proofErr w:type="gramStart"/>
            <w:r>
              <w:rPr>
                <w:rFonts w:ascii="Times New Roman" w:hAnsi="Times New Roman"/>
                <w:sz w:val="24"/>
              </w:rPr>
              <w:t>国投瑞银</w:t>
            </w:r>
            <w:proofErr w:type="gramEnd"/>
            <w:r>
              <w:rPr>
                <w:rFonts w:ascii="Times New Roman" w:hAnsi="Times New Roman"/>
                <w:sz w:val="24"/>
              </w:rPr>
              <w:t>基金、国投证券、国元证券、海富通基金、海通国际、海通证券、华安基金、华安证券、华宝基金、华创证券、华福证券、华富基金、华金证券、华泰证券、华西证券、</w:t>
            </w:r>
            <w:proofErr w:type="gramStart"/>
            <w:r>
              <w:rPr>
                <w:rFonts w:ascii="Times New Roman" w:hAnsi="Times New Roman"/>
                <w:sz w:val="24"/>
              </w:rPr>
              <w:t>汇添富</w:t>
            </w:r>
            <w:proofErr w:type="gramEnd"/>
            <w:r>
              <w:rPr>
                <w:rFonts w:ascii="Times New Roman" w:hAnsi="Times New Roman"/>
                <w:sz w:val="24"/>
              </w:rPr>
              <w:t>基金、建信基金、建信养老金、交银理财、交银施罗德基金、景顺长城基金、开源证券、摩根基金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Times New Roman" w:hAnsi="Times New Roman"/>
                <w:sz w:val="24"/>
              </w:rPr>
              <w:t>鹏华基金、平安基金、人寿保险、融通基金、上海国际信托、上海证券、申万宏源证券、太平洋证券、太平洋资管、万家基金、西部利得基金、西南证券、</w:t>
            </w:r>
            <w:proofErr w:type="gramStart"/>
            <w:r>
              <w:rPr>
                <w:rFonts w:ascii="Times New Roman" w:hAnsi="Times New Roman"/>
                <w:sz w:val="24"/>
              </w:rPr>
              <w:t>信达澳亚基</w:t>
            </w:r>
            <w:proofErr w:type="gramEnd"/>
            <w:r>
              <w:rPr>
                <w:rFonts w:ascii="Times New Roman" w:hAnsi="Times New Roman"/>
                <w:sz w:val="24"/>
              </w:rPr>
              <w:t>金、信达证券、</w:t>
            </w:r>
            <w:proofErr w:type="gramStart"/>
            <w:r>
              <w:rPr>
                <w:rFonts w:ascii="Times New Roman" w:hAnsi="Times New Roman"/>
                <w:sz w:val="24"/>
              </w:rPr>
              <w:t>兴证全球</w:t>
            </w:r>
            <w:proofErr w:type="gramEnd"/>
            <w:r>
              <w:rPr>
                <w:rFonts w:ascii="Times New Roman" w:hAnsi="Times New Roman"/>
                <w:sz w:val="24"/>
              </w:rPr>
              <w:t>基金、</w:t>
            </w:r>
            <w:proofErr w:type="gramStart"/>
            <w:r>
              <w:rPr>
                <w:rFonts w:ascii="Times New Roman" w:hAnsi="Times New Roman"/>
                <w:sz w:val="24"/>
              </w:rPr>
              <w:t>兴证证券</w:t>
            </w:r>
            <w:proofErr w:type="gramEnd"/>
            <w:r>
              <w:rPr>
                <w:rFonts w:ascii="Times New Roman" w:hAnsi="Times New Roman"/>
                <w:sz w:val="24"/>
              </w:rPr>
              <w:t>、银华基金、招商基金、</w:t>
            </w:r>
            <w:proofErr w:type="gramStart"/>
            <w:r>
              <w:rPr>
                <w:rFonts w:ascii="Times New Roman" w:hAnsi="Times New Roman"/>
                <w:sz w:val="24"/>
              </w:rPr>
              <w:t>浙商证券</w:t>
            </w:r>
            <w:proofErr w:type="gramEnd"/>
            <w:r>
              <w:rPr>
                <w:rFonts w:ascii="Times New Roman" w:hAnsi="Times New Roman"/>
                <w:sz w:val="24"/>
              </w:rPr>
              <w:t>、中加基金、中金公司、中泰证券、中天国富证券、中</w:t>
            </w:r>
            <w:proofErr w:type="gramStart"/>
            <w:r>
              <w:rPr>
                <w:rFonts w:ascii="Times New Roman" w:hAnsi="Times New Roman"/>
                <w:sz w:val="24"/>
              </w:rPr>
              <w:t>信建投证券</w:t>
            </w:r>
            <w:proofErr w:type="gramEnd"/>
            <w:r>
              <w:rPr>
                <w:rFonts w:ascii="Times New Roman" w:hAnsi="Times New Roman"/>
                <w:sz w:val="24"/>
              </w:rPr>
              <w:t>、中信里昂证券、中信证券、中</w:t>
            </w:r>
            <w:proofErr w:type="gramStart"/>
            <w:r>
              <w:rPr>
                <w:rFonts w:ascii="Times New Roman" w:hAnsi="Times New Roman"/>
                <w:sz w:val="24"/>
              </w:rPr>
              <w:t>邮证券</w:t>
            </w:r>
            <w:proofErr w:type="gramEnd"/>
            <w:r>
              <w:rPr>
                <w:rFonts w:ascii="Times New Roman" w:hAnsi="Times New Roman"/>
                <w:sz w:val="24"/>
              </w:rPr>
              <w:t>等</w:t>
            </w:r>
            <w:r>
              <w:rPr>
                <w:rFonts w:ascii="Times New Roman" w:hAnsi="Times New Roman"/>
                <w:sz w:val="24"/>
              </w:rPr>
              <w:t>120</w:t>
            </w:r>
            <w:r>
              <w:rPr>
                <w:rFonts w:ascii="Times New Roman" w:hAnsi="Times New Roman"/>
                <w:sz w:val="24"/>
              </w:rPr>
              <w:t>余位机构投资者</w:t>
            </w:r>
          </w:p>
        </w:tc>
      </w:tr>
      <w:tr w:rsidR="00257B2C" w14:paraId="4A60FB98" w14:textId="77777777">
        <w:trPr>
          <w:trHeight w:val="53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BE1" w14:textId="77777777" w:rsidR="00257B2C" w:rsidRDefault="00000000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时间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989" w14:textId="77777777" w:rsidR="00257B2C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20</w:t>
            </w:r>
            <w:r>
              <w:rPr>
                <w:rFonts w:ascii="Times New Roman" w:eastAsiaTheme="minorEastAsia" w:hAnsi="Times New Roman" w:hint="eastAsia"/>
                <w:sz w:val="24"/>
              </w:rPr>
              <w:t>24</w:t>
            </w:r>
            <w:r>
              <w:rPr>
                <w:rFonts w:ascii="Times New Roman" w:eastAsiaTheme="minorEastAsia" w:hAnsi="Times New Roman" w:hint="eastAsia"/>
                <w:sz w:val="24"/>
              </w:rPr>
              <w:t>年</w:t>
            </w:r>
            <w:r>
              <w:rPr>
                <w:rFonts w:ascii="Times New Roman" w:eastAsiaTheme="minorEastAsia" w:hAnsi="Times New Roman" w:hint="eastAsia"/>
                <w:sz w:val="24"/>
              </w:rPr>
              <w:t>3</w:t>
            </w:r>
            <w:r>
              <w:rPr>
                <w:rFonts w:ascii="Times New Roman" w:eastAsiaTheme="minorEastAsia" w:hAnsi="Times New Roman" w:hint="eastAsia"/>
                <w:sz w:val="24"/>
              </w:rPr>
              <w:t>月</w:t>
            </w:r>
            <w:r>
              <w:rPr>
                <w:rFonts w:ascii="Times New Roman" w:eastAsiaTheme="minorEastAsia" w:hAnsi="Times New Roman" w:hint="eastAsia"/>
                <w:sz w:val="24"/>
              </w:rPr>
              <w:t>28</w:t>
            </w:r>
            <w:r>
              <w:rPr>
                <w:rFonts w:ascii="Times New Roman" w:eastAsiaTheme="minorEastAsia" w:hAnsi="Times New Roman" w:hint="eastAsia"/>
                <w:sz w:val="24"/>
              </w:rPr>
              <w:t>日</w:t>
            </w:r>
            <w:r>
              <w:rPr>
                <w:rFonts w:ascii="Times New Roman" w:eastAsiaTheme="minorEastAsia" w:hAnsi="Times New Roman" w:hint="eastAsia"/>
                <w:sz w:val="24"/>
              </w:rPr>
              <w:t>-4</w:t>
            </w:r>
            <w:r>
              <w:rPr>
                <w:rFonts w:ascii="Times New Roman" w:eastAsiaTheme="minorEastAsia" w:hAnsi="Times New Roman" w:hint="eastAsia"/>
                <w:sz w:val="24"/>
              </w:rPr>
              <w:t>月</w:t>
            </w:r>
            <w:r>
              <w:rPr>
                <w:rFonts w:ascii="Times New Roman" w:eastAsiaTheme="minorEastAsia" w:hAnsi="Times New Roman" w:hint="eastAsia"/>
                <w:sz w:val="24"/>
              </w:rPr>
              <w:t>7</w:t>
            </w:r>
            <w:r>
              <w:rPr>
                <w:rFonts w:ascii="Times New Roman" w:eastAsiaTheme="minorEastAsia" w:hAnsi="Times New Roman" w:hint="eastAsia"/>
                <w:sz w:val="24"/>
              </w:rPr>
              <w:t>日</w:t>
            </w:r>
          </w:p>
        </w:tc>
      </w:tr>
      <w:tr w:rsidR="00257B2C" w14:paraId="74FE2ED6" w14:textId="77777777">
        <w:trPr>
          <w:trHeight w:val="49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D35C" w14:textId="77777777" w:rsidR="00257B2C" w:rsidRDefault="00000000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地点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1B6F" w14:textId="77777777" w:rsidR="00257B2C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  <w:highlight w:val="yellow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线上会议</w:t>
            </w:r>
          </w:p>
        </w:tc>
      </w:tr>
      <w:tr w:rsidR="00257B2C" w14:paraId="56CD16C6" w14:textId="77777777">
        <w:trPr>
          <w:trHeight w:val="2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CCD0" w14:textId="77777777" w:rsidR="00257B2C" w:rsidRDefault="00000000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上市公司接待人员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382F" w14:textId="77777777" w:rsidR="00257B2C" w:rsidRDefault="00000000">
            <w:pPr>
              <w:widowControl/>
              <w:spacing w:line="360" w:lineRule="auto"/>
              <w:jc w:val="left"/>
              <w:rPr>
                <w:rFonts w:ascii="Times New Roman" w:eastAsiaTheme="minorEastAsia" w:hAnsiTheme="minorEastAsia"/>
                <w:sz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</w:rPr>
              <w:t>副总裁、董事会秘书何昌军先生</w:t>
            </w:r>
          </w:p>
        </w:tc>
      </w:tr>
      <w:tr w:rsidR="00257B2C" w14:paraId="6E46441F" w14:textId="77777777">
        <w:trPr>
          <w:trHeight w:val="6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9083" w14:textId="77777777" w:rsidR="00257B2C" w:rsidRDefault="00000000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Theme="minorEastAsia"/>
                <w:sz w:val="24"/>
              </w:rPr>
              <w:t>活动主要内容介绍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A3B8" w14:textId="77777777" w:rsidR="00257B2C" w:rsidRDefault="00000000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一、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2023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年度公司经营情况简介</w:t>
            </w:r>
          </w:p>
          <w:p w14:paraId="7FA0912C" w14:textId="77777777" w:rsidR="00257B2C" w:rsidRDefault="00000000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>年度，公司实现营业收入</w:t>
            </w:r>
            <w:r>
              <w:rPr>
                <w:rFonts w:ascii="Times New Roman" w:hAnsi="Times New Roman"/>
                <w:sz w:val="24"/>
              </w:rPr>
              <w:t>31.49</w:t>
            </w:r>
            <w:r>
              <w:rPr>
                <w:rFonts w:ascii="Times New Roman" w:hAnsi="Times New Roman"/>
                <w:sz w:val="24"/>
              </w:rPr>
              <w:t>亿元，同比增长</w:t>
            </w:r>
            <w:r>
              <w:rPr>
                <w:rFonts w:ascii="Times New Roman" w:hAnsi="Times New Roman"/>
                <w:sz w:val="24"/>
              </w:rPr>
              <w:t>17.02%</w:t>
            </w:r>
            <w:r>
              <w:rPr>
                <w:rFonts w:ascii="Times New Roman" w:hAnsi="Times New Roman"/>
                <w:sz w:val="24"/>
              </w:rPr>
              <w:t>；</w:t>
            </w:r>
            <w:proofErr w:type="gramStart"/>
            <w:r>
              <w:rPr>
                <w:rFonts w:ascii="Times New Roman" w:hAnsi="Times New Roman"/>
                <w:sz w:val="24"/>
              </w:rPr>
              <w:t>归母净利润</w:t>
            </w:r>
            <w:proofErr w:type="gramEnd"/>
            <w:r>
              <w:rPr>
                <w:rFonts w:ascii="Times New Roman" w:hAnsi="Times New Roman"/>
                <w:sz w:val="24"/>
              </w:rPr>
              <w:t>4.57</w:t>
            </w:r>
            <w:r>
              <w:rPr>
                <w:rFonts w:ascii="Times New Roman" w:hAnsi="Times New Roman"/>
                <w:sz w:val="24"/>
              </w:rPr>
              <w:t>亿元，同比增长</w:t>
            </w:r>
            <w:r>
              <w:rPr>
                <w:rFonts w:ascii="Times New Roman" w:hAnsi="Times New Roman"/>
                <w:sz w:val="24"/>
              </w:rPr>
              <w:t>33.65%</w:t>
            </w:r>
            <w:r>
              <w:rPr>
                <w:rFonts w:ascii="Times New Roman" w:hAnsi="Times New Roman"/>
                <w:sz w:val="24"/>
              </w:rPr>
              <w:t>；毛利率</w:t>
            </w:r>
            <w:r>
              <w:rPr>
                <w:rFonts w:ascii="Times New Roman" w:hAnsi="Times New Roman"/>
                <w:sz w:val="24"/>
              </w:rPr>
              <w:t>37.88%</w:t>
            </w:r>
            <w:r>
              <w:rPr>
                <w:rFonts w:ascii="Times New Roman" w:hAnsi="Times New Roman"/>
                <w:sz w:val="24"/>
              </w:rPr>
              <w:t>，较去年同期增加</w:t>
            </w:r>
            <w:r>
              <w:rPr>
                <w:rFonts w:ascii="Times New Roman" w:hAnsi="Times New Roman"/>
                <w:sz w:val="24"/>
              </w:rPr>
              <w:t>3.66</w:t>
            </w:r>
            <w:r>
              <w:rPr>
                <w:rFonts w:ascii="Times New Roman" w:hAnsi="Times New Roman"/>
                <w:sz w:val="24"/>
              </w:rPr>
              <w:t>个百分点；经销商</w:t>
            </w:r>
            <w:r>
              <w:rPr>
                <w:rFonts w:ascii="Times New Roman" w:hAnsi="Times New Roman"/>
                <w:sz w:val="24"/>
              </w:rPr>
              <w:t>3165</w:t>
            </w:r>
            <w:r>
              <w:rPr>
                <w:rFonts w:ascii="Times New Roman" w:hAnsi="Times New Roman"/>
                <w:sz w:val="24"/>
              </w:rPr>
              <w:t>家，较上年末减少</w:t>
            </w:r>
            <w:r>
              <w:rPr>
                <w:rFonts w:ascii="Times New Roman" w:hAnsi="Times New Roman"/>
                <w:sz w:val="24"/>
              </w:rPr>
              <w:t>249</w:t>
            </w:r>
            <w:r>
              <w:rPr>
                <w:rFonts w:ascii="Times New Roman" w:hAnsi="Times New Roman"/>
                <w:sz w:val="24"/>
              </w:rPr>
              <w:t>家。</w:t>
            </w:r>
          </w:p>
          <w:p w14:paraId="4DEE4230" w14:textId="4CC663A2" w:rsidR="00257B2C" w:rsidRDefault="004C132D" w:rsidP="004C132D">
            <w:pPr>
              <w:pStyle w:val="10"/>
              <w:spacing w:line="360" w:lineRule="auto"/>
              <w:ind w:firstLine="480"/>
            </w:pPr>
            <w:r>
              <w:rPr>
                <w:rFonts w:ascii="宋体" w:hAnsi="宋体" w:hint="eastAsia"/>
              </w:rPr>
              <w:t>1、</w:t>
            </w:r>
            <w:r w:rsidR="00000000">
              <w:rPr>
                <w:rFonts w:ascii="宋体" w:hAnsi="宋体"/>
              </w:rPr>
              <w:t>收入</w:t>
            </w:r>
            <w:proofErr w:type="gramStart"/>
            <w:r w:rsidR="00000000">
              <w:rPr>
                <w:rFonts w:ascii="宋体" w:hAnsi="宋体"/>
              </w:rPr>
              <w:t>按渠道</w:t>
            </w:r>
            <w:proofErr w:type="gramEnd"/>
            <w:r w:rsidR="00000000">
              <w:rPr>
                <w:rFonts w:ascii="宋体" w:hAnsi="宋体" w:hint="eastAsia"/>
              </w:rPr>
              <w:t>分类</w:t>
            </w:r>
            <w:r w:rsidR="00000000">
              <w:rPr>
                <w:rFonts w:ascii="宋体" w:hAnsi="宋体"/>
              </w:rPr>
              <w:t>，经销商渠道收入</w:t>
            </w:r>
            <w:r w:rsidR="00000000">
              <w:rPr>
                <w:rFonts w:hint="eastAsia"/>
              </w:rPr>
              <w:t>23.56</w:t>
            </w:r>
            <w:r w:rsidR="00000000">
              <w:rPr>
                <w:rFonts w:ascii="宋体" w:hAnsi="宋体"/>
              </w:rPr>
              <w:t>亿元，同比</w:t>
            </w:r>
            <w:r w:rsidR="00000000">
              <w:rPr>
                <w:rFonts w:ascii="宋体" w:hAnsi="宋体" w:hint="eastAsia"/>
              </w:rPr>
              <w:t>增长</w:t>
            </w:r>
            <w:r w:rsidR="00000000">
              <w:rPr>
                <w:rFonts w:hint="eastAsia"/>
              </w:rPr>
              <w:t>8.81</w:t>
            </w:r>
            <w:r w:rsidR="00000000">
              <w:t>%</w:t>
            </w:r>
            <w:r w:rsidR="00000000">
              <w:rPr>
                <w:rFonts w:ascii="宋体" w:hAnsi="宋体" w:hint="eastAsia"/>
              </w:rPr>
              <w:t>，占比</w:t>
            </w:r>
            <w:r w:rsidR="00000000">
              <w:rPr>
                <w:rFonts w:hint="eastAsia"/>
              </w:rPr>
              <w:t>74.92%</w:t>
            </w:r>
            <w:r w:rsidR="00000000">
              <w:rPr>
                <w:rFonts w:ascii="宋体" w:hAnsi="宋体" w:hint="eastAsia"/>
              </w:rPr>
              <w:t>；电</w:t>
            </w:r>
            <w:proofErr w:type="gramStart"/>
            <w:r w:rsidR="00000000">
              <w:rPr>
                <w:rFonts w:ascii="宋体" w:hAnsi="宋体" w:hint="eastAsia"/>
              </w:rPr>
              <w:t>商渠道</w:t>
            </w:r>
            <w:proofErr w:type="gramEnd"/>
            <w:r w:rsidR="00000000">
              <w:rPr>
                <w:rFonts w:ascii="宋体" w:hAnsi="宋体" w:hint="eastAsia"/>
              </w:rPr>
              <w:t>收入</w:t>
            </w:r>
            <w:r w:rsidR="00000000">
              <w:rPr>
                <w:rFonts w:hint="eastAsia"/>
              </w:rPr>
              <w:t>3.93</w:t>
            </w:r>
            <w:r w:rsidR="00000000">
              <w:rPr>
                <w:rFonts w:ascii="宋体" w:hAnsi="宋体" w:hint="eastAsia"/>
              </w:rPr>
              <w:t>亿元，同比增长</w:t>
            </w:r>
            <w:r w:rsidR="00000000">
              <w:rPr>
                <w:rFonts w:hint="eastAsia"/>
              </w:rPr>
              <w:t>92.99%</w:t>
            </w:r>
            <w:r w:rsidR="00000000">
              <w:rPr>
                <w:rFonts w:ascii="宋体" w:hAnsi="宋体" w:hint="eastAsia"/>
              </w:rPr>
              <w:t>，占比</w:t>
            </w:r>
            <w:r w:rsidR="00000000">
              <w:rPr>
                <w:rFonts w:hint="eastAsia"/>
              </w:rPr>
              <w:t>12.5%</w:t>
            </w:r>
            <w:r w:rsidR="00000000">
              <w:rPr>
                <w:rFonts w:ascii="宋体" w:hAnsi="宋体" w:hint="eastAsia"/>
              </w:rPr>
              <w:t>；</w:t>
            </w:r>
            <w:r w:rsidR="00000000">
              <w:rPr>
                <w:rFonts w:ascii="宋体" w:hAnsi="宋体"/>
              </w:rPr>
              <w:t>定制</w:t>
            </w:r>
            <w:proofErr w:type="gramStart"/>
            <w:r w:rsidR="00000000">
              <w:rPr>
                <w:rFonts w:ascii="宋体" w:hAnsi="宋体"/>
              </w:rPr>
              <w:t>餐调渠道</w:t>
            </w:r>
            <w:proofErr w:type="gramEnd"/>
            <w:r w:rsidR="00000000">
              <w:rPr>
                <w:rFonts w:ascii="宋体" w:hAnsi="宋体"/>
              </w:rPr>
              <w:t>收入</w:t>
            </w:r>
            <w:r w:rsidR="00000000">
              <w:rPr>
                <w:rFonts w:hint="eastAsia"/>
              </w:rPr>
              <w:t>3.19</w:t>
            </w:r>
            <w:r w:rsidR="00000000">
              <w:rPr>
                <w:rFonts w:ascii="宋体" w:hAnsi="宋体"/>
              </w:rPr>
              <w:t>亿元，同比</w:t>
            </w:r>
            <w:r w:rsidR="00000000">
              <w:rPr>
                <w:rFonts w:ascii="宋体" w:hAnsi="宋体" w:hint="eastAsia"/>
              </w:rPr>
              <w:t>增长</w:t>
            </w:r>
            <w:r w:rsidR="00000000">
              <w:rPr>
                <w:rFonts w:hint="eastAsia"/>
              </w:rPr>
              <w:t>32.24</w:t>
            </w:r>
            <w:r w:rsidR="00000000">
              <w:t>%</w:t>
            </w:r>
            <w:r w:rsidR="00000000">
              <w:rPr>
                <w:rFonts w:ascii="宋体" w:hAnsi="宋体"/>
              </w:rPr>
              <w:t>，占比</w:t>
            </w:r>
            <w:r w:rsidR="00000000">
              <w:rPr>
                <w:rFonts w:hint="eastAsia"/>
              </w:rPr>
              <w:t>10.14</w:t>
            </w:r>
            <w:r w:rsidR="00000000">
              <w:t>%</w:t>
            </w:r>
            <w:r w:rsidR="00000000">
              <w:rPr>
                <w:rFonts w:ascii="宋体" w:hAnsi="宋体" w:hint="eastAsia"/>
              </w:rPr>
              <w:t>。</w:t>
            </w:r>
          </w:p>
          <w:p w14:paraId="486E195B" w14:textId="45CDDAD8" w:rsidR="00257B2C" w:rsidRDefault="004C132D" w:rsidP="004C132D">
            <w:pPr>
              <w:pStyle w:val="10"/>
              <w:spacing w:line="360" w:lineRule="auto"/>
              <w:ind w:firstLine="480"/>
            </w:pPr>
            <w:r w:rsidRPr="004C132D">
              <w:t>2</w:t>
            </w:r>
            <w:r w:rsidRPr="004C132D">
              <w:t>、</w:t>
            </w:r>
            <w:r w:rsidR="00000000">
              <w:rPr>
                <w:rFonts w:ascii="宋体" w:hAnsi="宋体"/>
              </w:rPr>
              <w:t>收入按产品分类，火锅调料和中式菜品调料收入共计</w:t>
            </w:r>
            <w:r w:rsidR="00000000">
              <w:rPr>
                <w:rFonts w:hint="eastAsia"/>
              </w:rPr>
              <w:t>27.41</w:t>
            </w:r>
            <w:r w:rsidR="00000000">
              <w:rPr>
                <w:rFonts w:ascii="宋体" w:hAnsi="宋体"/>
              </w:rPr>
              <w:t>亿元，火锅调料</w:t>
            </w:r>
            <w:r w:rsidR="00000000">
              <w:rPr>
                <w:rFonts w:hint="eastAsia"/>
              </w:rPr>
              <w:t>12.22</w:t>
            </w:r>
            <w:r w:rsidR="00000000">
              <w:rPr>
                <w:rFonts w:ascii="宋体" w:hAnsi="宋体"/>
              </w:rPr>
              <w:t>亿元，占比</w:t>
            </w:r>
            <w:r w:rsidR="00000000">
              <w:rPr>
                <w:rFonts w:hint="eastAsia"/>
              </w:rPr>
              <w:t>38.85</w:t>
            </w:r>
            <w:r w:rsidR="00000000">
              <w:t>%</w:t>
            </w:r>
            <w:r w:rsidR="00000000">
              <w:rPr>
                <w:rFonts w:ascii="宋体" w:hAnsi="宋体"/>
              </w:rPr>
              <w:t>，同比</w:t>
            </w:r>
            <w:r w:rsidR="00000000">
              <w:rPr>
                <w:rFonts w:ascii="宋体" w:hAnsi="宋体" w:hint="eastAsia"/>
              </w:rPr>
              <w:t>增长</w:t>
            </w:r>
            <w:r w:rsidR="00000000">
              <w:rPr>
                <w:rFonts w:hint="eastAsia"/>
              </w:rPr>
              <w:t>1.97</w:t>
            </w:r>
            <w:r w:rsidR="00000000">
              <w:t>%</w:t>
            </w:r>
            <w:r w:rsidR="00000000">
              <w:rPr>
                <w:rFonts w:ascii="宋体" w:hAnsi="宋体"/>
              </w:rPr>
              <w:t>；中式菜品调料</w:t>
            </w:r>
            <w:r w:rsidR="00000000">
              <w:rPr>
                <w:rFonts w:hint="eastAsia"/>
              </w:rPr>
              <w:t>15.19</w:t>
            </w:r>
            <w:r w:rsidR="00000000">
              <w:rPr>
                <w:rFonts w:ascii="宋体" w:hAnsi="宋体"/>
              </w:rPr>
              <w:lastRenderedPageBreak/>
              <w:t>亿元，占比</w:t>
            </w:r>
            <w:r w:rsidR="00000000">
              <w:rPr>
                <w:rFonts w:hint="eastAsia"/>
              </w:rPr>
              <w:t>48.3</w:t>
            </w:r>
            <w:r w:rsidR="00000000">
              <w:t>%</w:t>
            </w:r>
            <w:r w:rsidR="00000000">
              <w:rPr>
                <w:rFonts w:ascii="宋体" w:hAnsi="宋体"/>
              </w:rPr>
              <w:t>，同比</w:t>
            </w:r>
            <w:r w:rsidR="00000000">
              <w:rPr>
                <w:rFonts w:ascii="宋体" w:hAnsi="宋体" w:hint="eastAsia"/>
              </w:rPr>
              <w:t>增长</w:t>
            </w:r>
            <w:r w:rsidR="00000000">
              <w:rPr>
                <w:rFonts w:hint="eastAsia"/>
              </w:rPr>
              <w:t>28.58</w:t>
            </w:r>
            <w:r w:rsidR="00000000">
              <w:t>%</w:t>
            </w:r>
            <w:r w:rsidR="00000000">
              <w:rPr>
                <w:rFonts w:ascii="宋体" w:hAnsi="宋体"/>
              </w:rPr>
              <w:t>。</w:t>
            </w:r>
          </w:p>
          <w:p w14:paraId="42CFA3CE" w14:textId="73D0DC49" w:rsidR="00257B2C" w:rsidRDefault="004C132D" w:rsidP="004C132D">
            <w:pPr>
              <w:pStyle w:val="10"/>
              <w:spacing w:line="360" w:lineRule="auto"/>
              <w:ind w:firstLine="480"/>
            </w:pPr>
            <w:r w:rsidRPr="004C132D">
              <w:t>3</w:t>
            </w:r>
            <w:r w:rsidRPr="004C132D">
              <w:t>、</w:t>
            </w:r>
            <w:r w:rsidR="00000000">
              <w:rPr>
                <w:rFonts w:ascii="宋体" w:hAnsi="宋体"/>
              </w:rPr>
              <w:t>收入按地区分类，西南地区、华东地区</w:t>
            </w:r>
            <w:r w:rsidR="00000000">
              <w:rPr>
                <w:rFonts w:ascii="宋体" w:hAnsi="宋体" w:hint="eastAsia"/>
              </w:rPr>
              <w:t>和</w:t>
            </w:r>
            <w:r w:rsidR="00000000">
              <w:rPr>
                <w:rFonts w:ascii="宋体" w:hAnsi="宋体"/>
              </w:rPr>
              <w:t>华中地区</w:t>
            </w:r>
            <w:proofErr w:type="gramStart"/>
            <w:r w:rsidR="00000000">
              <w:rPr>
                <w:rFonts w:ascii="宋体" w:hAnsi="宋体"/>
              </w:rPr>
              <w:t>占比较</w:t>
            </w:r>
            <w:proofErr w:type="gramEnd"/>
            <w:r w:rsidR="00000000">
              <w:rPr>
                <w:rFonts w:ascii="宋体" w:hAnsi="宋体"/>
              </w:rPr>
              <w:t>大，三个区域总计达到</w:t>
            </w:r>
            <w:r w:rsidR="00000000">
              <w:rPr>
                <w:rFonts w:hint="eastAsia"/>
              </w:rPr>
              <w:t>71.77</w:t>
            </w:r>
            <w:r w:rsidR="00000000">
              <w:t>%</w:t>
            </w:r>
            <w:r w:rsidR="00000000">
              <w:rPr>
                <w:rFonts w:ascii="宋体" w:hAnsi="宋体"/>
              </w:rPr>
              <w:t>。公司市场网络已经覆盖全国</w:t>
            </w:r>
            <w:r w:rsidR="00000000">
              <w:t>3</w:t>
            </w:r>
            <w:r w:rsidR="00000000">
              <w:rPr>
                <w:rFonts w:hint="eastAsia"/>
              </w:rPr>
              <w:t>1</w:t>
            </w:r>
            <w:r w:rsidR="00000000">
              <w:rPr>
                <w:rFonts w:ascii="宋体" w:hAnsi="宋体"/>
              </w:rPr>
              <w:t>个省、自治区及直辖市，形成了四川、河南、江苏、陕西等多个优势省市以及由浙江、江西、云南等组成的快速增长区域。</w:t>
            </w:r>
          </w:p>
          <w:p w14:paraId="32CBF752" w14:textId="77777777" w:rsidR="00257B2C" w:rsidRDefault="00000000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二、</w:t>
            </w:r>
            <w:r>
              <w:rPr>
                <w:rFonts w:ascii="Times New Roman" w:hAnsi="Times New Roman"/>
                <w:b/>
                <w:bCs/>
                <w:sz w:val="24"/>
              </w:rPr>
              <w:t>投资者沟通交流活动中的主要内容归纳整理如下：</w:t>
            </w:r>
          </w:p>
          <w:p w14:paraId="55DBC454" w14:textId="77777777" w:rsidR="00257B2C" w:rsidRDefault="00000000">
            <w:pPr>
              <w:numPr>
                <w:ilvl w:val="0"/>
                <w:numId w:val="1"/>
              </w:numPr>
              <w:spacing w:beforeLines="50" w:before="156"/>
              <w:ind w:firstLineChars="200" w:firstLine="482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2023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年净利润增长的原因</w:t>
            </w:r>
          </w:p>
          <w:p w14:paraId="6B07A58D" w14:textId="77777777" w:rsidR="00257B2C" w:rsidRDefault="00000000">
            <w:pPr>
              <w:widowControl/>
              <w:shd w:val="clear" w:color="auto" w:fill="FFFFFF"/>
              <w:spacing w:line="360" w:lineRule="auto"/>
              <w:ind w:left="-32"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>销售规模增加；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）原材料综合采购成本下降，生产运营效率提升，毛利率增加；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）投资收益较上年增加。</w:t>
            </w:r>
          </w:p>
          <w:p w14:paraId="1F6706AA" w14:textId="77777777" w:rsidR="00257B2C" w:rsidRDefault="00000000">
            <w:pPr>
              <w:numPr>
                <w:ilvl w:val="0"/>
                <w:numId w:val="1"/>
              </w:numPr>
              <w:spacing w:beforeLines="50" w:before="156"/>
              <w:ind w:firstLineChars="200" w:firstLine="482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2023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年毛利率增加的原因</w:t>
            </w:r>
          </w:p>
          <w:p w14:paraId="4E7765B9" w14:textId="77777777" w:rsidR="00257B2C" w:rsidRDefault="00000000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）原材料综合采购成本下降；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）产品结构变化。</w:t>
            </w:r>
          </w:p>
          <w:p w14:paraId="55864C5D" w14:textId="77777777" w:rsidR="00257B2C" w:rsidRDefault="00000000">
            <w:pPr>
              <w:numPr>
                <w:ilvl w:val="0"/>
                <w:numId w:val="1"/>
              </w:numPr>
              <w:spacing w:beforeLines="50" w:before="156"/>
              <w:ind w:firstLineChars="200" w:firstLine="482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2023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年公司分红率提高至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93%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，未来分红的可持续性</w:t>
            </w:r>
          </w:p>
          <w:p w14:paraId="1C2C63AE" w14:textId="77777777" w:rsidR="00257B2C" w:rsidRDefault="00000000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公司一直高度重视股东分红回报，自</w:t>
            </w:r>
            <w:r>
              <w:rPr>
                <w:rFonts w:ascii="Times New Roman" w:hAnsi="Times New Roman"/>
                <w:sz w:val="24"/>
              </w:rPr>
              <w:t>2019</w:t>
            </w:r>
            <w:r>
              <w:rPr>
                <w:rFonts w:ascii="Times New Roman" w:hAnsi="Times New Roman"/>
                <w:sz w:val="24"/>
              </w:rPr>
              <w:t>年上市以来每年进行现金分红。未来，公司仍将继续兼顾对股东的投资回报和公司的可持续发展，保持公司分红政策的连续性、稳定性及可持续性。</w:t>
            </w:r>
          </w:p>
          <w:p w14:paraId="6DF8C028" w14:textId="77777777" w:rsidR="00257B2C" w:rsidRDefault="00000000">
            <w:pPr>
              <w:numPr>
                <w:ilvl w:val="0"/>
                <w:numId w:val="1"/>
              </w:numPr>
              <w:spacing w:beforeLines="50" w:before="156"/>
              <w:ind w:firstLineChars="200" w:firstLine="482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冬调毛利率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增长较快的原因</w:t>
            </w:r>
          </w:p>
          <w:p w14:paraId="7AF0B657" w14:textId="77777777" w:rsidR="00257B2C" w:rsidRDefault="00000000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）产品结构变化；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）原材料成本下降。</w:t>
            </w:r>
          </w:p>
          <w:p w14:paraId="7F901286" w14:textId="77777777" w:rsidR="00257B2C" w:rsidRDefault="00000000">
            <w:pPr>
              <w:numPr>
                <w:ilvl w:val="0"/>
                <w:numId w:val="1"/>
              </w:numPr>
              <w:spacing w:beforeLines="50" w:before="156"/>
              <w:ind w:firstLineChars="200" w:firstLine="482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2024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年营业收入指引目标和员工持股解锁目标差异的原因</w:t>
            </w:r>
          </w:p>
          <w:p w14:paraId="5523A6AC" w14:textId="77777777" w:rsidR="00257B2C" w:rsidRDefault="00000000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前两次股权激励效果不明显，公司发展的同时需提升员工归属感和凝聚力，所以公司设定了</w:t>
            </w:r>
            <w:r>
              <w:rPr>
                <w:rFonts w:ascii="Times New Roman" w:hAnsi="Times New Roman"/>
                <w:sz w:val="24"/>
              </w:rPr>
              <w:t>10%</w:t>
            </w:r>
            <w:r>
              <w:rPr>
                <w:rFonts w:ascii="Times New Roman" w:hAnsi="Times New Roman"/>
                <w:sz w:val="24"/>
              </w:rPr>
              <w:t>的基础目标和</w:t>
            </w:r>
            <w:r>
              <w:rPr>
                <w:rFonts w:ascii="Times New Roman" w:hAnsi="Times New Roman"/>
                <w:sz w:val="24"/>
              </w:rPr>
              <w:t>15%</w:t>
            </w:r>
            <w:r>
              <w:rPr>
                <w:rFonts w:ascii="Times New Roman" w:hAnsi="Times New Roman"/>
                <w:sz w:val="24"/>
              </w:rPr>
              <w:t>的挑战目标。</w:t>
            </w:r>
          </w:p>
          <w:p w14:paraId="53BE0866" w14:textId="77777777" w:rsidR="00257B2C" w:rsidRDefault="00000000">
            <w:pPr>
              <w:numPr>
                <w:ilvl w:val="0"/>
                <w:numId w:val="1"/>
              </w:numPr>
              <w:spacing w:beforeLines="50" w:before="156"/>
              <w:ind w:firstLineChars="200" w:firstLine="482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2023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年经销商数量减少的原因</w:t>
            </w:r>
          </w:p>
          <w:p w14:paraId="3C550AD2" w14:textId="77777777" w:rsidR="00257B2C" w:rsidRDefault="00000000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  <w:proofErr w:type="gramStart"/>
            <w:r>
              <w:rPr>
                <w:rFonts w:ascii="Times New Roman" w:hAnsi="Times New Roman"/>
                <w:sz w:val="24"/>
              </w:rPr>
              <w:t>是优商扶商</w:t>
            </w:r>
            <w:proofErr w:type="gramEnd"/>
            <w:r>
              <w:rPr>
                <w:rFonts w:ascii="Times New Roman" w:hAnsi="Times New Roman"/>
                <w:sz w:val="24"/>
              </w:rPr>
              <w:t>政策的持续推进，</w:t>
            </w:r>
            <w:r>
              <w:rPr>
                <w:rFonts w:ascii="Times New Roman" w:hAnsi="Times New Roman" w:hint="eastAsia"/>
                <w:sz w:val="24"/>
              </w:rPr>
              <w:t>同时针对合作意愿不强、业绩长期不达标、扰乱市场秩序的经销商进行优化。</w:t>
            </w:r>
          </w:p>
          <w:p w14:paraId="258CE4FF" w14:textId="77777777" w:rsidR="00257B2C" w:rsidRDefault="00000000">
            <w:pPr>
              <w:numPr>
                <w:ilvl w:val="0"/>
                <w:numId w:val="1"/>
              </w:numPr>
              <w:spacing w:beforeLines="50" w:before="156"/>
              <w:ind w:firstLineChars="200" w:firstLine="482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小龙虾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目前铺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货情况</w:t>
            </w:r>
          </w:p>
          <w:p w14:paraId="2939C1C9" w14:textId="77777777" w:rsidR="00257B2C" w:rsidRDefault="00000000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目前小龙虾</w:t>
            </w:r>
            <w:proofErr w:type="gramStart"/>
            <w:r>
              <w:rPr>
                <w:rFonts w:ascii="Times New Roman" w:hAnsi="Times New Roman"/>
                <w:sz w:val="24"/>
              </w:rPr>
              <w:t>首批铺市已</w:t>
            </w:r>
            <w:proofErr w:type="gramEnd"/>
            <w:r>
              <w:rPr>
                <w:rFonts w:ascii="Times New Roman" w:hAnsi="Times New Roman"/>
                <w:sz w:val="24"/>
              </w:rPr>
              <w:t>完成，公司结合不同地区的销售表现，加大费用投放，提升产品势能，并持续跟踪销售情况。</w:t>
            </w:r>
          </w:p>
          <w:p w14:paraId="27CC09DF" w14:textId="77777777" w:rsidR="00257B2C" w:rsidRDefault="00000000">
            <w:pPr>
              <w:numPr>
                <w:ilvl w:val="0"/>
                <w:numId w:val="1"/>
              </w:numPr>
              <w:spacing w:beforeLines="50" w:before="156"/>
              <w:ind w:firstLineChars="200" w:firstLine="482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2023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年火锅调料增长疲软的原因</w:t>
            </w:r>
          </w:p>
          <w:p w14:paraId="59A37F49" w14:textId="77777777" w:rsidR="00257B2C" w:rsidRDefault="00000000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）大红</w:t>
            </w:r>
            <w:proofErr w:type="gramStart"/>
            <w:r>
              <w:rPr>
                <w:rFonts w:ascii="Times New Roman" w:hAnsi="Times New Roman"/>
                <w:sz w:val="24"/>
              </w:rPr>
              <w:t>袍</w:t>
            </w:r>
            <w:proofErr w:type="gramEnd"/>
            <w:r>
              <w:rPr>
                <w:rFonts w:ascii="Times New Roman" w:hAnsi="Times New Roman"/>
                <w:sz w:val="24"/>
              </w:rPr>
              <w:t>火锅调料销量不及预期；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）渠道动销放缓。</w:t>
            </w:r>
          </w:p>
          <w:p w14:paraId="7056F419" w14:textId="77777777" w:rsidR="00257B2C" w:rsidRDefault="00000000">
            <w:pPr>
              <w:numPr>
                <w:ilvl w:val="0"/>
                <w:numId w:val="1"/>
              </w:numPr>
              <w:spacing w:beforeLines="50" w:before="156"/>
              <w:ind w:firstLineChars="200" w:firstLine="482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食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萃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是否考虑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发展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线下小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B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渠道</w:t>
            </w:r>
          </w:p>
          <w:p w14:paraId="52DF6874" w14:textId="77777777" w:rsidR="00257B2C" w:rsidRDefault="00000000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目前食</w:t>
            </w:r>
            <w:proofErr w:type="gramStart"/>
            <w:r>
              <w:rPr>
                <w:rFonts w:ascii="Times New Roman" w:hAnsi="Times New Roman"/>
                <w:sz w:val="24"/>
              </w:rPr>
              <w:t>萃</w:t>
            </w:r>
            <w:proofErr w:type="gramEnd"/>
            <w:r>
              <w:rPr>
                <w:rFonts w:ascii="Times New Roman" w:hAnsi="Times New Roman"/>
                <w:sz w:val="24"/>
              </w:rPr>
              <w:t>暂时没有往线下小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发展的规划，集团公司和</w:t>
            </w:r>
            <w:proofErr w:type="gramStart"/>
            <w:r>
              <w:rPr>
                <w:rFonts w:ascii="Times New Roman" w:hAnsi="Times New Roman"/>
                <w:sz w:val="24"/>
              </w:rPr>
              <w:t>食萃</w:t>
            </w:r>
            <w:proofErr w:type="gramEnd"/>
            <w:r>
              <w:rPr>
                <w:rFonts w:ascii="Times New Roman" w:hAnsi="Times New Roman"/>
                <w:sz w:val="24"/>
              </w:rPr>
              <w:t>食品将充分发挥各自的渠道优势，按照既定的经营目标，稳扎稳打，不断夯实市场</w:t>
            </w:r>
            <w:r>
              <w:rPr>
                <w:rFonts w:ascii="Times New Roman" w:hAnsi="Times New Roman"/>
                <w:sz w:val="24"/>
              </w:rPr>
              <w:lastRenderedPageBreak/>
              <w:t>基础，稳步提升业绩。</w:t>
            </w:r>
          </w:p>
          <w:p w14:paraId="5FB71044" w14:textId="77777777" w:rsidR="00257B2C" w:rsidRDefault="00000000">
            <w:pPr>
              <w:numPr>
                <w:ilvl w:val="0"/>
                <w:numId w:val="1"/>
              </w:numPr>
              <w:spacing w:beforeLines="50" w:before="156"/>
              <w:ind w:firstLineChars="200" w:firstLine="482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对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不辣汤产品的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规划</w:t>
            </w:r>
          </w:p>
          <w:p w14:paraId="0CF7F0A6" w14:textId="77777777" w:rsidR="00257B2C" w:rsidRDefault="00000000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公司非常重视不辣汤产品的</w:t>
            </w:r>
            <w:r>
              <w:rPr>
                <w:rFonts w:ascii="Times New Roman" w:hAnsi="Times New Roman" w:hint="eastAsia"/>
                <w:sz w:val="24"/>
              </w:rPr>
              <w:t>研究和开发</w:t>
            </w:r>
            <w:r>
              <w:rPr>
                <w:rFonts w:ascii="Times New Roman" w:hAnsi="Times New Roman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>年完成了</w:t>
            </w:r>
            <w:r>
              <w:rPr>
                <w:rFonts w:ascii="Times New Roman" w:hAnsi="Times New Roman"/>
                <w:sz w:val="24"/>
              </w:rPr>
              <w:t>C</w:t>
            </w:r>
            <w:proofErr w:type="gramStart"/>
            <w:r>
              <w:rPr>
                <w:rFonts w:ascii="Times New Roman" w:hAnsi="Times New Roman"/>
                <w:sz w:val="24"/>
              </w:rPr>
              <w:t>端产品</w:t>
            </w:r>
            <w:proofErr w:type="gramEnd"/>
            <w:r>
              <w:rPr>
                <w:rFonts w:ascii="Times New Roman" w:hAnsi="Times New Roman"/>
                <w:sz w:val="24"/>
              </w:rPr>
              <w:t>全系去防腐剂，</w:t>
            </w:r>
            <w:r>
              <w:rPr>
                <w:rFonts w:ascii="Times New Roman" w:hAnsi="Times New Roman" w:hint="eastAsia"/>
                <w:sz w:val="24"/>
              </w:rPr>
              <w:t>新品</w:t>
            </w: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sz w:val="24"/>
              </w:rPr>
              <w:t>鲜番茄</w:t>
            </w:r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>汤料产品通过行业首创的含有</w:t>
            </w:r>
            <w:r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>％以上新鲜番茄颗粒和不含防腐剂，全面提升产品风味，为消费者提供健康美味的产品。目前不辣汤产品</w:t>
            </w:r>
            <w:r>
              <w:rPr>
                <w:rFonts w:ascii="Times New Roman" w:hAnsi="Times New Roman" w:hint="eastAsia"/>
                <w:sz w:val="24"/>
              </w:rPr>
              <w:t>动销情况</w:t>
            </w:r>
            <w:r>
              <w:rPr>
                <w:rFonts w:ascii="Times New Roman" w:hAnsi="Times New Roman"/>
                <w:sz w:val="24"/>
              </w:rPr>
              <w:t>良好，作为公司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战略级</w:t>
            </w:r>
            <w:proofErr w:type="gramEnd"/>
            <w:r>
              <w:rPr>
                <w:rFonts w:ascii="Times New Roman" w:hAnsi="Times New Roman"/>
                <w:sz w:val="24"/>
              </w:rPr>
              <w:t>大单品，将聚焦资源，加大市场推广力度，逐步</w:t>
            </w:r>
            <w:proofErr w:type="gramStart"/>
            <w:r>
              <w:rPr>
                <w:rFonts w:ascii="Times New Roman" w:hAnsi="Times New Roman"/>
                <w:sz w:val="24"/>
              </w:rPr>
              <w:t>提升市</w:t>
            </w:r>
            <w:proofErr w:type="gramEnd"/>
            <w:r>
              <w:rPr>
                <w:rFonts w:ascii="Times New Roman" w:hAnsi="Times New Roman"/>
                <w:sz w:val="24"/>
              </w:rPr>
              <w:t>占率。</w:t>
            </w:r>
          </w:p>
          <w:p w14:paraId="1ED7D205" w14:textId="77777777" w:rsidR="00257B2C" w:rsidRDefault="00000000">
            <w:pPr>
              <w:numPr>
                <w:ilvl w:val="0"/>
                <w:numId w:val="1"/>
              </w:numPr>
              <w:spacing w:beforeLines="50" w:before="156"/>
              <w:ind w:firstLineChars="200" w:firstLine="482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目前行业的竞争情况</w:t>
            </w:r>
          </w:p>
          <w:p w14:paraId="58A0C8C1" w14:textId="77777777" w:rsidR="00257B2C" w:rsidRDefault="00000000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目前行业竞争趋势加剧，但是渗透率和集中度相对较低，消费者对复合调味品的品牌认知需要长期积累，随着行业快速发展，渗透率和集中度</w:t>
            </w:r>
            <w:r>
              <w:rPr>
                <w:rFonts w:ascii="Times New Roman" w:hAnsi="Times New Roman" w:hint="eastAsia"/>
                <w:sz w:val="24"/>
              </w:rPr>
              <w:t>将</w:t>
            </w:r>
            <w:r>
              <w:rPr>
                <w:rFonts w:ascii="Times New Roman" w:hAnsi="Times New Roman"/>
                <w:sz w:val="24"/>
              </w:rPr>
              <w:t>进一步提升。近年来，抖音、小红书等平台为新锐品牌兴起创造了空间，短期</w:t>
            </w:r>
            <w:r>
              <w:rPr>
                <w:rFonts w:ascii="Times New Roman" w:hAnsi="Times New Roman" w:hint="eastAsia"/>
                <w:sz w:val="24"/>
              </w:rPr>
              <w:t>内在线上</w:t>
            </w:r>
            <w:r>
              <w:rPr>
                <w:rFonts w:ascii="Times New Roman" w:hAnsi="Times New Roman"/>
                <w:sz w:val="24"/>
              </w:rPr>
              <w:t>形成了一定的冲击，但长期来看，</w:t>
            </w:r>
            <w:r>
              <w:rPr>
                <w:rFonts w:ascii="Times New Roman" w:hAnsi="Times New Roman" w:hint="eastAsia"/>
                <w:sz w:val="24"/>
              </w:rPr>
              <w:t>其持续性及往线下渠道渗透的效果，还有待观察。</w:t>
            </w:r>
          </w:p>
          <w:p w14:paraId="2B428422" w14:textId="77777777" w:rsidR="00257B2C" w:rsidRDefault="00000000">
            <w:pPr>
              <w:numPr>
                <w:ilvl w:val="0"/>
                <w:numId w:val="1"/>
              </w:numPr>
              <w:spacing w:beforeLines="50" w:before="156"/>
              <w:ind w:firstLineChars="200" w:firstLine="482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当前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经销商的库存情况</w:t>
            </w:r>
          </w:p>
          <w:p w14:paraId="31D3D508" w14:textId="77777777" w:rsidR="00257B2C" w:rsidRDefault="00000000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经销商库存目前处于低位，良性</w:t>
            </w:r>
            <w:r>
              <w:rPr>
                <w:rFonts w:ascii="Times New Roman" w:hAnsi="Times New Roman" w:hint="eastAsia"/>
                <w:sz w:val="24"/>
              </w:rPr>
              <w:t>水平</w:t>
            </w:r>
            <w:r>
              <w:rPr>
                <w:rFonts w:ascii="Times New Roman" w:hAnsi="Times New Roman"/>
                <w:sz w:val="24"/>
              </w:rPr>
              <w:t>。</w:t>
            </w:r>
          </w:p>
          <w:p w14:paraId="26A07517" w14:textId="77777777" w:rsidR="00257B2C" w:rsidRDefault="00000000">
            <w:pPr>
              <w:numPr>
                <w:ilvl w:val="0"/>
                <w:numId w:val="1"/>
              </w:numPr>
              <w:spacing w:beforeLines="50" w:before="156"/>
              <w:ind w:firstLineChars="200" w:firstLine="482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展望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2024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年原材料价格趋势</w:t>
            </w:r>
          </w:p>
          <w:p w14:paraId="74B8BD62" w14:textId="77777777" w:rsidR="00257B2C" w:rsidRDefault="00000000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目前</w:t>
            </w:r>
            <w:r>
              <w:rPr>
                <w:rFonts w:ascii="Times New Roman" w:hAnsi="Times New Roman"/>
                <w:sz w:val="24"/>
              </w:rPr>
              <w:t>来看原材料价格</w:t>
            </w:r>
            <w:r>
              <w:rPr>
                <w:rFonts w:ascii="Times New Roman" w:hAnsi="Times New Roman" w:hint="eastAsia"/>
                <w:sz w:val="24"/>
              </w:rPr>
              <w:t>呈平稳下降的趋势，但</w:t>
            </w:r>
            <w:r>
              <w:rPr>
                <w:rFonts w:ascii="Times New Roman" w:hAnsi="Times New Roman"/>
                <w:sz w:val="24"/>
              </w:rPr>
              <w:t>全年下降</w:t>
            </w:r>
            <w:r>
              <w:rPr>
                <w:rFonts w:ascii="Times New Roman" w:hAnsi="Times New Roman" w:hint="eastAsia"/>
                <w:sz w:val="24"/>
              </w:rPr>
              <w:t>的</w:t>
            </w:r>
            <w:r>
              <w:rPr>
                <w:rFonts w:ascii="Times New Roman" w:hAnsi="Times New Roman"/>
                <w:sz w:val="24"/>
              </w:rPr>
              <w:t>空间不大，公司通过不断优化运营管理，与供应商建立长期良好的合作关系，对主要原材料的生长特性、产地和品质建立了较为完善的跟踪机制，日常生产经营中采取经济订货量方式，在预计主要原材料价格可能上涨时及时大量采购，以降低原材料价格波动对公司的影响。</w:t>
            </w:r>
          </w:p>
        </w:tc>
      </w:tr>
    </w:tbl>
    <w:p w14:paraId="18B04C48" w14:textId="77777777" w:rsidR="00257B2C" w:rsidRDefault="00257B2C">
      <w:pPr>
        <w:ind w:firstLine="420"/>
        <w:rPr>
          <w:rFonts w:ascii="Times New Roman" w:hAnsi="Times New Roman"/>
        </w:rPr>
      </w:pPr>
    </w:p>
    <w:sectPr w:rsidR="00257B2C">
      <w:pgSz w:w="11906" w:h="16838"/>
      <w:pgMar w:top="1134" w:right="1416" w:bottom="993" w:left="12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E9FE"/>
    <w:multiLevelType w:val="singleLevel"/>
    <w:tmpl w:val="520EE9F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ascii="Times New Roman" w:hAnsi="Times New Roman" w:cs="Times New Roman" w:hint="default"/>
      </w:rPr>
    </w:lvl>
  </w:abstractNum>
  <w:num w:numId="1" w16cid:durableId="74711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BiM2Y1YzBkYTk0ODY5MWVlYTcxY2E1Yjk5MjQ5YTUifQ=="/>
  </w:docVars>
  <w:rsids>
    <w:rsidRoot w:val="744170E1"/>
    <w:rsid w:val="FF7FD7B5"/>
    <w:rsid w:val="00004196"/>
    <w:rsid w:val="000137FB"/>
    <w:rsid w:val="00016AE5"/>
    <w:rsid w:val="0001709E"/>
    <w:rsid w:val="000203FA"/>
    <w:rsid w:val="0002788D"/>
    <w:rsid w:val="00030CDB"/>
    <w:rsid w:val="00031444"/>
    <w:rsid w:val="00044B0D"/>
    <w:rsid w:val="0004508D"/>
    <w:rsid w:val="00046255"/>
    <w:rsid w:val="00046D96"/>
    <w:rsid w:val="000555FB"/>
    <w:rsid w:val="00056B49"/>
    <w:rsid w:val="00070D51"/>
    <w:rsid w:val="00077A54"/>
    <w:rsid w:val="00080518"/>
    <w:rsid w:val="0008069F"/>
    <w:rsid w:val="0008433B"/>
    <w:rsid w:val="000856A4"/>
    <w:rsid w:val="00085C92"/>
    <w:rsid w:val="00093B96"/>
    <w:rsid w:val="000957F3"/>
    <w:rsid w:val="00096A25"/>
    <w:rsid w:val="000A0EF3"/>
    <w:rsid w:val="000A2C4F"/>
    <w:rsid w:val="000A420C"/>
    <w:rsid w:val="000B441A"/>
    <w:rsid w:val="000B5A5F"/>
    <w:rsid w:val="000C6942"/>
    <w:rsid w:val="000D0F21"/>
    <w:rsid w:val="000D31EA"/>
    <w:rsid w:val="000D43B9"/>
    <w:rsid w:val="000D4767"/>
    <w:rsid w:val="000D77DE"/>
    <w:rsid w:val="000E783E"/>
    <w:rsid w:val="000E7F53"/>
    <w:rsid w:val="000F1703"/>
    <w:rsid w:val="000F2586"/>
    <w:rsid w:val="000F7B98"/>
    <w:rsid w:val="00111993"/>
    <w:rsid w:val="00115585"/>
    <w:rsid w:val="00124FB6"/>
    <w:rsid w:val="00127738"/>
    <w:rsid w:val="0013310E"/>
    <w:rsid w:val="00157BBE"/>
    <w:rsid w:val="00157DD2"/>
    <w:rsid w:val="00164438"/>
    <w:rsid w:val="00166AAD"/>
    <w:rsid w:val="00173402"/>
    <w:rsid w:val="001765AC"/>
    <w:rsid w:val="001767DD"/>
    <w:rsid w:val="001825AB"/>
    <w:rsid w:val="00192E4F"/>
    <w:rsid w:val="001954AB"/>
    <w:rsid w:val="0019570A"/>
    <w:rsid w:val="00195C1E"/>
    <w:rsid w:val="001A16F8"/>
    <w:rsid w:val="001A52F5"/>
    <w:rsid w:val="001B0928"/>
    <w:rsid w:val="001B51C4"/>
    <w:rsid w:val="001C552C"/>
    <w:rsid w:val="001D0577"/>
    <w:rsid w:val="001D2A67"/>
    <w:rsid w:val="001D3A95"/>
    <w:rsid w:val="001D3F6B"/>
    <w:rsid w:val="001E5E3E"/>
    <w:rsid w:val="001E7A44"/>
    <w:rsid w:val="001F18D3"/>
    <w:rsid w:val="001F615D"/>
    <w:rsid w:val="001F61B4"/>
    <w:rsid w:val="00202FC0"/>
    <w:rsid w:val="00210439"/>
    <w:rsid w:val="00216B11"/>
    <w:rsid w:val="00221680"/>
    <w:rsid w:val="002228D2"/>
    <w:rsid w:val="002307BE"/>
    <w:rsid w:val="00233F54"/>
    <w:rsid w:val="002363FD"/>
    <w:rsid w:val="002409BB"/>
    <w:rsid w:val="00242BD8"/>
    <w:rsid w:val="00245F1C"/>
    <w:rsid w:val="002463FA"/>
    <w:rsid w:val="00246BE3"/>
    <w:rsid w:val="0025004F"/>
    <w:rsid w:val="00253424"/>
    <w:rsid w:val="002558C1"/>
    <w:rsid w:val="00257B2C"/>
    <w:rsid w:val="00264200"/>
    <w:rsid w:val="00264F82"/>
    <w:rsid w:val="00276116"/>
    <w:rsid w:val="00282D5D"/>
    <w:rsid w:val="00284B29"/>
    <w:rsid w:val="00284BFE"/>
    <w:rsid w:val="00290CC0"/>
    <w:rsid w:val="00295235"/>
    <w:rsid w:val="002B0F0E"/>
    <w:rsid w:val="002C622C"/>
    <w:rsid w:val="002D1FA8"/>
    <w:rsid w:val="002E2416"/>
    <w:rsid w:val="002F4646"/>
    <w:rsid w:val="002F4DAF"/>
    <w:rsid w:val="00306258"/>
    <w:rsid w:val="00306E5F"/>
    <w:rsid w:val="003103D7"/>
    <w:rsid w:val="00310476"/>
    <w:rsid w:val="00314E20"/>
    <w:rsid w:val="0031630D"/>
    <w:rsid w:val="00321E3B"/>
    <w:rsid w:val="003277C1"/>
    <w:rsid w:val="003324F3"/>
    <w:rsid w:val="00341972"/>
    <w:rsid w:val="00342A17"/>
    <w:rsid w:val="00345E87"/>
    <w:rsid w:val="00346936"/>
    <w:rsid w:val="00352B09"/>
    <w:rsid w:val="0035349E"/>
    <w:rsid w:val="003642A8"/>
    <w:rsid w:val="00377D95"/>
    <w:rsid w:val="00377F82"/>
    <w:rsid w:val="00380D45"/>
    <w:rsid w:val="00382792"/>
    <w:rsid w:val="003869BC"/>
    <w:rsid w:val="00391621"/>
    <w:rsid w:val="0039643C"/>
    <w:rsid w:val="00397234"/>
    <w:rsid w:val="003A07B7"/>
    <w:rsid w:val="003A1814"/>
    <w:rsid w:val="003A1C2A"/>
    <w:rsid w:val="003A291B"/>
    <w:rsid w:val="003A3980"/>
    <w:rsid w:val="003A44B5"/>
    <w:rsid w:val="003B5DF9"/>
    <w:rsid w:val="003B75B8"/>
    <w:rsid w:val="003C2414"/>
    <w:rsid w:val="003C4396"/>
    <w:rsid w:val="003D5B2B"/>
    <w:rsid w:val="003D6567"/>
    <w:rsid w:val="003E57C4"/>
    <w:rsid w:val="003F2406"/>
    <w:rsid w:val="003F2B43"/>
    <w:rsid w:val="003F32C8"/>
    <w:rsid w:val="00400488"/>
    <w:rsid w:val="00415253"/>
    <w:rsid w:val="00416FD3"/>
    <w:rsid w:val="0042466A"/>
    <w:rsid w:val="0042718D"/>
    <w:rsid w:val="00427E54"/>
    <w:rsid w:val="00430512"/>
    <w:rsid w:val="00436CDD"/>
    <w:rsid w:val="004453A8"/>
    <w:rsid w:val="004453C4"/>
    <w:rsid w:val="00452303"/>
    <w:rsid w:val="004545AE"/>
    <w:rsid w:val="00460371"/>
    <w:rsid w:val="00463304"/>
    <w:rsid w:val="00465163"/>
    <w:rsid w:val="0047007B"/>
    <w:rsid w:val="00475486"/>
    <w:rsid w:val="00484997"/>
    <w:rsid w:val="00490714"/>
    <w:rsid w:val="00491BA3"/>
    <w:rsid w:val="00497089"/>
    <w:rsid w:val="004A4C8E"/>
    <w:rsid w:val="004A7CE6"/>
    <w:rsid w:val="004A7F90"/>
    <w:rsid w:val="004C132D"/>
    <w:rsid w:val="004C1966"/>
    <w:rsid w:val="004D368F"/>
    <w:rsid w:val="004E448F"/>
    <w:rsid w:val="004E5C7C"/>
    <w:rsid w:val="004F128D"/>
    <w:rsid w:val="004F2795"/>
    <w:rsid w:val="004F5226"/>
    <w:rsid w:val="00504894"/>
    <w:rsid w:val="00511375"/>
    <w:rsid w:val="00512431"/>
    <w:rsid w:val="00513EB0"/>
    <w:rsid w:val="00517727"/>
    <w:rsid w:val="005179AD"/>
    <w:rsid w:val="005217CB"/>
    <w:rsid w:val="00523AEA"/>
    <w:rsid w:val="005244DA"/>
    <w:rsid w:val="0053444D"/>
    <w:rsid w:val="00535A5C"/>
    <w:rsid w:val="00551F52"/>
    <w:rsid w:val="00553583"/>
    <w:rsid w:val="005571D3"/>
    <w:rsid w:val="00557B59"/>
    <w:rsid w:val="005608CA"/>
    <w:rsid w:val="005616FC"/>
    <w:rsid w:val="00565526"/>
    <w:rsid w:val="00570CB2"/>
    <w:rsid w:val="00573A35"/>
    <w:rsid w:val="005830ED"/>
    <w:rsid w:val="0058635D"/>
    <w:rsid w:val="00590FAB"/>
    <w:rsid w:val="005A5716"/>
    <w:rsid w:val="005B1F4F"/>
    <w:rsid w:val="005B2E1C"/>
    <w:rsid w:val="005C54FC"/>
    <w:rsid w:val="005D183C"/>
    <w:rsid w:val="005D21A7"/>
    <w:rsid w:val="005D465A"/>
    <w:rsid w:val="005D4787"/>
    <w:rsid w:val="005E5012"/>
    <w:rsid w:val="00602259"/>
    <w:rsid w:val="00606796"/>
    <w:rsid w:val="00611883"/>
    <w:rsid w:val="00612040"/>
    <w:rsid w:val="006161FB"/>
    <w:rsid w:val="0062220A"/>
    <w:rsid w:val="00624B72"/>
    <w:rsid w:val="00626184"/>
    <w:rsid w:val="0063671A"/>
    <w:rsid w:val="00636B92"/>
    <w:rsid w:val="00647828"/>
    <w:rsid w:val="00647C88"/>
    <w:rsid w:val="00650367"/>
    <w:rsid w:val="006515A6"/>
    <w:rsid w:val="00651E9C"/>
    <w:rsid w:val="00660DCB"/>
    <w:rsid w:val="00663581"/>
    <w:rsid w:val="00666BBC"/>
    <w:rsid w:val="00687A3E"/>
    <w:rsid w:val="0069036D"/>
    <w:rsid w:val="00694014"/>
    <w:rsid w:val="006942B6"/>
    <w:rsid w:val="0069687D"/>
    <w:rsid w:val="006A4A97"/>
    <w:rsid w:val="006A54C0"/>
    <w:rsid w:val="006A6CF4"/>
    <w:rsid w:val="006B3484"/>
    <w:rsid w:val="006B7378"/>
    <w:rsid w:val="006B747D"/>
    <w:rsid w:val="006C0393"/>
    <w:rsid w:val="006C37E2"/>
    <w:rsid w:val="006C4B8D"/>
    <w:rsid w:val="006C52A5"/>
    <w:rsid w:val="006D153E"/>
    <w:rsid w:val="006D3C78"/>
    <w:rsid w:val="006D6911"/>
    <w:rsid w:val="006E15D1"/>
    <w:rsid w:val="006E1670"/>
    <w:rsid w:val="006E4FC2"/>
    <w:rsid w:val="006E56BF"/>
    <w:rsid w:val="006E75D6"/>
    <w:rsid w:val="006F06EB"/>
    <w:rsid w:val="006F2B39"/>
    <w:rsid w:val="006F41C2"/>
    <w:rsid w:val="006F5B6E"/>
    <w:rsid w:val="006F5BB6"/>
    <w:rsid w:val="006F66E4"/>
    <w:rsid w:val="006F6E7D"/>
    <w:rsid w:val="007015DC"/>
    <w:rsid w:val="00701A20"/>
    <w:rsid w:val="00701B19"/>
    <w:rsid w:val="007136CD"/>
    <w:rsid w:val="00715B85"/>
    <w:rsid w:val="00733B27"/>
    <w:rsid w:val="00733BE2"/>
    <w:rsid w:val="00735C69"/>
    <w:rsid w:val="00735E13"/>
    <w:rsid w:val="00736194"/>
    <w:rsid w:val="00742599"/>
    <w:rsid w:val="007432BB"/>
    <w:rsid w:val="007436FD"/>
    <w:rsid w:val="00743C75"/>
    <w:rsid w:val="00751B1A"/>
    <w:rsid w:val="0077036B"/>
    <w:rsid w:val="00774D6E"/>
    <w:rsid w:val="00780A38"/>
    <w:rsid w:val="00787C2A"/>
    <w:rsid w:val="00793392"/>
    <w:rsid w:val="007B6FCD"/>
    <w:rsid w:val="007C03CD"/>
    <w:rsid w:val="007C3752"/>
    <w:rsid w:val="007D1DFB"/>
    <w:rsid w:val="007E108E"/>
    <w:rsid w:val="007E45F3"/>
    <w:rsid w:val="007F4484"/>
    <w:rsid w:val="007F5DF9"/>
    <w:rsid w:val="007F709E"/>
    <w:rsid w:val="008040CC"/>
    <w:rsid w:val="008054F7"/>
    <w:rsid w:val="008057D3"/>
    <w:rsid w:val="00805A06"/>
    <w:rsid w:val="00811635"/>
    <w:rsid w:val="008144D3"/>
    <w:rsid w:val="00820AB9"/>
    <w:rsid w:val="0082674E"/>
    <w:rsid w:val="00827A74"/>
    <w:rsid w:val="0083408C"/>
    <w:rsid w:val="0083591C"/>
    <w:rsid w:val="0084174A"/>
    <w:rsid w:val="00841892"/>
    <w:rsid w:val="00843827"/>
    <w:rsid w:val="00845233"/>
    <w:rsid w:val="00847382"/>
    <w:rsid w:val="0085516E"/>
    <w:rsid w:val="00855938"/>
    <w:rsid w:val="008620F6"/>
    <w:rsid w:val="008632A0"/>
    <w:rsid w:val="00866C97"/>
    <w:rsid w:val="00872C51"/>
    <w:rsid w:val="00873AC7"/>
    <w:rsid w:val="00875C91"/>
    <w:rsid w:val="0088111E"/>
    <w:rsid w:val="00881FFD"/>
    <w:rsid w:val="00882F66"/>
    <w:rsid w:val="00885A35"/>
    <w:rsid w:val="0088624E"/>
    <w:rsid w:val="00895DCE"/>
    <w:rsid w:val="008A26EE"/>
    <w:rsid w:val="008A3055"/>
    <w:rsid w:val="008A3D3B"/>
    <w:rsid w:val="008A60D1"/>
    <w:rsid w:val="008B3398"/>
    <w:rsid w:val="008B4E4F"/>
    <w:rsid w:val="008C0DC5"/>
    <w:rsid w:val="008C1F22"/>
    <w:rsid w:val="008C46C7"/>
    <w:rsid w:val="008C46FD"/>
    <w:rsid w:val="008D1461"/>
    <w:rsid w:val="008E0832"/>
    <w:rsid w:val="008E5C93"/>
    <w:rsid w:val="008F50B8"/>
    <w:rsid w:val="00901603"/>
    <w:rsid w:val="009021FF"/>
    <w:rsid w:val="00907582"/>
    <w:rsid w:val="009143C1"/>
    <w:rsid w:val="00915838"/>
    <w:rsid w:val="00921FBA"/>
    <w:rsid w:val="00924CC6"/>
    <w:rsid w:val="0092527A"/>
    <w:rsid w:val="00926879"/>
    <w:rsid w:val="00940A03"/>
    <w:rsid w:val="00940CD7"/>
    <w:rsid w:val="00943ED8"/>
    <w:rsid w:val="00944935"/>
    <w:rsid w:val="00950BD6"/>
    <w:rsid w:val="00952341"/>
    <w:rsid w:val="00952A6A"/>
    <w:rsid w:val="00953B23"/>
    <w:rsid w:val="0095522F"/>
    <w:rsid w:val="00962BA3"/>
    <w:rsid w:val="00964F6A"/>
    <w:rsid w:val="009757C0"/>
    <w:rsid w:val="0098149D"/>
    <w:rsid w:val="00990F63"/>
    <w:rsid w:val="00991929"/>
    <w:rsid w:val="00993B50"/>
    <w:rsid w:val="00993C83"/>
    <w:rsid w:val="00995016"/>
    <w:rsid w:val="009A345D"/>
    <w:rsid w:val="009B3F1B"/>
    <w:rsid w:val="009B6DF3"/>
    <w:rsid w:val="009C0954"/>
    <w:rsid w:val="009C174D"/>
    <w:rsid w:val="009C3555"/>
    <w:rsid w:val="009D73E9"/>
    <w:rsid w:val="009E4208"/>
    <w:rsid w:val="009E79A5"/>
    <w:rsid w:val="009F1293"/>
    <w:rsid w:val="00A02ED6"/>
    <w:rsid w:val="00A05C2B"/>
    <w:rsid w:val="00A07574"/>
    <w:rsid w:val="00A23E21"/>
    <w:rsid w:val="00A24102"/>
    <w:rsid w:val="00A37F8A"/>
    <w:rsid w:val="00A41035"/>
    <w:rsid w:val="00A44106"/>
    <w:rsid w:val="00A4607E"/>
    <w:rsid w:val="00A55110"/>
    <w:rsid w:val="00A55EC9"/>
    <w:rsid w:val="00A573A1"/>
    <w:rsid w:val="00A61DD9"/>
    <w:rsid w:val="00A6218E"/>
    <w:rsid w:val="00A64355"/>
    <w:rsid w:val="00A6771A"/>
    <w:rsid w:val="00A828BD"/>
    <w:rsid w:val="00A928A2"/>
    <w:rsid w:val="00A9507D"/>
    <w:rsid w:val="00AA0364"/>
    <w:rsid w:val="00AA1535"/>
    <w:rsid w:val="00AB2F8D"/>
    <w:rsid w:val="00AB5BD3"/>
    <w:rsid w:val="00AC123E"/>
    <w:rsid w:val="00AC4C56"/>
    <w:rsid w:val="00AD21C6"/>
    <w:rsid w:val="00AD29DB"/>
    <w:rsid w:val="00AE0238"/>
    <w:rsid w:val="00AE2672"/>
    <w:rsid w:val="00AE3570"/>
    <w:rsid w:val="00AE59F5"/>
    <w:rsid w:val="00AE6293"/>
    <w:rsid w:val="00AE7097"/>
    <w:rsid w:val="00AE7921"/>
    <w:rsid w:val="00AF1EDA"/>
    <w:rsid w:val="00AF1EF3"/>
    <w:rsid w:val="00AF2E6F"/>
    <w:rsid w:val="00AF3F78"/>
    <w:rsid w:val="00AF78E5"/>
    <w:rsid w:val="00B04E94"/>
    <w:rsid w:val="00B05FA2"/>
    <w:rsid w:val="00B0669E"/>
    <w:rsid w:val="00B07E42"/>
    <w:rsid w:val="00B13B05"/>
    <w:rsid w:val="00B20869"/>
    <w:rsid w:val="00B33768"/>
    <w:rsid w:val="00B3673E"/>
    <w:rsid w:val="00B367F1"/>
    <w:rsid w:val="00B37EE3"/>
    <w:rsid w:val="00B4197D"/>
    <w:rsid w:val="00B42560"/>
    <w:rsid w:val="00B433CF"/>
    <w:rsid w:val="00B509C3"/>
    <w:rsid w:val="00B5354A"/>
    <w:rsid w:val="00B64E7A"/>
    <w:rsid w:val="00B669CB"/>
    <w:rsid w:val="00B70018"/>
    <w:rsid w:val="00B733C5"/>
    <w:rsid w:val="00B77CD4"/>
    <w:rsid w:val="00B846D1"/>
    <w:rsid w:val="00B91022"/>
    <w:rsid w:val="00B91AC5"/>
    <w:rsid w:val="00B9206F"/>
    <w:rsid w:val="00B94F1C"/>
    <w:rsid w:val="00B95E04"/>
    <w:rsid w:val="00BA1E43"/>
    <w:rsid w:val="00BA45C7"/>
    <w:rsid w:val="00BA4B13"/>
    <w:rsid w:val="00BB0211"/>
    <w:rsid w:val="00BB1EE0"/>
    <w:rsid w:val="00BB3CD8"/>
    <w:rsid w:val="00BC002C"/>
    <w:rsid w:val="00BC1391"/>
    <w:rsid w:val="00BC1C82"/>
    <w:rsid w:val="00BC1F21"/>
    <w:rsid w:val="00BD6BF8"/>
    <w:rsid w:val="00BD7AD8"/>
    <w:rsid w:val="00BE0119"/>
    <w:rsid w:val="00BE57C5"/>
    <w:rsid w:val="00BF196D"/>
    <w:rsid w:val="00BF50C8"/>
    <w:rsid w:val="00C04218"/>
    <w:rsid w:val="00C054D9"/>
    <w:rsid w:val="00C07E86"/>
    <w:rsid w:val="00C117FD"/>
    <w:rsid w:val="00C12EB2"/>
    <w:rsid w:val="00C1621D"/>
    <w:rsid w:val="00C20F0F"/>
    <w:rsid w:val="00C2338D"/>
    <w:rsid w:val="00C3411A"/>
    <w:rsid w:val="00C371EA"/>
    <w:rsid w:val="00C41D83"/>
    <w:rsid w:val="00C4694A"/>
    <w:rsid w:val="00C51810"/>
    <w:rsid w:val="00C51D95"/>
    <w:rsid w:val="00C52497"/>
    <w:rsid w:val="00C54BFD"/>
    <w:rsid w:val="00C6232C"/>
    <w:rsid w:val="00C64B5B"/>
    <w:rsid w:val="00C6510C"/>
    <w:rsid w:val="00C66F4F"/>
    <w:rsid w:val="00C74D27"/>
    <w:rsid w:val="00C83C50"/>
    <w:rsid w:val="00C874E3"/>
    <w:rsid w:val="00C91CA7"/>
    <w:rsid w:val="00C97C2F"/>
    <w:rsid w:val="00CB4E26"/>
    <w:rsid w:val="00CC0896"/>
    <w:rsid w:val="00CC0DD1"/>
    <w:rsid w:val="00CD5FDA"/>
    <w:rsid w:val="00CE200A"/>
    <w:rsid w:val="00CE295F"/>
    <w:rsid w:val="00CE4667"/>
    <w:rsid w:val="00CE5CF4"/>
    <w:rsid w:val="00CE6A94"/>
    <w:rsid w:val="00CF2BE9"/>
    <w:rsid w:val="00CF3B07"/>
    <w:rsid w:val="00CF66B1"/>
    <w:rsid w:val="00D0039A"/>
    <w:rsid w:val="00D005C5"/>
    <w:rsid w:val="00D0397B"/>
    <w:rsid w:val="00D04C90"/>
    <w:rsid w:val="00D117C6"/>
    <w:rsid w:val="00D234C2"/>
    <w:rsid w:val="00D3140E"/>
    <w:rsid w:val="00D40023"/>
    <w:rsid w:val="00D4046B"/>
    <w:rsid w:val="00D47432"/>
    <w:rsid w:val="00D50B64"/>
    <w:rsid w:val="00D53821"/>
    <w:rsid w:val="00D56BC7"/>
    <w:rsid w:val="00D6053A"/>
    <w:rsid w:val="00D80443"/>
    <w:rsid w:val="00D81C3C"/>
    <w:rsid w:val="00D81CF3"/>
    <w:rsid w:val="00D81DBA"/>
    <w:rsid w:val="00D84278"/>
    <w:rsid w:val="00D84F10"/>
    <w:rsid w:val="00DA0477"/>
    <w:rsid w:val="00DA2535"/>
    <w:rsid w:val="00DB1FE7"/>
    <w:rsid w:val="00DB2437"/>
    <w:rsid w:val="00DB281C"/>
    <w:rsid w:val="00DB5F24"/>
    <w:rsid w:val="00DB742B"/>
    <w:rsid w:val="00DC47A9"/>
    <w:rsid w:val="00DE7990"/>
    <w:rsid w:val="00E119F0"/>
    <w:rsid w:val="00E200E2"/>
    <w:rsid w:val="00E44A8A"/>
    <w:rsid w:val="00E46113"/>
    <w:rsid w:val="00E51F52"/>
    <w:rsid w:val="00E57389"/>
    <w:rsid w:val="00E60112"/>
    <w:rsid w:val="00E6377E"/>
    <w:rsid w:val="00E71EB4"/>
    <w:rsid w:val="00E72E18"/>
    <w:rsid w:val="00E759C7"/>
    <w:rsid w:val="00E770C6"/>
    <w:rsid w:val="00E8442E"/>
    <w:rsid w:val="00E879AD"/>
    <w:rsid w:val="00E87E65"/>
    <w:rsid w:val="00E90E44"/>
    <w:rsid w:val="00E930C9"/>
    <w:rsid w:val="00EA008E"/>
    <w:rsid w:val="00EA3309"/>
    <w:rsid w:val="00EB2653"/>
    <w:rsid w:val="00EB2A44"/>
    <w:rsid w:val="00EB5D1E"/>
    <w:rsid w:val="00EC08A5"/>
    <w:rsid w:val="00EC3792"/>
    <w:rsid w:val="00EC3D1D"/>
    <w:rsid w:val="00EE1A88"/>
    <w:rsid w:val="00EF3121"/>
    <w:rsid w:val="00F0144D"/>
    <w:rsid w:val="00F068A1"/>
    <w:rsid w:val="00F1572C"/>
    <w:rsid w:val="00F16625"/>
    <w:rsid w:val="00F16676"/>
    <w:rsid w:val="00F21A2C"/>
    <w:rsid w:val="00F24024"/>
    <w:rsid w:val="00F24FA6"/>
    <w:rsid w:val="00F3621B"/>
    <w:rsid w:val="00F47439"/>
    <w:rsid w:val="00F54BB3"/>
    <w:rsid w:val="00F62BAC"/>
    <w:rsid w:val="00F6359C"/>
    <w:rsid w:val="00F67460"/>
    <w:rsid w:val="00F7610A"/>
    <w:rsid w:val="00F81631"/>
    <w:rsid w:val="00F839D0"/>
    <w:rsid w:val="00F85F05"/>
    <w:rsid w:val="00F95CEE"/>
    <w:rsid w:val="00FA3B80"/>
    <w:rsid w:val="00FA6E22"/>
    <w:rsid w:val="00FB0195"/>
    <w:rsid w:val="00FB1BEC"/>
    <w:rsid w:val="00FB238A"/>
    <w:rsid w:val="00FB7EC9"/>
    <w:rsid w:val="00FC3159"/>
    <w:rsid w:val="00FC3BCA"/>
    <w:rsid w:val="00FD08B3"/>
    <w:rsid w:val="00FE6399"/>
    <w:rsid w:val="00FF2504"/>
    <w:rsid w:val="00FF343F"/>
    <w:rsid w:val="00FF7275"/>
    <w:rsid w:val="00FF7D5D"/>
    <w:rsid w:val="01B801FB"/>
    <w:rsid w:val="045A7C3D"/>
    <w:rsid w:val="07DC6755"/>
    <w:rsid w:val="094401F6"/>
    <w:rsid w:val="09861BA8"/>
    <w:rsid w:val="0A0323F2"/>
    <w:rsid w:val="0A164E6A"/>
    <w:rsid w:val="0A171363"/>
    <w:rsid w:val="0C9559A5"/>
    <w:rsid w:val="0EBD108E"/>
    <w:rsid w:val="0F475DF5"/>
    <w:rsid w:val="0FD47B4D"/>
    <w:rsid w:val="143E2110"/>
    <w:rsid w:val="16867FD0"/>
    <w:rsid w:val="16D27951"/>
    <w:rsid w:val="18383447"/>
    <w:rsid w:val="18493992"/>
    <w:rsid w:val="1BD916BB"/>
    <w:rsid w:val="1CA7510E"/>
    <w:rsid w:val="230358CA"/>
    <w:rsid w:val="24F6157B"/>
    <w:rsid w:val="27B02ABC"/>
    <w:rsid w:val="297A2FC7"/>
    <w:rsid w:val="299D4A37"/>
    <w:rsid w:val="2B3B7AB0"/>
    <w:rsid w:val="2C11436F"/>
    <w:rsid w:val="2C341A92"/>
    <w:rsid w:val="2FEA0503"/>
    <w:rsid w:val="30442D60"/>
    <w:rsid w:val="31244B45"/>
    <w:rsid w:val="325C3185"/>
    <w:rsid w:val="3368520F"/>
    <w:rsid w:val="33BB6883"/>
    <w:rsid w:val="3492284C"/>
    <w:rsid w:val="359F2D89"/>
    <w:rsid w:val="363A30A1"/>
    <w:rsid w:val="36EC6BF2"/>
    <w:rsid w:val="378E4B3F"/>
    <w:rsid w:val="39AF66BF"/>
    <w:rsid w:val="39F63A08"/>
    <w:rsid w:val="3B146A4F"/>
    <w:rsid w:val="3C3E6796"/>
    <w:rsid w:val="3E8256B7"/>
    <w:rsid w:val="3F7B59EB"/>
    <w:rsid w:val="3F7C428B"/>
    <w:rsid w:val="3F82031F"/>
    <w:rsid w:val="41F16146"/>
    <w:rsid w:val="425055EB"/>
    <w:rsid w:val="42901689"/>
    <w:rsid w:val="42DF77EA"/>
    <w:rsid w:val="43FF723C"/>
    <w:rsid w:val="47C1408E"/>
    <w:rsid w:val="49282066"/>
    <w:rsid w:val="4A454448"/>
    <w:rsid w:val="4E643047"/>
    <w:rsid w:val="4FAE3510"/>
    <w:rsid w:val="50607291"/>
    <w:rsid w:val="52FB736D"/>
    <w:rsid w:val="54C771CC"/>
    <w:rsid w:val="591E2309"/>
    <w:rsid w:val="5A4E4232"/>
    <w:rsid w:val="64A77044"/>
    <w:rsid w:val="679F04A6"/>
    <w:rsid w:val="6AC879B5"/>
    <w:rsid w:val="6ECC658C"/>
    <w:rsid w:val="70293230"/>
    <w:rsid w:val="71324D1D"/>
    <w:rsid w:val="72C65B06"/>
    <w:rsid w:val="72E445F8"/>
    <w:rsid w:val="74255F37"/>
    <w:rsid w:val="744170E1"/>
    <w:rsid w:val="7544268D"/>
    <w:rsid w:val="75D05CCE"/>
    <w:rsid w:val="77401B62"/>
    <w:rsid w:val="77401D7A"/>
    <w:rsid w:val="79866207"/>
    <w:rsid w:val="7F08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83922"/>
  <w15:docId w15:val="{EAAEEE32-B8EA-4441-8247-D3886E54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3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Balloon Text"/>
    <w:basedOn w:val="a"/>
    <w:link w:val="a5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3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Wingdings 2" w:eastAsia="Wingdings 2" w:hAnsi="Wingdings 2" w:cs="Wingdings 2" w:hint="default"/>
      <w:color w:val="000000"/>
      <w:sz w:val="22"/>
      <w:szCs w:val="22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IPO">
    <w:name w:val="IPO正文"/>
    <w:basedOn w:val="a"/>
    <w:qFormat/>
    <w:pPr>
      <w:snapToGrid w:val="0"/>
      <w:spacing w:beforeLines="50" w:afterLines="50" w:line="360" w:lineRule="auto"/>
      <w:ind w:firstLineChars="200" w:firstLine="480"/>
    </w:pPr>
    <w:rPr>
      <w:rFonts w:ascii="宋体" w:hAnsi="宋体"/>
      <w:sz w:val="24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kern w:val="2"/>
      <w:sz w:val="18"/>
      <w:szCs w:val="18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网格型浅色2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5">
    <w:name w:val="批注框文本 字符"/>
    <w:basedOn w:val="a0"/>
    <w:link w:val="a4"/>
    <w:semiHidden/>
    <w:qFormat/>
    <w:rPr>
      <w:kern w:val="2"/>
      <w:sz w:val="18"/>
      <w:szCs w:val="18"/>
    </w:rPr>
  </w:style>
  <w:style w:type="paragraph" w:customStyle="1" w:styleId="10">
    <w:name w:val="列表段落1"/>
    <w:basedOn w:val="a"/>
    <w:pPr>
      <w:ind w:firstLineChars="200" w:firstLine="4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333</Words>
  <Characters>1902</Characters>
  <Application>Microsoft Office Word</Application>
  <DocSecurity>0</DocSecurity>
  <Lines>15</Lines>
  <Paragraphs>4</Paragraphs>
  <ScaleCrop>false</ScaleCrop>
  <Company>。。。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Suo LIU</cp:lastModifiedBy>
  <cp:revision>223</cp:revision>
  <cp:lastPrinted>2023-08-24T09:14:00Z</cp:lastPrinted>
  <dcterms:created xsi:type="dcterms:W3CDTF">2020-10-23T16:42:00Z</dcterms:created>
  <dcterms:modified xsi:type="dcterms:W3CDTF">2024-04-09T05:15:00Z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4E6783164FAA4A059CB0D0C3D25837AA_13</vt:lpwstr>
  </property>
</Properties>
</file>