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0B" w:rsidRPr="007C3A87" w:rsidRDefault="00DC1F0B" w:rsidP="00DC1F0B">
      <w:pPr>
        <w:spacing w:beforeLines="50" w:before="120" w:afterLines="50" w:after="120" w:line="300" w:lineRule="auto"/>
        <w:ind w:firstLineChars="150" w:firstLine="360"/>
        <w:rPr>
          <w:rFonts w:ascii="Times New Roman" w:hAnsi="Times New Roman"/>
          <w:bCs/>
          <w:iCs/>
          <w:sz w:val="24"/>
        </w:rPr>
      </w:pPr>
      <w:r w:rsidRPr="007C3A87">
        <w:rPr>
          <w:rFonts w:ascii="Times New Roman" w:hAnsi="Times New Roman" w:hint="eastAsia"/>
          <w:bCs/>
          <w:iCs/>
          <w:sz w:val="24"/>
        </w:rPr>
        <w:t>证券代码：</w:t>
      </w:r>
      <w:r w:rsidR="00401CEB" w:rsidRPr="007C3A87">
        <w:rPr>
          <w:rFonts w:ascii="Times New Roman" w:hAnsi="Times New Roman" w:hint="eastAsia"/>
          <w:bCs/>
          <w:iCs/>
          <w:sz w:val="24"/>
        </w:rPr>
        <w:t>688350</w:t>
      </w:r>
      <w:r w:rsidRPr="007C3A87">
        <w:rPr>
          <w:rFonts w:ascii="Times New Roman" w:hAnsi="Times New Roman"/>
          <w:bCs/>
          <w:iCs/>
          <w:sz w:val="24"/>
        </w:rPr>
        <w:t xml:space="preserve">                        </w:t>
      </w:r>
      <w:r w:rsidRPr="007C3A87">
        <w:rPr>
          <w:rFonts w:ascii="Times New Roman" w:hAnsi="Times New Roman" w:hint="eastAsia"/>
          <w:bCs/>
          <w:iCs/>
          <w:sz w:val="24"/>
        </w:rPr>
        <w:t>证券简称：</w:t>
      </w:r>
      <w:r w:rsidR="00401CEB" w:rsidRPr="007C3A87">
        <w:rPr>
          <w:rFonts w:ascii="Times New Roman" w:hAnsi="Times New Roman" w:hint="eastAsia"/>
          <w:bCs/>
          <w:iCs/>
          <w:sz w:val="24"/>
        </w:rPr>
        <w:t>富淼科技</w:t>
      </w:r>
    </w:p>
    <w:p w:rsidR="00DC1F0B" w:rsidRPr="007C3A87" w:rsidRDefault="00DC1F0B" w:rsidP="00DC1F0B">
      <w:pPr>
        <w:spacing w:before="50" w:after="50" w:line="300" w:lineRule="auto"/>
        <w:ind w:firstLineChars="200" w:firstLine="480"/>
        <w:rPr>
          <w:rFonts w:ascii="Times New Roman" w:hAnsi="Times New Roman"/>
          <w:sz w:val="24"/>
          <w:szCs w:val="24"/>
        </w:rPr>
      </w:pPr>
    </w:p>
    <w:p w:rsidR="00DC1F0B" w:rsidRPr="007C3A87" w:rsidRDefault="00DC1F0B" w:rsidP="00DC1F0B">
      <w:pPr>
        <w:widowControl/>
        <w:spacing w:before="50" w:after="50" w:line="300" w:lineRule="auto"/>
        <w:jc w:val="center"/>
        <w:rPr>
          <w:rFonts w:ascii="Times New Roman" w:eastAsia="黑体" w:hAnsi="Times New Roman"/>
          <w:sz w:val="30"/>
          <w:szCs w:val="30"/>
        </w:rPr>
      </w:pPr>
      <w:r w:rsidRPr="007C3A87">
        <w:rPr>
          <w:rFonts w:ascii="Times New Roman" w:eastAsia="黑体" w:hAnsi="Times New Roman" w:hint="eastAsia"/>
          <w:sz w:val="30"/>
          <w:szCs w:val="30"/>
        </w:rPr>
        <w:t>江苏富淼科技股份有限公司</w:t>
      </w:r>
    </w:p>
    <w:p w:rsidR="00DC1F0B" w:rsidRPr="007C3A87" w:rsidRDefault="00DC1F0B" w:rsidP="00DC1F0B">
      <w:pPr>
        <w:widowControl/>
        <w:spacing w:before="50" w:after="50" w:line="300" w:lineRule="auto"/>
        <w:jc w:val="center"/>
        <w:rPr>
          <w:rFonts w:ascii="Times New Roman" w:eastAsia="黑体" w:hAnsi="Times New Roman"/>
          <w:sz w:val="30"/>
          <w:szCs w:val="30"/>
        </w:rPr>
      </w:pPr>
      <w:r w:rsidRPr="007C3A87">
        <w:rPr>
          <w:rFonts w:ascii="Times New Roman" w:eastAsia="黑体" w:hAnsi="Times New Roman" w:hint="eastAsia"/>
          <w:sz w:val="30"/>
          <w:szCs w:val="30"/>
        </w:rPr>
        <w:t>投资者关系活动记录表</w:t>
      </w:r>
    </w:p>
    <w:p w:rsidR="00DC1F0B" w:rsidRPr="007C3A87" w:rsidRDefault="00DC1F0B" w:rsidP="00DC1F0B">
      <w:pPr>
        <w:spacing w:before="50" w:after="50" w:line="300" w:lineRule="auto"/>
        <w:rPr>
          <w:rFonts w:ascii="Times New Roman" w:hAnsi="Times New Roman"/>
          <w:bCs/>
          <w:iCs/>
          <w:sz w:val="24"/>
        </w:rPr>
      </w:pPr>
      <w:r w:rsidRPr="007C3A87">
        <w:rPr>
          <w:rFonts w:ascii="Times New Roman" w:hAnsi="Times New Roman"/>
          <w:bCs/>
          <w:iCs/>
          <w:sz w:val="24"/>
        </w:rPr>
        <w:t xml:space="preserve">                                                   </w:t>
      </w:r>
      <w:r w:rsidRPr="007C3A87">
        <w:rPr>
          <w:rFonts w:ascii="Times New Roman" w:hAnsi="Times New Roman" w:hint="eastAsia"/>
          <w:bCs/>
          <w:iCs/>
          <w:sz w:val="24"/>
        </w:rPr>
        <w:t>编号：</w:t>
      </w:r>
      <w:r w:rsidR="00401CEB" w:rsidRPr="007C3A87">
        <w:rPr>
          <w:rFonts w:ascii="Times New Roman" w:hAnsi="Times New Roman" w:hint="eastAsia"/>
          <w:bCs/>
          <w:iCs/>
          <w:sz w:val="24"/>
        </w:rPr>
        <w:t>202</w:t>
      </w:r>
      <w:r w:rsidR="00243E72">
        <w:rPr>
          <w:rFonts w:ascii="Times New Roman" w:hAnsi="Times New Roman" w:hint="eastAsia"/>
          <w:bCs/>
          <w:iCs/>
          <w:sz w:val="24"/>
        </w:rPr>
        <w:t>4</w:t>
      </w:r>
      <w:r w:rsidR="00401CEB" w:rsidRPr="007C3A87">
        <w:rPr>
          <w:rFonts w:ascii="Times New Roman" w:hAnsi="Times New Roman" w:hint="eastAsia"/>
          <w:bCs/>
          <w:iCs/>
          <w:sz w:val="24"/>
        </w:rPr>
        <w:t>-</w:t>
      </w:r>
      <w:r w:rsidR="000E1E65">
        <w:rPr>
          <w:rFonts w:ascii="Times New Roman" w:hAnsi="Times New Roman"/>
          <w:bCs/>
          <w:iCs/>
          <w:sz w:val="24"/>
        </w:rPr>
        <w:t>00</w:t>
      </w:r>
      <w:r w:rsidR="00243E72">
        <w:rPr>
          <w:rFonts w:ascii="Times New Roman" w:hAnsi="Times New Roman" w:hint="eastAsia"/>
          <w:bCs/>
          <w:iCs/>
          <w:sz w:val="24"/>
        </w:rPr>
        <w:t>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378"/>
      </w:tblGrid>
      <w:tr w:rsidR="00DC1F0B" w:rsidRPr="007C3A87" w:rsidTr="002033C0">
        <w:trPr>
          <w:trHeight w:val="2533"/>
        </w:trPr>
        <w:tc>
          <w:tcPr>
            <w:tcW w:w="2235" w:type="dxa"/>
          </w:tcPr>
          <w:p w:rsidR="00DC1F0B" w:rsidRPr="007C3A87" w:rsidRDefault="00DC1F0B" w:rsidP="00923F20">
            <w:pPr>
              <w:spacing w:before="50" w:after="50" w:line="300" w:lineRule="auto"/>
              <w:rPr>
                <w:rFonts w:ascii="Times New Roman" w:hAnsi="Times New Roman"/>
                <w:b/>
                <w:bCs/>
                <w:iCs/>
                <w:kern w:val="0"/>
                <w:sz w:val="24"/>
              </w:rPr>
            </w:pPr>
          </w:p>
          <w:p w:rsidR="00DC1F0B" w:rsidRPr="007C3A87" w:rsidRDefault="00DC1F0B" w:rsidP="00923F20">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投资者关系活动类别</w:t>
            </w:r>
          </w:p>
          <w:p w:rsidR="00DC1F0B" w:rsidRPr="007C3A87" w:rsidRDefault="00DC1F0B" w:rsidP="00923F20">
            <w:pPr>
              <w:spacing w:before="50" w:after="50" w:line="300" w:lineRule="auto"/>
              <w:rPr>
                <w:rFonts w:ascii="Times New Roman" w:hAnsi="Times New Roman"/>
                <w:b/>
                <w:bCs/>
                <w:iCs/>
                <w:kern w:val="0"/>
                <w:sz w:val="24"/>
              </w:rPr>
            </w:pPr>
          </w:p>
        </w:tc>
        <w:tc>
          <w:tcPr>
            <w:tcW w:w="6378" w:type="dxa"/>
            <w:vAlign w:val="center"/>
          </w:tcPr>
          <w:p w:rsidR="00DC1F0B" w:rsidRPr="007C3A87" w:rsidRDefault="00CE76E0" w:rsidP="002033C0">
            <w:pPr>
              <w:spacing w:before="50" w:after="50" w:line="300" w:lineRule="auto"/>
              <w:ind w:firstLineChars="50" w:firstLine="110"/>
              <w:rPr>
                <w:rFonts w:ascii="Times New Roman" w:hAnsi="Times New Roman"/>
                <w:bCs/>
                <w:iCs/>
                <w:kern w:val="0"/>
                <w:sz w:val="22"/>
              </w:rPr>
            </w:pPr>
            <w:r w:rsidRPr="007C3A87">
              <w:rPr>
                <w:rFonts w:ascii="Times New Roman" w:hAnsi="Times New Roman" w:hint="eastAsia"/>
                <w:bCs/>
                <w:iCs/>
                <w:kern w:val="0"/>
                <w:sz w:val="22"/>
              </w:rPr>
              <w:sym w:font="Wingdings" w:char="F0FE"/>
            </w:r>
            <w:r w:rsidR="00DC1F0B" w:rsidRPr="007C3A87">
              <w:rPr>
                <w:rFonts w:ascii="Times New Roman" w:hAnsi="Times New Roman" w:hint="eastAsia"/>
                <w:kern w:val="0"/>
                <w:sz w:val="22"/>
              </w:rPr>
              <w:t>特定对象调研</w:t>
            </w:r>
            <w:r w:rsidR="00DC1F0B" w:rsidRPr="007C3A87">
              <w:rPr>
                <w:rFonts w:ascii="Times New Roman" w:hAnsi="Times New Roman"/>
                <w:kern w:val="0"/>
                <w:sz w:val="22"/>
              </w:rPr>
              <w:t xml:space="preserve">        </w:t>
            </w:r>
            <w:r w:rsidR="00DC1F0B" w:rsidRPr="007C3A87">
              <w:rPr>
                <w:rFonts w:ascii="Times New Roman" w:hAnsi="Times New Roman" w:hint="eastAsia"/>
                <w:bCs/>
                <w:iCs/>
                <w:kern w:val="0"/>
                <w:sz w:val="22"/>
              </w:rPr>
              <w:t>□</w:t>
            </w:r>
            <w:r w:rsidR="00DC1F0B" w:rsidRPr="007C3A87">
              <w:rPr>
                <w:rFonts w:ascii="Times New Roman" w:hAnsi="Times New Roman" w:hint="eastAsia"/>
                <w:kern w:val="0"/>
                <w:sz w:val="22"/>
              </w:rPr>
              <w:t>分析师会议</w:t>
            </w:r>
          </w:p>
          <w:p w:rsidR="00DC1F0B" w:rsidRPr="007C3A87" w:rsidRDefault="00DC1F0B" w:rsidP="002033C0">
            <w:pPr>
              <w:spacing w:before="50" w:after="50" w:line="300" w:lineRule="auto"/>
              <w:ind w:firstLineChars="50" w:firstLine="110"/>
              <w:rPr>
                <w:rFonts w:ascii="Times New Roman" w:hAnsi="Times New Roman"/>
                <w:bCs/>
                <w:iCs/>
                <w:kern w:val="0"/>
                <w:sz w:val="22"/>
              </w:rPr>
            </w:pPr>
            <w:r w:rsidRPr="007C3A87">
              <w:rPr>
                <w:rFonts w:ascii="Times New Roman" w:hAnsi="Times New Roman" w:hint="eastAsia"/>
                <w:bCs/>
                <w:iCs/>
                <w:kern w:val="0"/>
                <w:sz w:val="22"/>
              </w:rPr>
              <w:t>□</w:t>
            </w:r>
            <w:r w:rsidRPr="007C3A87">
              <w:rPr>
                <w:rFonts w:ascii="Times New Roman" w:hAnsi="Times New Roman" w:hint="eastAsia"/>
                <w:kern w:val="0"/>
                <w:sz w:val="22"/>
              </w:rPr>
              <w:t>媒体采访</w:t>
            </w:r>
            <w:r w:rsidRPr="007C3A87">
              <w:rPr>
                <w:rFonts w:ascii="Times New Roman" w:hAnsi="Times New Roman"/>
                <w:kern w:val="0"/>
                <w:sz w:val="22"/>
              </w:rPr>
              <w:t xml:space="preserve">            </w:t>
            </w:r>
            <w:r w:rsidRPr="007C3A87">
              <w:rPr>
                <w:rFonts w:ascii="Times New Roman" w:hAnsi="Times New Roman" w:hint="eastAsia"/>
                <w:bCs/>
                <w:iCs/>
                <w:kern w:val="0"/>
                <w:sz w:val="22"/>
              </w:rPr>
              <w:t>□</w:t>
            </w:r>
            <w:r w:rsidRPr="007C3A87">
              <w:rPr>
                <w:rFonts w:ascii="Times New Roman" w:hAnsi="Times New Roman" w:hint="eastAsia"/>
                <w:kern w:val="0"/>
                <w:sz w:val="22"/>
              </w:rPr>
              <w:t>业绩说明会</w:t>
            </w:r>
          </w:p>
          <w:p w:rsidR="00DC1F0B" w:rsidRPr="007C3A87" w:rsidRDefault="00DC1F0B" w:rsidP="002033C0">
            <w:pPr>
              <w:spacing w:before="50" w:after="50" w:line="300" w:lineRule="auto"/>
              <w:ind w:firstLineChars="50" w:firstLine="110"/>
              <w:rPr>
                <w:rFonts w:ascii="Times New Roman" w:hAnsi="Times New Roman"/>
                <w:bCs/>
                <w:iCs/>
                <w:kern w:val="0"/>
                <w:sz w:val="22"/>
              </w:rPr>
            </w:pPr>
            <w:r w:rsidRPr="007C3A87">
              <w:rPr>
                <w:rFonts w:ascii="Times New Roman" w:hAnsi="Times New Roman" w:hint="eastAsia"/>
                <w:bCs/>
                <w:iCs/>
                <w:kern w:val="0"/>
                <w:sz w:val="22"/>
              </w:rPr>
              <w:t>□</w:t>
            </w:r>
            <w:r w:rsidRPr="007C3A87">
              <w:rPr>
                <w:rFonts w:ascii="Times New Roman" w:hAnsi="Times New Roman" w:hint="eastAsia"/>
                <w:kern w:val="0"/>
                <w:sz w:val="22"/>
              </w:rPr>
              <w:t>新闻发布会</w:t>
            </w:r>
            <w:r w:rsidRPr="007C3A87">
              <w:rPr>
                <w:rFonts w:ascii="Times New Roman" w:hAnsi="Times New Roman"/>
                <w:kern w:val="0"/>
                <w:sz w:val="22"/>
              </w:rPr>
              <w:t xml:space="preserve">          </w:t>
            </w:r>
            <w:r w:rsidRPr="007C3A87">
              <w:rPr>
                <w:rFonts w:ascii="Times New Roman" w:hAnsi="Times New Roman" w:hint="eastAsia"/>
                <w:bCs/>
                <w:iCs/>
                <w:kern w:val="0"/>
                <w:sz w:val="22"/>
              </w:rPr>
              <w:t>□</w:t>
            </w:r>
            <w:r w:rsidRPr="007C3A87">
              <w:rPr>
                <w:rFonts w:ascii="Times New Roman" w:hAnsi="Times New Roman" w:hint="eastAsia"/>
                <w:kern w:val="0"/>
                <w:sz w:val="22"/>
              </w:rPr>
              <w:t>路演活动</w:t>
            </w:r>
          </w:p>
          <w:p w:rsidR="00DC1F0B" w:rsidRPr="007C3A87" w:rsidRDefault="00DC1F0B" w:rsidP="002033C0">
            <w:pPr>
              <w:tabs>
                <w:tab w:val="left" w:pos="3045"/>
                <w:tab w:val="center" w:pos="3199"/>
              </w:tabs>
              <w:spacing w:before="50" w:after="50" w:line="300" w:lineRule="auto"/>
              <w:ind w:firstLineChars="50" w:firstLine="110"/>
              <w:rPr>
                <w:rFonts w:ascii="Times New Roman" w:hAnsi="Times New Roman"/>
                <w:bCs/>
                <w:iCs/>
                <w:kern w:val="0"/>
                <w:sz w:val="22"/>
              </w:rPr>
            </w:pPr>
            <w:r w:rsidRPr="007C3A87">
              <w:rPr>
                <w:rFonts w:ascii="Times New Roman" w:hAnsi="Times New Roman" w:hint="eastAsia"/>
                <w:bCs/>
                <w:iCs/>
                <w:kern w:val="0"/>
                <w:sz w:val="22"/>
              </w:rPr>
              <w:t>□</w:t>
            </w:r>
            <w:r w:rsidRPr="007C3A87">
              <w:rPr>
                <w:rFonts w:ascii="Times New Roman" w:hAnsi="Times New Roman" w:hint="eastAsia"/>
                <w:kern w:val="0"/>
                <w:sz w:val="22"/>
              </w:rPr>
              <w:t>现场参观</w:t>
            </w:r>
            <w:r w:rsidRPr="007C3A87">
              <w:rPr>
                <w:rFonts w:ascii="Times New Roman" w:hAnsi="Times New Roman"/>
                <w:bCs/>
                <w:iCs/>
                <w:kern w:val="0"/>
                <w:sz w:val="22"/>
              </w:rPr>
              <w:tab/>
            </w:r>
          </w:p>
          <w:tbl>
            <w:tblPr>
              <w:tblW w:w="5323" w:type="dxa"/>
              <w:tblLook w:val="04A0" w:firstRow="1" w:lastRow="0" w:firstColumn="1" w:lastColumn="0" w:noHBand="0" w:noVBand="1"/>
            </w:tblPr>
            <w:tblGrid>
              <w:gridCol w:w="5323"/>
            </w:tblGrid>
            <w:tr w:rsidR="00DC1F0B" w:rsidRPr="007C3A87" w:rsidTr="00401CEB">
              <w:trPr>
                <w:trHeight w:val="296"/>
              </w:trPr>
              <w:tc>
                <w:tcPr>
                  <w:tcW w:w="5323" w:type="dxa"/>
                </w:tcPr>
                <w:p w:rsidR="00DC1F0B" w:rsidRPr="007C3A87" w:rsidRDefault="00DC1F0B" w:rsidP="002033C0">
                  <w:pPr>
                    <w:tabs>
                      <w:tab w:val="left" w:pos="3045"/>
                      <w:tab w:val="center" w:pos="3199"/>
                    </w:tabs>
                    <w:spacing w:before="50" w:after="50" w:line="300" w:lineRule="auto"/>
                    <w:ind w:leftChars="-14" w:left="-29"/>
                    <w:rPr>
                      <w:rFonts w:ascii="Times New Roman" w:hAnsi="Times New Roman"/>
                      <w:sz w:val="22"/>
                    </w:rPr>
                  </w:pPr>
                  <w:r w:rsidRPr="007C3A87">
                    <w:rPr>
                      <w:rFonts w:ascii="Times New Roman" w:hAnsi="Times New Roman" w:hint="eastAsia"/>
                      <w:bCs/>
                      <w:iCs/>
                      <w:kern w:val="0"/>
                      <w:sz w:val="22"/>
                    </w:rPr>
                    <w:t>□</w:t>
                  </w:r>
                  <w:r w:rsidRPr="007C3A87">
                    <w:rPr>
                      <w:rFonts w:ascii="Times New Roman" w:hAnsi="Times New Roman" w:hint="eastAsia"/>
                      <w:kern w:val="0"/>
                      <w:sz w:val="22"/>
                    </w:rPr>
                    <w:t>其他</w:t>
                  </w:r>
                  <w:r w:rsidRPr="007C3A87">
                    <w:rPr>
                      <w:rFonts w:ascii="Times New Roman" w:hAnsi="Times New Roman"/>
                      <w:kern w:val="0"/>
                      <w:sz w:val="22"/>
                    </w:rPr>
                    <w:t xml:space="preserve"> </w:t>
                  </w:r>
                  <w:r w:rsidRPr="007C3A87">
                    <w:rPr>
                      <w:rFonts w:ascii="Times New Roman" w:hAnsi="Times New Roman" w:hint="eastAsia"/>
                      <w:kern w:val="0"/>
                      <w:sz w:val="22"/>
                      <w:u w:val="single"/>
                    </w:rPr>
                    <w:t>（</w:t>
                  </w:r>
                  <w:proofErr w:type="gramStart"/>
                  <w:r w:rsidRPr="007C3A87">
                    <w:rPr>
                      <w:rFonts w:ascii="Times New Roman" w:hAnsi="Times New Roman" w:hint="eastAsia"/>
                      <w:kern w:val="0"/>
                      <w:sz w:val="22"/>
                      <w:u w:val="single"/>
                    </w:rPr>
                    <w:t>请文字</w:t>
                  </w:r>
                  <w:proofErr w:type="gramEnd"/>
                  <w:r w:rsidRPr="007C3A87">
                    <w:rPr>
                      <w:rFonts w:ascii="Times New Roman" w:hAnsi="Times New Roman" w:hint="eastAsia"/>
                      <w:kern w:val="0"/>
                      <w:sz w:val="22"/>
                      <w:u w:val="single"/>
                    </w:rPr>
                    <w:t>说明其他活动内容）</w:t>
                  </w:r>
                </w:p>
              </w:tc>
            </w:tr>
          </w:tbl>
          <w:p w:rsidR="00DC1F0B" w:rsidRPr="007C3A87" w:rsidRDefault="00DC1F0B" w:rsidP="002033C0">
            <w:pPr>
              <w:tabs>
                <w:tab w:val="center" w:pos="3199"/>
              </w:tabs>
              <w:spacing w:before="50" w:after="50" w:line="300" w:lineRule="auto"/>
              <w:rPr>
                <w:rFonts w:ascii="Times New Roman" w:hAnsi="Times New Roman"/>
                <w:bCs/>
                <w:iCs/>
                <w:kern w:val="0"/>
                <w:sz w:val="22"/>
                <w:u w:val="single"/>
              </w:rPr>
            </w:pPr>
          </w:p>
        </w:tc>
      </w:tr>
      <w:tr w:rsidR="00DC1F0B" w:rsidRPr="007C3A87" w:rsidTr="00A271E5">
        <w:trPr>
          <w:trHeight w:val="1138"/>
        </w:trPr>
        <w:tc>
          <w:tcPr>
            <w:tcW w:w="2235" w:type="dxa"/>
            <w:vAlign w:val="center"/>
          </w:tcPr>
          <w:p w:rsidR="00DC1F0B" w:rsidRPr="007C3A87" w:rsidRDefault="00DC1F0B" w:rsidP="00783FF3">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参与单位名称及人员姓名</w:t>
            </w:r>
          </w:p>
        </w:tc>
        <w:tc>
          <w:tcPr>
            <w:tcW w:w="6378" w:type="dxa"/>
            <w:vAlign w:val="center"/>
          </w:tcPr>
          <w:p w:rsidR="00156A2D" w:rsidRDefault="00243E72" w:rsidP="00156A2D">
            <w:pPr>
              <w:widowControl/>
              <w:tabs>
                <w:tab w:val="left" w:pos="1475"/>
              </w:tabs>
              <w:spacing w:before="50" w:after="50" w:line="300" w:lineRule="auto"/>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华泰证券 </w:t>
            </w:r>
            <w:proofErr w:type="gramStart"/>
            <w:r>
              <w:rPr>
                <w:rFonts w:asciiTheme="minorEastAsia" w:eastAsiaTheme="minorEastAsia" w:hAnsiTheme="minorEastAsia" w:hint="eastAsia"/>
                <w:kern w:val="0"/>
                <w:sz w:val="22"/>
              </w:rPr>
              <w:t>方翔羽</w:t>
            </w:r>
            <w:proofErr w:type="gramEnd"/>
          </w:p>
          <w:p w:rsidR="00243E72" w:rsidRDefault="000A3CF7" w:rsidP="00156A2D">
            <w:pPr>
              <w:widowControl/>
              <w:tabs>
                <w:tab w:val="left" w:pos="1475"/>
              </w:tabs>
              <w:spacing w:before="50" w:after="50" w:line="300" w:lineRule="auto"/>
              <w:rPr>
                <w:rFonts w:asciiTheme="minorEastAsia" w:eastAsiaTheme="minorEastAsia" w:hAnsiTheme="minorEastAsia"/>
                <w:kern w:val="0"/>
                <w:sz w:val="22"/>
              </w:rPr>
            </w:pPr>
            <w:bookmarkStart w:id="0" w:name="_GoBack"/>
            <w:r>
              <w:rPr>
                <w:rFonts w:ascii="Segoe UI" w:hAnsi="Segoe UI" w:cs="Segoe UI"/>
                <w:color w:val="05073B"/>
                <w:sz w:val="23"/>
                <w:szCs w:val="23"/>
                <w:shd w:val="clear" w:color="auto" w:fill="FDFDFE"/>
              </w:rPr>
              <w:t>新华日报基金</w:t>
            </w:r>
            <w:bookmarkEnd w:id="0"/>
            <w:r>
              <w:rPr>
                <w:rFonts w:ascii="Segoe UI" w:hAnsi="Segoe UI" w:cs="Segoe UI" w:hint="eastAsia"/>
                <w:color w:val="05073B"/>
                <w:sz w:val="23"/>
                <w:szCs w:val="23"/>
                <w:shd w:val="clear" w:color="auto" w:fill="FDFDFE"/>
              </w:rPr>
              <w:t xml:space="preserve"> </w:t>
            </w:r>
            <w:r>
              <w:rPr>
                <w:rFonts w:asciiTheme="minorEastAsia" w:eastAsiaTheme="minorEastAsia" w:hAnsiTheme="minorEastAsia" w:hint="eastAsia"/>
                <w:kern w:val="0"/>
                <w:sz w:val="22"/>
              </w:rPr>
              <w:t>杨诚</w:t>
            </w:r>
          </w:p>
          <w:p w:rsidR="00243E72" w:rsidRDefault="00243E72" w:rsidP="00156A2D">
            <w:pPr>
              <w:widowControl/>
              <w:tabs>
                <w:tab w:val="left" w:pos="1475"/>
              </w:tabs>
              <w:spacing w:before="50" w:after="50" w:line="300" w:lineRule="auto"/>
              <w:rPr>
                <w:rFonts w:asciiTheme="minorEastAsia" w:eastAsiaTheme="minorEastAsia" w:hAnsiTheme="minorEastAsia"/>
                <w:kern w:val="0"/>
                <w:sz w:val="22"/>
              </w:rPr>
            </w:pPr>
            <w:r>
              <w:rPr>
                <w:rFonts w:asciiTheme="minorEastAsia" w:eastAsiaTheme="minorEastAsia" w:hAnsiTheme="minorEastAsia" w:hint="eastAsia"/>
                <w:kern w:val="0"/>
                <w:sz w:val="22"/>
              </w:rPr>
              <w:t>个人投资者 张利东</w:t>
            </w:r>
          </w:p>
          <w:p w:rsidR="00243E72" w:rsidRDefault="00243E72" w:rsidP="00156A2D">
            <w:pPr>
              <w:widowControl/>
              <w:tabs>
                <w:tab w:val="left" w:pos="1475"/>
              </w:tabs>
              <w:spacing w:before="50" w:after="50" w:line="300" w:lineRule="auto"/>
              <w:rPr>
                <w:rFonts w:asciiTheme="minorEastAsia" w:eastAsiaTheme="minorEastAsia" w:hAnsiTheme="minorEastAsia"/>
                <w:kern w:val="0"/>
                <w:sz w:val="22"/>
              </w:rPr>
            </w:pPr>
            <w:r>
              <w:rPr>
                <w:rFonts w:asciiTheme="minorEastAsia" w:eastAsiaTheme="minorEastAsia" w:hAnsiTheme="minorEastAsia" w:hint="eastAsia"/>
                <w:kern w:val="0"/>
                <w:sz w:val="22"/>
              </w:rPr>
              <w:t>个人投资者 李鹏</w:t>
            </w:r>
          </w:p>
          <w:p w:rsidR="00243E72" w:rsidRPr="00401C06" w:rsidRDefault="00243E72" w:rsidP="00156A2D">
            <w:pPr>
              <w:widowControl/>
              <w:tabs>
                <w:tab w:val="left" w:pos="1475"/>
              </w:tabs>
              <w:spacing w:before="50" w:after="50" w:line="300" w:lineRule="auto"/>
              <w:rPr>
                <w:rFonts w:asciiTheme="minorEastAsia" w:eastAsiaTheme="minorEastAsia" w:hAnsiTheme="minorEastAsia"/>
                <w:kern w:val="0"/>
                <w:sz w:val="22"/>
              </w:rPr>
            </w:pPr>
            <w:r>
              <w:rPr>
                <w:rFonts w:asciiTheme="minorEastAsia" w:eastAsiaTheme="minorEastAsia" w:hAnsiTheme="minorEastAsia" w:hint="eastAsia"/>
                <w:kern w:val="0"/>
                <w:sz w:val="22"/>
              </w:rPr>
              <w:t>个人投资者 钱丽新</w:t>
            </w:r>
          </w:p>
        </w:tc>
      </w:tr>
      <w:tr w:rsidR="00DC1F0B" w:rsidRPr="007C3A87" w:rsidTr="00A271E5">
        <w:trPr>
          <w:trHeight w:val="686"/>
        </w:trPr>
        <w:tc>
          <w:tcPr>
            <w:tcW w:w="2235" w:type="dxa"/>
            <w:vAlign w:val="center"/>
          </w:tcPr>
          <w:p w:rsidR="00DC1F0B" w:rsidRPr="007C3A87" w:rsidRDefault="00DC1F0B" w:rsidP="00783FF3">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时间</w:t>
            </w:r>
          </w:p>
        </w:tc>
        <w:tc>
          <w:tcPr>
            <w:tcW w:w="6378" w:type="dxa"/>
            <w:vAlign w:val="center"/>
          </w:tcPr>
          <w:p w:rsidR="00DC1F0B" w:rsidRPr="007C3A87" w:rsidRDefault="005270D2" w:rsidP="00243E72">
            <w:pPr>
              <w:spacing w:before="50" w:after="50" w:line="300" w:lineRule="auto"/>
              <w:rPr>
                <w:rFonts w:asciiTheme="minorEastAsia" w:eastAsiaTheme="minorEastAsia" w:hAnsiTheme="minorEastAsia"/>
                <w:kern w:val="0"/>
                <w:sz w:val="22"/>
              </w:rPr>
            </w:pPr>
            <w:r w:rsidRPr="007C3A87">
              <w:rPr>
                <w:rFonts w:asciiTheme="minorEastAsia" w:eastAsiaTheme="minorEastAsia" w:hAnsiTheme="minorEastAsia" w:hint="eastAsia"/>
                <w:kern w:val="0"/>
                <w:sz w:val="22"/>
              </w:rPr>
              <w:t>202</w:t>
            </w:r>
            <w:r w:rsidR="00243E72">
              <w:rPr>
                <w:rFonts w:asciiTheme="minorEastAsia" w:eastAsiaTheme="minorEastAsia" w:hAnsiTheme="minorEastAsia" w:hint="eastAsia"/>
                <w:kern w:val="0"/>
                <w:sz w:val="22"/>
              </w:rPr>
              <w:t>4</w:t>
            </w:r>
            <w:r w:rsidRPr="007C3A87">
              <w:rPr>
                <w:rFonts w:asciiTheme="minorEastAsia" w:eastAsiaTheme="minorEastAsia" w:hAnsiTheme="minorEastAsia" w:hint="eastAsia"/>
                <w:kern w:val="0"/>
                <w:sz w:val="22"/>
              </w:rPr>
              <w:t>年</w:t>
            </w:r>
            <w:r w:rsidR="00243E72">
              <w:rPr>
                <w:rFonts w:asciiTheme="minorEastAsia" w:eastAsiaTheme="minorEastAsia" w:hAnsiTheme="minorEastAsia" w:hint="eastAsia"/>
                <w:kern w:val="0"/>
                <w:sz w:val="22"/>
              </w:rPr>
              <w:t>4</w:t>
            </w:r>
            <w:r w:rsidRPr="007C3A87">
              <w:rPr>
                <w:rFonts w:asciiTheme="minorEastAsia" w:eastAsiaTheme="minorEastAsia" w:hAnsiTheme="minorEastAsia" w:hint="eastAsia"/>
                <w:kern w:val="0"/>
                <w:sz w:val="22"/>
              </w:rPr>
              <w:t>月</w:t>
            </w:r>
            <w:r w:rsidR="00243E72">
              <w:rPr>
                <w:rFonts w:asciiTheme="minorEastAsia" w:eastAsiaTheme="minorEastAsia" w:hAnsiTheme="minorEastAsia" w:hint="eastAsia"/>
                <w:kern w:val="0"/>
                <w:sz w:val="22"/>
              </w:rPr>
              <w:t>7</w:t>
            </w:r>
            <w:r w:rsidRPr="007C3A87">
              <w:rPr>
                <w:rFonts w:asciiTheme="minorEastAsia" w:eastAsiaTheme="minorEastAsia" w:hAnsiTheme="minorEastAsia" w:hint="eastAsia"/>
                <w:kern w:val="0"/>
                <w:sz w:val="22"/>
              </w:rPr>
              <w:t>日</w:t>
            </w:r>
            <w:r w:rsidR="00243E72">
              <w:rPr>
                <w:rFonts w:asciiTheme="minorEastAsia" w:eastAsiaTheme="minorEastAsia" w:hAnsiTheme="minorEastAsia"/>
                <w:kern w:val="0"/>
                <w:sz w:val="22"/>
              </w:rPr>
              <w:t>—</w:t>
            </w:r>
            <w:r w:rsidR="00243E72">
              <w:rPr>
                <w:rFonts w:asciiTheme="minorEastAsia" w:eastAsiaTheme="minorEastAsia" w:hAnsiTheme="minorEastAsia" w:hint="eastAsia"/>
                <w:kern w:val="0"/>
                <w:sz w:val="22"/>
              </w:rPr>
              <w:t>2024年4月8日</w:t>
            </w:r>
          </w:p>
        </w:tc>
      </w:tr>
      <w:tr w:rsidR="00DC1F0B" w:rsidRPr="007C3A87" w:rsidTr="00A271E5">
        <w:trPr>
          <w:trHeight w:val="708"/>
        </w:trPr>
        <w:tc>
          <w:tcPr>
            <w:tcW w:w="2235" w:type="dxa"/>
            <w:vAlign w:val="center"/>
          </w:tcPr>
          <w:p w:rsidR="00DC1F0B" w:rsidRPr="007C3A87" w:rsidRDefault="00D225F2" w:rsidP="00D13D2A">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参会方式</w:t>
            </w:r>
          </w:p>
        </w:tc>
        <w:tc>
          <w:tcPr>
            <w:tcW w:w="6378" w:type="dxa"/>
            <w:vAlign w:val="center"/>
          </w:tcPr>
          <w:p w:rsidR="00BA5C2B" w:rsidRPr="007C3A87" w:rsidRDefault="00BE2D4A" w:rsidP="00BA5C2B">
            <w:pPr>
              <w:spacing w:before="50" w:after="50" w:line="300" w:lineRule="auto"/>
              <w:rPr>
                <w:rFonts w:asciiTheme="minorEastAsia" w:eastAsiaTheme="minorEastAsia" w:hAnsiTheme="minorEastAsia"/>
                <w:kern w:val="0"/>
                <w:sz w:val="22"/>
              </w:rPr>
            </w:pPr>
            <w:r>
              <w:rPr>
                <w:rFonts w:asciiTheme="minorEastAsia" w:eastAsiaTheme="minorEastAsia" w:hAnsiTheme="minorEastAsia" w:hint="eastAsia"/>
                <w:kern w:val="0"/>
                <w:sz w:val="22"/>
              </w:rPr>
              <w:t>线上通讯和</w:t>
            </w:r>
            <w:r w:rsidR="00BA5C2B">
              <w:rPr>
                <w:rFonts w:asciiTheme="minorEastAsia" w:eastAsiaTheme="minorEastAsia" w:hAnsiTheme="minorEastAsia" w:hint="eastAsia"/>
                <w:kern w:val="0"/>
                <w:sz w:val="22"/>
              </w:rPr>
              <w:t>公司现场交流</w:t>
            </w:r>
            <w:r>
              <w:rPr>
                <w:rFonts w:asciiTheme="minorEastAsia" w:eastAsiaTheme="minorEastAsia" w:hAnsiTheme="minorEastAsia" w:hint="eastAsia"/>
                <w:kern w:val="0"/>
                <w:sz w:val="22"/>
              </w:rPr>
              <w:t>相结合</w:t>
            </w:r>
          </w:p>
        </w:tc>
      </w:tr>
      <w:tr w:rsidR="00DC1F0B" w:rsidRPr="007C3A87" w:rsidTr="00A271E5">
        <w:trPr>
          <w:trHeight w:val="702"/>
        </w:trPr>
        <w:tc>
          <w:tcPr>
            <w:tcW w:w="2235" w:type="dxa"/>
            <w:vAlign w:val="center"/>
          </w:tcPr>
          <w:p w:rsidR="00DC1F0B" w:rsidRPr="007C3A87" w:rsidRDefault="00DC1F0B" w:rsidP="00401CEB">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公司接待人员姓名</w:t>
            </w:r>
          </w:p>
        </w:tc>
        <w:tc>
          <w:tcPr>
            <w:tcW w:w="6378" w:type="dxa"/>
            <w:vAlign w:val="center"/>
          </w:tcPr>
          <w:p w:rsidR="00D225F2" w:rsidRDefault="00D225F2" w:rsidP="00D225F2">
            <w:pPr>
              <w:spacing w:before="50" w:after="50" w:line="300" w:lineRule="auto"/>
              <w:rPr>
                <w:rFonts w:asciiTheme="minorEastAsia" w:eastAsiaTheme="minorEastAsia" w:hAnsiTheme="minorEastAsia"/>
                <w:kern w:val="0"/>
                <w:sz w:val="22"/>
              </w:rPr>
            </w:pPr>
            <w:r w:rsidRPr="007C3A87">
              <w:rPr>
                <w:rFonts w:asciiTheme="minorEastAsia" w:eastAsiaTheme="minorEastAsia" w:hAnsiTheme="minorEastAsia" w:hint="eastAsia"/>
                <w:kern w:val="0"/>
                <w:sz w:val="22"/>
              </w:rPr>
              <w:t>副总裁、财务总监</w:t>
            </w:r>
            <w:r w:rsidR="00E84055" w:rsidRPr="007C3A87">
              <w:rPr>
                <w:rFonts w:asciiTheme="minorEastAsia" w:eastAsiaTheme="minorEastAsia" w:hAnsiTheme="minorEastAsia" w:hint="eastAsia"/>
                <w:kern w:val="0"/>
                <w:sz w:val="22"/>
              </w:rPr>
              <w:t>兼</w:t>
            </w:r>
            <w:r w:rsidRPr="007C3A87">
              <w:rPr>
                <w:rFonts w:asciiTheme="minorEastAsia" w:eastAsiaTheme="minorEastAsia" w:hAnsiTheme="minorEastAsia" w:hint="eastAsia"/>
                <w:kern w:val="0"/>
                <w:sz w:val="22"/>
              </w:rPr>
              <w:t xml:space="preserve">董事会秘书 </w:t>
            </w:r>
            <w:r w:rsidR="00E84055" w:rsidRPr="007C3A87">
              <w:rPr>
                <w:rFonts w:asciiTheme="minorEastAsia" w:eastAsiaTheme="minorEastAsia" w:hAnsiTheme="minorEastAsia" w:hint="eastAsia"/>
                <w:kern w:val="0"/>
                <w:sz w:val="22"/>
              </w:rPr>
              <w:t>邢燕</w:t>
            </w:r>
          </w:p>
          <w:p w:rsidR="00401CEB" w:rsidRPr="007C3A87" w:rsidRDefault="00CA76DA" w:rsidP="00D225F2">
            <w:pPr>
              <w:spacing w:before="50" w:after="50" w:line="300" w:lineRule="auto"/>
              <w:rPr>
                <w:rFonts w:asciiTheme="minorEastAsia" w:eastAsiaTheme="minorEastAsia" w:hAnsiTheme="minorEastAsia"/>
                <w:kern w:val="0"/>
                <w:sz w:val="22"/>
              </w:rPr>
            </w:pPr>
            <w:r w:rsidRPr="007C3A87">
              <w:rPr>
                <w:rFonts w:asciiTheme="minorEastAsia" w:eastAsiaTheme="minorEastAsia" w:hAnsiTheme="minorEastAsia" w:hint="eastAsia"/>
                <w:kern w:val="0"/>
                <w:sz w:val="22"/>
              </w:rPr>
              <w:t>证券事务代表</w:t>
            </w:r>
            <w:r w:rsidR="00D225F2" w:rsidRPr="007C3A87">
              <w:rPr>
                <w:rFonts w:asciiTheme="minorEastAsia" w:eastAsiaTheme="minorEastAsia" w:hAnsiTheme="minorEastAsia" w:hint="eastAsia"/>
                <w:kern w:val="0"/>
                <w:sz w:val="22"/>
              </w:rPr>
              <w:t xml:space="preserve"> </w:t>
            </w:r>
            <w:proofErr w:type="gramStart"/>
            <w:r w:rsidR="00C019B7">
              <w:rPr>
                <w:rFonts w:asciiTheme="minorEastAsia" w:eastAsiaTheme="minorEastAsia" w:hAnsiTheme="minorEastAsia" w:hint="eastAsia"/>
                <w:kern w:val="0"/>
                <w:sz w:val="22"/>
              </w:rPr>
              <w:t>顾宇轩</w:t>
            </w:r>
            <w:proofErr w:type="gramEnd"/>
          </w:p>
        </w:tc>
      </w:tr>
      <w:tr w:rsidR="00DC1F0B" w:rsidRPr="007C3A87" w:rsidTr="00A271E5">
        <w:trPr>
          <w:trHeight w:val="1757"/>
        </w:trPr>
        <w:tc>
          <w:tcPr>
            <w:tcW w:w="2235" w:type="dxa"/>
            <w:vAlign w:val="center"/>
          </w:tcPr>
          <w:p w:rsidR="00DC1F0B" w:rsidRPr="007C3A87" w:rsidRDefault="00DC1F0B" w:rsidP="00923F20">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投资者关系活动主要内容介绍</w:t>
            </w:r>
          </w:p>
          <w:p w:rsidR="00DC1F0B" w:rsidRPr="007C3A87" w:rsidRDefault="00DC1F0B" w:rsidP="00923F20">
            <w:pPr>
              <w:spacing w:before="50" w:after="50" w:line="300" w:lineRule="auto"/>
              <w:rPr>
                <w:rFonts w:ascii="Times New Roman" w:hAnsi="Times New Roman"/>
                <w:b/>
                <w:bCs/>
                <w:iCs/>
                <w:kern w:val="0"/>
                <w:sz w:val="24"/>
              </w:rPr>
            </w:pPr>
          </w:p>
        </w:tc>
        <w:tc>
          <w:tcPr>
            <w:tcW w:w="6378" w:type="dxa"/>
          </w:tcPr>
          <w:p w:rsidR="002528B3" w:rsidRPr="001519B1" w:rsidRDefault="002528B3" w:rsidP="001519B1">
            <w:pPr>
              <w:spacing w:beforeLines="50" w:before="120"/>
              <w:ind w:firstLineChars="200" w:firstLine="482"/>
              <w:rPr>
                <w:rFonts w:asciiTheme="minorEastAsia" w:hAnsiTheme="minorEastAsia"/>
                <w:b/>
                <w:sz w:val="24"/>
              </w:rPr>
            </w:pPr>
            <w:r w:rsidRPr="00DF3A90">
              <w:rPr>
                <w:rFonts w:asciiTheme="minorEastAsia" w:hAnsiTheme="minorEastAsia" w:hint="eastAsia"/>
                <w:b/>
                <w:sz w:val="24"/>
              </w:rPr>
              <w:t>投资者提</w:t>
            </w:r>
            <w:r w:rsidRPr="001519B1">
              <w:rPr>
                <w:rFonts w:asciiTheme="minorEastAsia" w:hAnsiTheme="minorEastAsia" w:hint="eastAsia"/>
                <w:b/>
                <w:sz w:val="24"/>
              </w:rPr>
              <w:t>问与企业回复情况</w:t>
            </w:r>
          </w:p>
          <w:p w:rsidR="009E20AB" w:rsidRPr="001519B1" w:rsidRDefault="009E20AB" w:rsidP="001519B1">
            <w:pPr>
              <w:spacing w:beforeLines="50" w:before="120"/>
              <w:ind w:firstLineChars="200" w:firstLine="480"/>
              <w:rPr>
                <w:rFonts w:asciiTheme="minorEastAsia" w:hAnsiTheme="minorEastAsia"/>
                <w:sz w:val="24"/>
              </w:rPr>
            </w:pPr>
          </w:p>
          <w:p w:rsidR="00262F48" w:rsidRPr="00DF3A90" w:rsidRDefault="001D1DC1" w:rsidP="00262F48">
            <w:pPr>
              <w:spacing w:beforeLines="50" w:before="120"/>
              <w:ind w:firstLineChars="200" w:firstLine="482"/>
              <w:rPr>
                <w:rFonts w:asciiTheme="minorEastAsia" w:hAnsiTheme="minorEastAsia"/>
                <w:b/>
                <w:sz w:val="24"/>
              </w:rPr>
            </w:pPr>
            <w:r w:rsidRPr="001519B1">
              <w:rPr>
                <w:rFonts w:asciiTheme="minorEastAsia" w:hAnsiTheme="minorEastAsia" w:hint="eastAsia"/>
                <w:b/>
                <w:sz w:val="24"/>
              </w:rPr>
              <w:t>1、</w:t>
            </w:r>
            <w:r w:rsidR="00262F48" w:rsidRPr="00DF3A90">
              <w:rPr>
                <w:rFonts w:asciiTheme="minorEastAsia" w:hAnsiTheme="minorEastAsia" w:hint="eastAsia"/>
                <w:b/>
                <w:sz w:val="24"/>
              </w:rPr>
              <w:t>问：</w:t>
            </w:r>
            <w:r w:rsidR="003B08FA">
              <w:rPr>
                <w:rFonts w:asciiTheme="minorEastAsia" w:hAnsiTheme="minorEastAsia" w:hint="eastAsia"/>
                <w:b/>
                <w:sz w:val="24"/>
              </w:rPr>
              <w:t>贵</w:t>
            </w:r>
            <w:r w:rsidR="00886DF5">
              <w:rPr>
                <w:rFonts w:asciiTheme="minorEastAsia" w:hAnsiTheme="minorEastAsia" w:hint="eastAsia"/>
                <w:b/>
                <w:sz w:val="24"/>
              </w:rPr>
              <w:t>公司</w:t>
            </w:r>
            <w:r w:rsidR="00243E72">
              <w:rPr>
                <w:rFonts w:asciiTheme="minorEastAsia" w:hAnsiTheme="minorEastAsia" w:hint="eastAsia"/>
                <w:b/>
                <w:sz w:val="24"/>
              </w:rPr>
              <w:t>2023年整体利润大幅下降的原因？</w:t>
            </w:r>
            <w:r w:rsidR="00243E72" w:rsidRPr="00DF3A90">
              <w:rPr>
                <w:rFonts w:asciiTheme="minorEastAsia" w:hAnsiTheme="minorEastAsia"/>
                <w:b/>
                <w:sz w:val="24"/>
              </w:rPr>
              <w:t xml:space="preserve"> </w:t>
            </w:r>
          </w:p>
          <w:p w:rsidR="00262F48" w:rsidRDefault="00262F48" w:rsidP="001547F6">
            <w:pPr>
              <w:spacing w:beforeLines="50" w:before="120"/>
              <w:ind w:firstLineChars="200" w:firstLine="480"/>
              <w:rPr>
                <w:rFonts w:asciiTheme="minorEastAsia" w:hAnsiTheme="minorEastAsia"/>
                <w:sz w:val="24"/>
              </w:rPr>
            </w:pPr>
            <w:r w:rsidRPr="00830231">
              <w:rPr>
                <w:rFonts w:asciiTheme="minorEastAsia" w:hAnsiTheme="minorEastAsia" w:hint="eastAsia"/>
                <w:sz w:val="24"/>
              </w:rPr>
              <w:t>答：</w:t>
            </w:r>
            <w:r w:rsidR="000E1D09">
              <w:rPr>
                <w:rFonts w:asciiTheme="minorEastAsia" w:hAnsiTheme="minorEastAsia" w:hint="eastAsia"/>
                <w:sz w:val="24"/>
              </w:rPr>
              <w:t>公司</w:t>
            </w:r>
            <w:r w:rsidR="00243E72">
              <w:rPr>
                <w:rFonts w:asciiTheme="minorEastAsia" w:hAnsiTheme="minorEastAsia" w:hint="eastAsia"/>
                <w:sz w:val="24"/>
              </w:rPr>
              <w:t>2023年</w:t>
            </w:r>
            <w:r w:rsidR="00243E72" w:rsidRPr="00243E72">
              <w:rPr>
                <w:rFonts w:asciiTheme="minorEastAsia" w:hAnsiTheme="minorEastAsia" w:hint="eastAsia"/>
                <w:sz w:val="24"/>
              </w:rPr>
              <w:t>实现营业收入164,009万元，同比下降3.34%；实现归属于上市公司股东的净利润2,721万元，同比下降78.78%。</w:t>
            </w:r>
            <w:r w:rsidR="00E43406">
              <w:rPr>
                <w:rFonts w:asciiTheme="minorEastAsia" w:hAnsiTheme="minorEastAsia" w:hint="eastAsia"/>
                <w:sz w:val="24"/>
              </w:rPr>
              <w:t>营业收入的下降，</w:t>
            </w:r>
            <w:r w:rsidR="00E43406" w:rsidRPr="00E43406">
              <w:rPr>
                <w:rFonts w:asciiTheme="minorEastAsia" w:hAnsiTheme="minorEastAsia" w:hint="eastAsia"/>
                <w:sz w:val="24"/>
              </w:rPr>
              <w:t>主要系园区能源外供中的蒸汽与氢气销量的下降，以及上游主要原料如丙烯腈、氯丙烯及PVDF价格下跌导致销售价格下降的影响所致。报告期，在全球经济增速放缓，行业供需状况变化，下游需求疲软的背景下，公司</w:t>
            </w:r>
            <w:proofErr w:type="gramStart"/>
            <w:r w:rsidR="00E43406" w:rsidRPr="00E43406">
              <w:rPr>
                <w:rFonts w:asciiTheme="minorEastAsia" w:hAnsiTheme="minorEastAsia" w:hint="eastAsia"/>
                <w:sz w:val="24"/>
              </w:rPr>
              <w:t>膜业务</w:t>
            </w:r>
            <w:proofErr w:type="gramEnd"/>
            <w:r w:rsidR="00E43406" w:rsidRPr="00E43406">
              <w:rPr>
                <w:rFonts w:asciiTheme="minorEastAsia" w:hAnsiTheme="minorEastAsia" w:hint="eastAsia"/>
                <w:sz w:val="24"/>
              </w:rPr>
              <w:t>与新产品的开拓受到一定影响。但公司采取积极应对措施，使得水溶性高分子与功能性单体的销量分别增长了15.35%与41.61%</w:t>
            </w:r>
            <w:r w:rsidR="00E43406">
              <w:rPr>
                <w:rFonts w:asciiTheme="minorEastAsia" w:hAnsiTheme="minorEastAsia" w:hint="eastAsia"/>
                <w:sz w:val="24"/>
              </w:rPr>
              <w:t>；</w:t>
            </w:r>
            <w:r w:rsidR="00E43406">
              <w:rPr>
                <w:rFonts w:ascii="Arial" w:hAnsi="Arial" w:cs="Arial"/>
                <w:sz w:val="26"/>
                <w:szCs w:val="26"/>
                <w:shd w:val="clear" w:color="auto" w:fill="FFFFFF"/>
              </w:rPr>
              <w:t>净利润的下降，主要系毛利率的下降、股份支付费用的增加、可转债利</w:t>
            </w:r>
            <w:proofErr w:type="gramStart"/>
            <w:r w:rsidR="00E43406">
              <w:rPr>
                <w:rFonts w:ascii="Arial" w:hAnsi="Arial" w:cs="Arial"/>
                <w:sz w:val="26"/>
                <w:szCs w:val="26"/>
                <w:shd w:val="clear" w:color="auto" w:fill="FFFFFF"/>
              </w:rPr>
              <w:t>息</w:t>
            </w:r>
            <w:proofErr w:type="gramEnd"/>
            <w:r w:rsidR="00E43406">
              <w:rPr>
                <w:rFonts w:ascii="Arial" w:hAnsi="Arial" w:cs="Arial"/>
                <w:sz w:val="26"/>
                <w:szCs w:val="26"/>
                <w:shd w:val="clear" w:color="auto" w:fill="FFFFFF"/>
              </w:rPr>
              <w:lastRenderedPageBreak/>
              <w:t>计提的增加、计提商誉减值的增加以及汇兑收益与公允价值变动收益的减少所致。</w:t>
            </w:r>
          </w:p>
          <w:p w:rsidR="00052733" w:rsidRPr="002765DD" w:rsidRDefault="00052733" w:rsidP="00774B01">
            <w:pPr>
              <w:spacing w:beforeLines="50" w:before="120"/>
              <w:rPr>
                <w:rFonts w:asciiTheme="minorEastAsia" w:hAnsiTheme="minorEastAsia"/>
                <w:sz w:val="24"/>
              </w:rPr>
            </w:pPr>
          </w:p>
          <w:p w:rsidR="005C4F16" w:rsidRPr="006436F9" w:rsidRDefault="00774B01" w:rsidP="005C4F16">
            <w:pPr>
              <w:spacing w:beforeLines="50" w:before="120"/>
              <w:ind w:firstLineChars="200" w:firstLine="482"/>
              <w:rPr>
                <w:rFonts w:asciiTheme="minorEastAsia" w:hAnsiTheme="minorEastAsia"/>
                <w:b/>
                <w:sz w:val="24"/>
              </w:rPr>
            </w:pPr>
            <w:r>
              <w:rPr>
                <w:rFonts w:asciiTheme="minorEastAsia" w:hAnsiTheme="minorEastAsia"/>
                <w:b/>
                <w:sz w:val="24"/>
              </w:rPr>
              <w:t>2</w:t>
            </w:r>
            <w:r w:rsidR="001D1DC1" w:rsidRPr="00DF3A90">
              <w:rPr>
                <w:rFonts w:asciiTheme="minorEastAsia" w:hAnsiTheme="minorEastAsia" w:hint="eastAsia"/>
                <w:b/>
                <w:sz w:val="24"/>
              </w:rPr>
              <w:t>、</w:t>
            </w:r>
            <w:r w:rsidR="005C4F16">
              <w:rPr>
                <w:rFonts w:asciiTheme="minorEastAsia" w:hAnsiTheme="minorEastAsia" w:hint="eastAsia"/>
                <w:b/>
                <w:sz w:val="24"/>
              </w:rPr>
              <w:t>问：</w:t>
            </w:r>
            <w:r w:rsidR="003B08FA" w:rsidRPr="003B08FA">
              <w:rPr>
                <w:rFonts w:asciiTheme="minorEastAsia" w:hAnsiTheme="minorEastAsia" w:hint="eastAsia"/>
                <w:b/>
                <w:sz w:val="24"/>
              </w:rPr>
              <w:t>贵公司在解释净利润下滑的原因时，提及可转债利</w:t>
            </w:r>
            <w:proofErr w:type="gramStart"/>
            <w:r w:rsidR="003B08FA" w:rsidRPr="003B08FA">
              <w:rPr>
                <w:rFonts w:asciiTheme="minorEastAsia" w:hAnsiTheme="minorEastAsia" w:hint="eastAsia"/>
                <w:b/>
                <w:sz w:val="24"/>
              </w:rPr>
              <w:t>息</w:t>
            </w:r>
            <w:proofErr w:type="gramEnd"/>
            <w:r w:rsidR="003B08FA" w:rsidRPr="003B08FA">
              <w:rPr>
                <w:rFonts w:asciiTheme="minorEastAsia" w:hAnsiTheme="minorEastAsia" w:hint="eastAsia"/>
                <w:b/>
                <w:sz w:val="24"/>
              </w:rPr>
              <w:t>费用是一个重要因素。但从公开资料中了解到，实际公司每年付息并不多，这两个说法是不是有矛盾？</w:t>
            </w:r>
          </w:p>
          <w:p w:rsidR="00026521" w:rsidRDefault="005C4F16" w:rsidP="00026521">
            <w:pPr>
              <w:spacing w:beforeLines="50" w:before="120"/>
              <w:ind w:firstLineChars="200" w:firstLine="480"/>
              <w:rPr>
                <w:rFonts w:asciiTheme="minorEastAsia" w:hAnsiTheme="minorEastAsia"/>
                <w:sz w:val="24"/>
              </w:rPr>
            </w:pPr>
            <w:r w:rsidRPr="006436F9">
              <w:rPr>
                <w:rFonts w:asciiTheme="minorEastAsia" w:hAnsiTheme="minorEastAsia" w:hint="eastAsia"/>
                <w:sz w:val="24"/>
              </w:rPr>
              <w:t>答：</w:t>
            </w:r>
            <w:r w:rsidR="00243E72" w:rsidRPr="00243E72">
              <w:rPr>
                <w:rFonts w:asciiTheme="minorEastAsia" w:hAnsiTheme="minorEastAsia" w:hint="eastAsia"/>
                <w:sz w:val="24"/>
              </w:rPr>
              <w:t>公司发行的可转</w:t>
            </w:r>
            <w:proofErr w:type="gramStart"/>
            <w:r w:rsidR="00243E72" w:rsidRPr="00243E72">
              <w:rPr>
                <w:rFonts w:asciiTheme="minorEastAsia" w:hAnsiTheme="minorEastAsia" w:hint="eastAsia"/>
                <w:sz w:val="24"/>
              </w:rPr>
              <w:t>债规模</w:t>
            </w:r>
            <w:proofErr w:type="gramEnd"/>
            <w:r w:rsidR="00243E72" w:rsidRPr="00243E72">
              <w:rPr>
                <w:rFonts w:asciiTheme="minorEastAsia" w:hAnsiTheme="minorEastAsia" w:hint="eastAsia"/>
                <w:sz w:val="24"/>
              </w:rPr>
              <w:t>为45,000.00万元，期限为发行之日起六年，即自2022年12月15日至2028年12月14</w:t>
            </w:r>
            <w:r w:rsidR="00243E72">
              <w:rPr>
                <w:rFonts w:asciiTheme="minorEastAsia" w:hAnsiTheme="minorEastAsia" w:hint="eastAsia"/>
                <w:sz w:val="24"/>
              </w:rPr>
              <w:t>日，</w:t>
            </w:r>
            <w:r w:rsidR="00243E72" w:rsidRPr="00243E72">
              <w:rPr>
                <w:rFonts w:asciiTheme="minorEastAsia" w:hAnsiTheme="minorEastAsia" w:hint="eastAsia"/>
                <w:sz w:val="24"/>
              </w:rPr>
              <w:t>发行可转债的票面利率为第一年0.20%、第二年0.40%、第三年0.60%、第四年1.50%、第五年1.80%、第六年2.00%。在可转债存续期限内，公司需按上述票面利率每年付息一次，到期归还</w:t>
            </w:r>
            <w:proofErr w:type="gramStart"/>
            <w:r w:rsidR="00243E72" w:rsidRPr="00243E72">
              <w:rPr>
                <w:rFonts w:asciiTheme="minorEastAsia" w:hAnsiTheme="minorEastAsia" w:hint="eastAsia"/>
                <w:sz w:val="24"/>
              </w:rPr>
              <w:t>未偿</w:t>
            </w:r>
            <w:proofErr w:type="gramEnd"/>
            <w:r w:rsidR="00243E72" w:rsidRPr="00243E72">
              <w:rPr>
                <w:rFonts w:asciiTheme="minorEastAsia" w:hAnsiTheme="minorEastAsia" w:hint="eastAsia"/>
                <w:sz w:val="24"/>
              </w:rPr>
              <w:t>还的债券本金并支付最后一期利率。</w:t>
            </w:r>
          </w:p>
          <w:p w:rsidR="005C4F16" w:rsidRDefault="00026521" w:rsidP="00026521">
            <w:pPr>
              <w:spacing w:beforeLines="50" w:before="120"/>
              <w:ind w:firstLineChars="200" w:firstLine="480"/>
              <w:rPr>
                <w:rFonts w:asciiTheme="minorEastAsia" w:hAnsiTheme="minorEastAsia"/>
                <w:sz w:val="24"/>
              </w:rPr>
            </w:pPr>
            <w:r w:rsidRPr="00026521">
              <w:rPr>
                <w:rFonts w:asciiTheme="minorEastAsia" w:hAnsiTheme="minorEastAsia" w:hint="eastAsia"/>
                <w:sz w:val="24"/>
              </w:rPr>
              <w:t>但在会计处理上，根据现行的会计准则，公司从谨慎原则出发，</w:t>
            </w:r>
            <w:r>
              <w:rPr>
                <w:rFonts w:asciiTheme="minorEastAsia" w:hAnsiTheme="minorEastAsia" w:hint="eastAsia"/>
                <w:sz w:val="24"/>
              </w:rPr>
              <w:t>将发行的可转债的资本成本采用了风险调整法（实际利率法）进行计量</w:t>
            </w:r>
            <w:r w:rsidR="00243E72" w:rsidRPr="00243E72">
              <w:rPr>
                <w:rFonts w:asciiTheme="minorEastAsia" w:hAnsiTheme="minorEastAsia" w:hint="eastAsia"/>
                <w:sz w:val="24"/>
              </w:rPr>
              <w:t>。最终测算</w:t>
            </w:r>
            <w:r w:rsidR="00E43406">
              <w:rPr>
                <w:rFonts w:asciiTheme="minorEastAsia" w:hAnsiTheme="minorEastAsia" w:hint="eastAsia"/>
                <w:sz w:val="24"/>
              </w:rPr>
              <w:t>的</w:t>
            </w:r>
            <w:r w:rsidR="00243E72" w:rsidRPr="00243E72">
              <w:rPr>
                <w:rFonts w:asciiTheme="minorEastAsia" w:hAnsiTheme="minorEastAsia" w:hint="eastAsia"/>
                <w:sz w:val="24"/>
              </w:rPr>
              <w:t>公司可转</w:t>
            </w:r>
            <w:proofErr w:type="gramStart"/>
            <w:r w:rsidR="00243E72" w:rsidRPr="00243E72">
              <w:rPr>
                <w:rFonts w:asciiTheme="minorEastAsia" w:hAnsiTheme="minorEastAsia" w:hint="eastAsia"/>
                <w:sz w:val="24"/>
              </w:rPr>
              <w:t>债实际</w:t>
            </w:r>
            <w:proofErr w:type="gramEnd"/>
            <w:r w:rsidR="00243E72" w:rsidRPr="00243E72">
              <w:rPr>
                <w:rFonts w:asciiTheme="minorEastAsia" w:hAnsiTheme="minorEastAsia" w:hint="eastAsia"/>
                <w:sz w:val="24"/>
              </w:rPr>
              <w:t>利率为6.1154%。</w:t>
            </w:r>
            <w:r w:rsidR="00243E72">
              <w:rPr>
                <w:rFonts w:asciiTheme="minorEastAsia" w:hAnsiTheme="minorEastAsia" w:hint="eastAsia"/>
                <w:sz w:val="24"/>
              </w:rPr>
              <w:t>据此，</w:t>
            </w:r>
            <w:r w:rsidR="00243E72" w:rsidRPr="00243E72">
              <w:rPr>
                <w:rFonts w:asciiTheme="minorEastAsia" w:hAnsiTheme="minorEastAsia" w:hint="eastAsia"/>
                <w:sz w:val="24"/>
              </w:rPr>
              <w:t>2023年全年</w:t>
            </w:r>
            <w:r w:rsidR="00243E72">
              <w:rPr>
                <w:rFonts w:asciiTheme="minorEastAsia" w:hAnsiTheme="minorEastAsia" w:hint="eastAsia"/>
                <w:sz w:val="24"/>
              </w:rPr>
              <w:t>公司</w:t>
            </w:r>
            <w:r w:rsidR="00243E72" w:rsidRPr="00243E72">
              <w:rPr>
                <w:rFonts w:asciiTheme="minorEastAsia" w:hAnsiTheme="minorEastAsia" w:hint="eastAsia"/>
                <w:sz w:val="24"/>
              </w:rPr>
              <w:t>共计提了约2177万利息，</w:t>
            </w:r>
            <w:r w:rsidR="00F81CF4" w:rsidRPr="00F81CF4">
              <w:rPr>
                <w:rFonts w:asciiTheme="minorEastAsia" w:hAnsiTheme="minorEastAsia" w:hint="eastAsia"/>
                <w:sz w:val="24"/>
              </w:rPr>
              <w:t>同时结合可转债募集资金使用对应的项目完工情况</w:t>
            </w:r>
            <w:r w:rsidR="00F81CF4">
              <w:rPr>
                <w:rFonts w:asciiTheme="minorEastAsia" w:hAnsiTheme="minorEastAsia" w:hint="eastAsia"/>
                <w:sz w:val="24"/>
              </w:rPr>
              <w:t>，</w:t>
            </w:r>
            <w:r w:rsidR="00243E72" w:rsidRPr="00243E72">
              <w:rPr>
                <w:rFonts w:asciiTheme="minorEastAsia" w:hAnsiTheme="minorEastAsia" w:hint="eastAsia"/>
                <w:sz w:val="24"/>
              </w:rPr>
              <w:t>其中707万费用化，1470万资本化。</w:t>
            </w:r>
          </w:p>
          <w:p w:rsidR="009D3F12" w:rsidRPr="00BA123C" w:rsidRDefault="009D3F12" w:rsidP="005C4F16">
            <w:pPr>
              <w:spacing w:beforeLines="50" w:before="120"/>
              <w:ind w:firstLineChars="200" w:firstLine="480"/>
              <w:rPr>
                <w:rFonts w:asciiTheme="minorEastAsia" w:hAnsiTheme="minorEastAsia"/>
                <w:sz w:val="24"/>
              </w:rPr>
            </w:pPr>
          </w:p>
          <w:p w:rsidR="00F60D26" w:rsidRPr="00DF3A90" w:rsidRDefault="00774B01" w:rsidP="001519B1">
            <w:pPr>
              <w:spacing w:beforeLines="50" w:before="120"/>
              <w:ind w:firstLineChars="200" w:firstLine="482"/>
              <w:rPr>
                <w:rFonts w:asciiTheme="minorEastAsia" w:hAnsiTheme="minorEastAsia"/>
                <w:b/>
                <w:sz w:val="24"/>
              </w:rPr>
            </w:pPr>
            <w:r>
              <w:rPr>
                <w:rFonts w:asciiTheme="minorEastAsia" w:hAnsiTheme="minorEastAsia"/>
                <w:b/>
                <w:sz w:val="24"/>
              </w:rPr>
              <w:t>3</w:t>
            </w:r>
            <w:r w:rsidR="001D1DC1" w:rsidRPr="00DF3A90">
              <w:rPr>
                <w:rFonts w:asciiTheme="minorEastAsia" w:hAnsiTheme="minorEastAsia" w:hint="eastAsia"/>
                <w:b/>
                <w:sz w:val="24"/>
              </w:rPr>
              <w:t>、</w:t>
            </w:r>
            <w:r w:rsidR="00052733" w:rsidRPr="00DF3A90">
              <w:rPr>
                <w:rFonts w:asciiTheme="minorEastAsia" w:hAnsiTheme="minorEastAsia" w:hint="eastAsia"/>
                <w:b/>
                <w:sz w:val="24"/>
              </w:rPr>
              <w:t>问：</w:t>
            </w:r>
            <w:r w:rsidR="00E43406" w:rsidRPr="00E43406">
              <w:rPr>
                <w:rFonts w:asciiTheme="minorEastAsia" w:hAnsiTheme="minorEastAsia" w:hint="eastAsia"/>
                <w:b/>
                <w:sz w:val="24"/>
              </w:rPr>
              <w:t>从公司年报数据上看，公司2023年业绩没有达到股权激励的目标。但又看到公司解释说“报告期摊销因实</w:t>
            </w:r>
            <w:r w:rsidR="002438FD">
              <w:rPr>
                <w:rFonts w:asciiTheme="minorEastAsia" w:hAnsiTheme="minorEastAsia" w:hint="eastAsia"/>
                <w:b/>
                <w:sz w:val="24"/>
              </w:rPr>
              <w:t>施股权激励计划产生的股份支付费用增幅较大”，为什么业绩没达标还</w:t>
            </w:r>
            <w:r w:rsidR="00E43406" w:rsidRPr="00E43406">
              <w:rPr>
                <w:rFonts w:asciiTheme="minorEastAsia" w:hAnsiTheme="minorEastAsia" w:hint="eastAsia"/>
                <w:b/>
                <w:sz w:val="24"/>
              </w:rPr>
              <w:t>有股份支付费用？</w:t>
            </w:r>
          </w:p>
          <w:p w:rsidR="00571BC3" w:rsidRPr="00571BC3" w:rsidRDefault="002849AE" w:rsidP="00571BC3">
            <w:pPr>
              <w:spacing w:beforeLines="50" w:before="120"/>
              <w:ind w:firstLineChars="200" w:firstLine="480"/>
              <w:rPr>
                <w:rFonts w:asciiTheme="minorEastAsia" w:hAnsiTheme="minorEastAsia" w:hint="eastAsia"/>
                <w:sz w:val="24"/>
              </w:rPr>
            </w:pPr>
            <w:r>
              <w:rPr>
                <w:rFonts w:asciiTheme="minorEastAsia" w:hAnsiTheme="minorEastAsia" w:hint="eastAsia"/>
                <w:sz w:val="24"/>
              </w:rPr>
              <w:t>答：</w:t>
            </w:r>
            <w:r w:rsidR="00571BC3" w:rsidRPr="00571BC3">
              <w:rPr>
                <w:rFonts w:asciiTheme="minorEastAsia" w:hAnsiTheme="minorEastAsia" w:hint="eastAsia"/>
                <w:sz w:val="24"/>
              </w:rPr>
              <w:t>2023年1月9日，公司根据公司董事会及股东大会决议，将已回购的2,529,000 股股票（回购均价18.43元/股）以9.22元/股的价格</w:t>
            </w:r>
            <w:proofErr w:type="gramStart"/>
            <w:r w:rsidR="00571BC3" w:rsidRPr="00571BC3">
              <w:rPr>
                <w:rFonts w:asciiTheme="minorEastAsia" w:hAnsiTheme="minorEastAsia" w:hint="eastAsia"/>
                <w:sz w:val="24"/>
              </w:rPr>
              <w:t>非交易</w:t>
            </w:r>
            <w:proofErr w:type="gramEnd"/>
            <w:r w:rsidR="00571BC3" w:rsidRPr="00571BC3">
              <w:rPr>
                <w:rFonts w:asciiTheme="minorEastAsia" w:hAnsiTheme="minorEastAsia" w:hint="eastAsia"/>
                <w:sz w:val="24"/>
              </w:rPr>
              <w:t>过户至员工持股计划证券账户。据公司《2022年员工持股计划（草案）》相关规定，该计划的考核指标由公司业绩与个人绩效两部分组成。其中，公司业绩考核指标是2022至2024年的净利润（扣除股份支付费用影响后经审计的归属于上市公司股东扣除非经常性损益后的净利润），共计三个考核年度，三年可累计计算，三年设定解锁比例分别为40%、30%与30%。</w:t>
            </w:r>
          </w:p>
          <w:p w:rsidR="00571BC3" w:rsidRPr="00571BC3" w:rsidRDefault="00571BC3" w:rsidP="00571BC3">
            <w:pPr>
              <w:spacing w:beforeLines="50" w:before="120"/>
              <w:ind w:firstLineChars="200" w:firstLine="480"/>
              <w:rPr>
                <w:rFonts w:asciiTheme="minorEastAsia" w:hAnsiTheme="minorEastAsia" w:hint="eastAsia"/>
                <w:sz w:val="24"/>
              </w:rPr>
            </w:pPr>
            <w:proofErr w:type="gramStart"/>
            <w:r w:rsidRPr="00571BC3">
              <w:rPr>
                <w:rFonts w:asciiTheme="minorEastAsia" w:hAnsiTheme="minorEastAsia" w:hint="eastAsia"/>
                <w:sz w:val="24"/>
              </w:rPr>
              <w:t>本员工</w:t>
            </w:r>
            <w:proofErr w:type="gramEnd"/>
            <w:r w:rsidRPr="00571BC3">
              <w:rPr>
                <w:rFonts w:asciiTheme="minorEastAsia" w:hAnsiTheme="minorEastAsia" w:hint="eastAsia"/>
                <w:sz w:val="24"/>
              </w:rPr>
              <w:t>持股计划首个锁定期已于2024年1月10日届满。据中汇会计师事务所审计报告，2022年公司净利润扣除股份支付费用后为10,623万元（考核期2022年度设置的业绩指标</w:t>
            </w:r>
            <w:proofErr w:type="gramStart"/>
            <w:r w:rsidRPr="00571BC3">
              <w:rPr>
                <w:rFonts w:asciiTheme="minorEastAsia" w:hAnsiTheme="minorEastAsia" w:hint="eastAsia"/>
                <w:sz w:val="24"/>
              </w:rPr>
              <w:t>触发值</w:t>
            </w:r>
            <w:proofErr w:type="gramEnd"/>
            <w:r w:rsidRPr="00571BC3">
              <w:rPr>
                <w:rFonts w:asciiTheme="minorEastAsia" w:hAnsiTheme="minorEastAsia" w:hint="eastAsia"/>
                <w:sz w:val="24"/>
              </w:rPr>
              <w:t>9835万，达标值11300万）根据设定标准结算，第一个考核年度仅满足部分解锁条件，比例为25.35%。</w:t>
            </w:r>
          </w:p>
          <w:p w:rsidR="00352307" w:rsidRPr="00590F0C" w:rsidRDefault="00571BC3" w:rsidP="00571BC3">
            <w:pPr>
              <w:spacing w:beforeLines="50" w:before="120"/>
              <w:ind w:firstLineChars="200" w:firstLine="480"/>
              <w:rPr>
                <w:rFonts w:asciiTheme="minorEastAsia" w:hAnsiTheme="minorEastAsia"/>
                <w:sz w:val="24"/>
              </w:rPr>
            </w:pPr>
            <w:r w:rsidRPr="00571BC3">
              <w:rPr>
                <w:rFonts w:asciiTheme="minorEastAsia" w:hAnsiTheme="minorEastAsia" w:hint="eastAsia"/>
                <w:sz w:val="24"/>
              </w:rPr>
              <w:t>2023年公司业绩未达标，累计两年也未达标。考虑到业绩考核可累计三年，公司财务基于会计准则，从谨慎角度出发，结合预期三年业绩及分期解锁比例，预提了股份支付费用，2023年度预提金额约为1517万元。若未来考核期满时公司业绩仍未达标</w:t>
            </w:r>
            <w:proofErr w:type="gramStart"/>
            <w:r w:rsidRPr="00571BC3">
              <w:rPr>
                <w:rFonts w:asciiTheme="minorEastAsia" w:hAnsiTheme="minorEastAsia" w:hint="eastAsia"/>
                <w:sz w:val="24"/>
              </w:rPr>
              <w:t>且考核</w:t>
            </w:r>
            <w:proofErr w:type="gramEnd"/>
            <w:r w:rsidRPr="00571BC3">
              <w:rPr>
                <w:rFonts w:asciiTheme="minorEastAsia" w:hAnsiTheme="minorEastAsia" w:hint="eastAsia"/>
                <w:sz w:val="24"/>
              </w:rPr>
              <w:t>规则不变，则已计提的股份支付费用将会进行相应的会计处理。</w:t>
            </w:r>
          </w:p>
          <w:p w:rsidR="0015425A" w:rsidRDefault="0015425A" w:rsidP="00C30E31">
            <w:pPr>
              <w:spacing w:beforeLines="50" w:before="120"/>
              <w:ind w:firstLineChars="200" w:firstLine="482"/>
              <w:rPr>
                <w:rFonts w:asciiTheme="minorEastAsia" w:hAnsiTheme="minorEastAsia"/>
                <w:b/>
                <w:sz w:val="24"/>
              </w:rPr>
            </w:pPr>
          </w:p>
          <w:p w:rsidR="007F0D43" w:rsidRPr="00C30E31" w:rsidRDefault="007F0D43" w:rsidP="00C30E31">
            <w:pPr>
              <w:spacing w:beforeLines="50" w:before="120"/>
              <w:ind w:firstLineChars="200" w:firstLine="482"/>
              <w:rPr>
                <w:rFonts w:asciiTheme="minorEastAsia" w:hAnsiTheme="minorEastAsia"/>
                <w:sz w:val="24"/>
              </w:rPr>
            </w:pPr>
            <w:r>
              <w:rPr>
                <w:rFonts w:asciiTheme="minorEastAsia" w:hAnsiTheme="minorEastAsia"/>
                <w:b/>
                <w:sz w:val="24"/>
              </w:rPr>
              <w:t>4</w:t>
            </w:r>
            <w:r w:rsidRPr="00DF3A90">
              <w:rPr>
                <w:rFonts w:asciiTheme="minorEastAsia" w:hAnsiTheme="minorEastAsia" w:hint="eastAsia"/>
                <w:b/>
                <w:sz w:val="24"/>
              </w:rPr>
              <w:t>、问：</w:t>
            </w:r>
            <w:r w:rsidR="009E5390" w:rsidRPr="009E5390">
              <w:rPr>
                <w:rFonts w:asciiTheme="minorEastAsia" w:hAnsiTheme="minorEastAsia" w:hint="eastAsia"/>
                <w:b/>
                <w:sz w:val="24"/>
              </w:rPr>
              <w:t>既然公司实施的员工持股计划未达</w:t>
            </w:r>
            <w:r w:rsidR="009E5390">
              <w:rPr>
                <w:rFonts w:asciiTheme="minorEastAsia" w:hAnsiTheme="minorEastAsia" w:hint="eastAsia"/>
                <w:b/>
                <w:sz w:val="24"/>
              </w:rPr>
              <w:t>标，为何近期公司的回购公告上说回</w:t>
            </w:r>
            <w:proofErr w:type="gramStart"/>
            <w:r w:rsidR="009E5390">
              <w:rPr>
                <w:rFonts w:asciiTheme="minorEastAsia" w:hAnsiTheme="minorEastAsia" w:hint="eastAsia"/>
                <w:b/>
                <w:sz w:val="24"/>
              </w:rPr>
              <w:t>购股份要在</w:t>
            </w:r>
            <w:proofErr w:type="gramEnd"/>
            <w:r w:rsidR="009E5390">
              <w:rPr>
                <w:rFonts w:asciiTheme="minorEastAsia" w:hAnsiTheme="minorEastAsia" w:hint="eastAsia"/>
                <w:b/>
                <w:sz w:val="24"/>
              </w:rPr>
              <w:t>未来</w:t>
            </w:r>
            <w:proofErr w:type="gramStart"/>
            <w:r w:rsidR="009E5390">
              <w:rPr>
                <w:rFonts w:asciiTheme="minorEastAsia" w:hAnsiTheme="minorEastAsia" w:hint="eastAsia"/>
                <w:b/>
                <w:sz w:val="24"/>
              </w:rPr>
              <w:t>用在于</w:t>
            </w:r>
            <w:proofErr w:type="gramEnd"/>
            <w:r w:rsidR="009E5390">
              <w:rPr>
                <w:rFonts w:asciiTheme="minorEastAsia" w:hAnsiTheme="minorEastAsia" w:hint="eastAsia"/>
                <w:b/>
                <w:sz w:val="24"/>
              </w:rPr>
              <w:t>员工持股计划</w:t>
            </w:r>
            <w:r w:rsidR="008441A7">
              <w:rPr>
                <w:rFonts w:asciiTheme="minorEastAsia" w:hAnsiTheme="minorEastAsia" w:hint="eastAsia"/>
                <w:b/>
                <w:sz w:val="24"/>
              </w:rPr>
              <w:t>？</w:t>
            </w:r>
          </w:p>
          <w:p w:rsidR="00641E01" w:rsidRDefault="00462C0C" w:rsidP="00DF3A15">
            <w:pPr>
              <w:spacing w:beforeLines="50" w:before="120"/>
              <w:ind w:firstLineChars="200" w:firstLine="480"/>
              <w:rPr>
                <w:rFonts w:asciiTheme="minorEastAsia" w:hAnsiTheme="minorEastAsia"/>
                <w:sz w:val="24"/>
              </w:rPr>
            </w:pPr>
            <w:r>
              <w:rPr>
                <w:rFonts w:asciiTheme="minorEastAsia" w:hAnsiTheme="minorEastAsia" w:hint="eastAsia"/>
                <w:sz w:val="24"/>
              </w:rPr>
              <w:t>答：</w:t>
            </w:r>
            <w:r w:rsidR="009E5390" w:rsidRPr="009E5390">
              <w:rPr>
                <w:rFonts w:asciiTheme="minorEastAsia" w:hAnsiTheme="minorEastAsia" w:hint="eastAsia"/>
                <w:sz w:val="24"/>
              </w:rPr>
              <w:t>公司本次回购股份</w:t>
            </w:r>
            <w:r w:rsidR="009E5390">
              <w:rPr>
                <w:rFonts w:asciiTheme="minorEastAsia" w:hAnsiTheme="minorEastAsia" w:hint="eastAsia"/>
                <w:sz w:val="24"/>
              </w:rPr>
              <w:t>的</w:t>
            </w:r>
            <w:r w:rsidR="009E5390" w:rsidRPr="009E5390">
              <w:rPr>
                <w:rFonts w:asciiTheme="minorEastAsia" w:hAnsiTheme="minorEastAsia" w:hint="eastAsia"/>
                <w:sz w:val="24"/>
              </w:rPr>
              <w:t>用途</w:t>
            </w:r>
            <w:r w:rsidR="009E5390">
              <w:rPr>
                <w:rFonts w:asciiTheme="minorEastAsia" w:hAnsiTheme="minorEastAsia" w:hint="eastAsia"/>
                <w:sz w:val="24"/>
              </w:rPr>
              <w:t>设定了两种可能情况：</w:t>
            </w:r>
            <w:r w:rsidR="009E5390" w:rsidRPr="009E5390">
              <w:rPr>
                <w:rFonts w:asciiTheme="minorEastAsia" w:hAnsiTheme="minorEastAsia" w:hint="eastAsia"/>
                <w:sz w:val="24"/>
              </w:rPr>
              <w:t>一是</w:t>
            </w:r>
            <w:r w:rsidR="00641E01">
              <w:rPr>
                <w:rFonts w:asciiTheme="minorEastAsia" w:hAnsiTheme="minorEastAsia" w:hint="eastAsia"/>
                <w:sz w:val="24"/>
              </w:rPr>
              <w:t>在</w:t>
            </w:r>
            <w:r w:rsidR="009E5390" w:rsidRPr="009E5390">
              <w:rPr>
                <w:rFonts w:asciiTheme="minorEastAsia" w:hAnsiTheme="minorEastAsia" w:hint="eastAsia"/>
                <w:sz w:val="24"/>
              </w:rPr>
              <w:t>未来</w:t>
            </w:r>
            <w:r w:rsidR="00641E01">
              <w:rPr>
                <w:rFonts w:asciiTheme="minorEastAsia" w:hAnsiTheme="minorEastAsia" w:hint="eastAsia"/>
                <w:sz w:val="24"/>
              </w:rPr>
              <w:t>适宜</w:t>
            </w:r>
            <w:r w:rsidR="009E5390" w:rsidRPr="009E5390">
              <w:rPr>
                <w:rFonts w:asciiTheme="minorEastAsia" w:hAnsiTheme="minorEastAsia" w:hint="eastAsia"/>
                <w:sz w:val="24"/>
              </w:rPr>
              <w:t>时机，将其</w:t>
            </w:r>
            <w:r w:rsidR="00641E01" w:rsidRPr="00641E01">
              <w:rPr>
                <w:rFonts w:asciiTheme="minorEastAsia" w:hAnsiTheme="minorEastAsia" w:hint="eastAsia"/>
                <w:sz w:val="24"/>
              </w:rPr>
              <w:t>用于转换上市公司发行的可转换为股票的公司债券</w:t>
            </w:r>
            <w:r w:rsidR="009E5390" w:rsidRPr="009E5390">
              <w:rPr>
                <w:rFonts w:asciiTheme="minorEastAsia" w:hAnsiTheme="minorEastAsia" w:hint="eastAsia"/>
                <w:sz w:val="24"/>
              </w:rPr>
              <w:t>；二是用于实施股权激励或员工持股计划。</w:t>
            </w:r>
            <w:r w:rsidR="00A76962">
              <w:rPr>
                <w:rFonts w:asciiTheme="minorEastAsia" w:hAnsiTheme="minorEastAsia" w:hint="eastAsia"/>
                <w:sz w:val="24"/>
              </w:rPr>
              <w:t>同时，</w:t>
            </w:r>
            <w:r w:rsidR="009E5390" w:rsidRPr="009E5390">
              <w:rPr>
                <w:rFonts w:asciiTheme="minorEastAsia" w:hAnsiTheme="minorEastAsia" w:hint="eastAsia"/>
                <w:sz w:val="24"/>
              </w:rPr>
              <w:t>在股份的存续期结束后，若有未使用的部分，将</w:t>
            </w:r>
            <w:r w:rsidR="00A76962">
              <w:rPr>
                <w:rFonts w:asciiTheme="minorEastAsia" w:hAnsiTheme="minorEastAsia" w:hint="eastAsia"/>
                <w:sz w:val="24"/>
              </w:rPr>
              <w:t>对其</w:t>
            </w:r>
            <w:r w:rsidR="009E5390" w:rsidRPr="009E5390">
              <w:rPr>
                <w:rFonts w:asciiTheme="minorEastAsia" w:hAnsiTheme="minorEastAsia" w:hint="eastAsia"/>
                <w:sz w:val="24"/>
              </w:rPr>
              <w:t>进行注销处理。</w:t>
            </w:r>
          </w:p>
          <w:p w:rsidR="000A398F" w:rsidRDefault="009E5390" w:rsidP="00DF3A15">
            <w:pPr>
              <w:spacing w:beforeLines="50" w:before="120"/>
              <w:ind w:firstLineChars="200" w:firstLine="480"/>
              <w:rPr>
                <w:rFonts w:asciiTheme="minorEastAsia" w:hAnsiTheme="minorEastAsia"/>
                <w:sz w:val="24"/>
              </w:rPr>
            </w:pPr>
            <w:r w:rsidRPr="009E5390">
              <w:rPr>
                <w:rFonts w:asciiTheme="minorEastAsia" w:hAnsiTheme="minorEastAsia" w:hint="eastAsia"/>
                <w:sz w:val="24"/>
              </w:rPr>
              <w:t>这一设定旨在充分考虑从董事会审议通过回购方案之日（即2024年2月5日）起，</w:t>
            </w:r>
            <w:r w:rsidR="00641E01">
              <w:rPr>
                <w:rFonts w:asciiTheme="minorEastAsia" w:hAnsiTheme="minorEastAsia" w:hint="eastAsia"/>
                <w:sz w:val="24"/>
              </w:rPr>
              <w:t>涵盖</w:t>
            </w:r>
            <w:r w:rsidRPr="009E5390">
              <w:rPr>
                <w:rFonts w:asciiTheme="minorEastAsia" w:hAnsiTheme="minorEastAsia" w:hint="eastAsia"/>
                <w:sz w:val="24"/>
              </w:rPr>
              <w:t>回购期12个月与回购股份存续期36个月</w:t>
            </w:r>
            <w:r w:rsidR="00641E01">
              <w:rPr>
                <w:rFonts w:asciiTheme="minorEastAsia" w:hAnsiTheme="minorEastAsia" w:hint="eastAsia"/>
                <w:sz w:val="24"/>
              </w:rPr>
              <w:t>在内的，</w:t>
            </w:r>
            <w:r w:rsidR="00641E01" w:rsidRPr="009E5390">
              <w:rPr>
                <w:rFonts w:asciiTheme="minorEastAsia" w:hAnsiTheme="minorEastAsia" w:hint="eastAsia"/>
                <w:sz w:val="24"/>
              </w:rPr>
              <w:t>未来48个月（预计至2028年2月4</w:t>
            </w:r>
            <w:r w:rsidR="000A3CF7">
              <w:rPr>
                <w:rFonts w:asciiTheme="minorEastAsia" w:hAnsiTheme="minorEastAsia" w:hint="eastAsia"/>
                <w:sz w:val="24"/>
              </w:rPr>
              <w:t>日）内可能发生的多种</w:t>
            </w:r>
            <w:r w:rsidR="00641E01">
              <w:rPr>
                <w:rFonts w:asciiTheme="minorEastAsia" w:hAnsiTheme="minorEastAsia" w:hint="eastAsia"/>
                <w:sz w:val="24"/>
              </w:rPr>
              <w:t>情况，</w:t>
            </w:r>
            <w:r w:rsidR="00641E01" w:rsidRPr="00641E01">
              <w:rPr>
                <w:rFonts w:asciiTheme="minorEastAsia" w:hAnsiTheme="minorEastAsia" w:hint="eastAsia"/>
                <w:sz w:val="24"/>
              </w:rPr>
              <w:t>以确保回购方案的灵活性与适应性。在此期间，公司管理层将根据实际经营管理的需求，拟定具体的使用计划，并经过相关审议流程后实施。</w:t>
            </w:r>
          </w:p>
          <w:p w:rsidR="00641E01" w:rsidRPr="00974346" w:rsidRDefault="00641E01" w:rsidP="00DF3A15">
            <w:pPr>
              <w:spacing w:beforeLines="50" w:before="120"/>
              <w:ind w:firstLineChars="200" w:firstLine="480"/>
              <w:rPr>
                <w:rFonts w:asciiTheme="minorEastAsia" w:hAnsiTheme="minorEastAsia"/>
                <w:sz w:val="24"/>
              </w:rPr>
            </w:pPr>
          </w:p>
          <w:p w:rsidR="005C4F16" w:rsidRPr="005C4F16" w:rsidRDefault="00253908" w:rsidP="005C4F16">
            <w:pPr>
              <w:spacing w:beforeLines="50" w:before="120"/>
              <w:ind w:firstLineChars="200" w:firstLine="482"/>
              <w:rPr>
                <w:rFonts w:asciiTheme="minorEastAsia" w:hAnsiTheme="minorEastAsia"/>
                <w:sz w:val="24"/>
              </w:rPr>
            </w:pPr>
            <w:r>
              <w:rPr>
                <w:rFonts w:asciiTheme="minorEastAsia" w:hAnsiTheme="minorEastAsia"/>
                <w:b/>
                <w:sz w:val="24"/>
              </w:rPr>
              <w:t>5</w:t>
            </w:r>
            <w:r w:rsidR="00580611">
              <w:rPr>
                <w:rFonts w:asciiTheme="minorEastAsia" w:hAnsiTheme="minorEastAsia" w:hint="eastAsia"/>
                <w:b/>
                <w:sz w:val="24"/>
              </w:rPr>
              <w:t>、</w:t>
            </w:r>
            <w:r w:rsidR="005C4F16" w:rsidRPr="00DF3A90">
              <w:rPr>
                <w:rFonts w:asciiTheme="minorEastAsia" w:hAnsiTheme="minorEastAsia"/>
                <w:b/>
                <w:sz w:val="24"/>
              </w:rPr>
              <w:t>问：</w:t>
            </w:r>
            <w:r w:rsidR="00DE5A93">
              <w:rPr>
                <w:rFonts w:asciiTheme="minorEastAsia" w:hAnsiTheme="minorEastAsia"/>
                <w:b/>
                <w:sz w:val="24"/>
              </w:rPr>
              <w:t>公司</w:t>
            </w:r>
            <w:r w:rsidR="008B714A">
              <w:rPr>
                <w:rFonts w:asciiTheme="minorEastAsia" w:hAnsiTheme="minorEastAsia" w:hint="eastAsia"/>
                <w:b/>
                <w:sz w:val="24"/>
              </w:rPr>
              <w:t>可转债</w:t>
            </w:r>
            <w:proofErr w:type="gramStart"/>
            <w:r w:rsidR="00DE5A93">
              <w:rPr>
                <w:rFonts w:asciiTheme="minorEastAsia" w:hAnsiTheme="minorEastAsia"/>
                <w:b/>
                <w:sz w:val="24"/>
              </w:rPr>
              <w:t>募投项目</w:t>
            </w:r>
            <w:proofErr w:type="gramEnd"/>
            <w:r w:rsidR="00DE5A93">
              <w:rPr>
                <w:rFonts w:asciiTheme="minorEastAsia" w:hAnsiTheme="minorEastAsia"/>
                <w:b/>
                <w:sz w:val="24"/>
              </w:rPr>
              <w:t>目前情况如何</w:t>
            </w:r>
            <w:r w:rsidR="00C05FAB">
              <w:rPr>
                <w:rFonts w:asciiTheme="minorEastAsia" w:hAnsiTheme="minorEastAsia"/>
                <w:b/>
                <w:sz w:val="24"/>
              </w:rPr>
              <w:t>了</w:t>
            </w:r>
            <w:r w:rsidR="005C4F16">
              <w:rPr>
                <w:rFonts w:asciiTheme="minorEastAsia" w:hAnsiTheme="minorEastAsia"/>
                <w:b/>
                <w:sz w:val="24"/>
              </w:rPr>
              <w:t>？</w:t>
            </w:r>
          </w:p>
          <w:p w:rsidR="005C4F16" w:rsidRDefault="005C4F16" w:rsidP="005C4F16">
            <w:pPr>
              <w:spacing w:beforeLines="50" w:before="120"/>
              <w:ind w:firstLineChars="200" w:firstLine="480"/>
              <w:rPr>
                <w:rFonts w:asciiTheme="minorEastAsia" w:hAnsiTheme="minorEastAsia"/>
                <w:sz w:val="24"/>
              </w:rPr>
            </w:pPr>
            <w:r w:rsidRPr="00830231">
              <w:rPr>
                <w:rFonts w:asciiTheme="minorEastAsia" w:hAnsiTheme="minorEastAsia" w:hint="eastAsia"/>
                <w:sz w:val="24"/>
              </w:rPr>
              <w:t>答：</w:t>
            </w:r>
            <w:r w:rsidR="00DE5A93">
              <w:rPr>
                <w:rFonts w:asciiTheme="minorEastAsia" w:hAnsiTheme="minorEastAsia" w:hint="eastAsia"/>
                <w:sz w:val="24"/>
              </w:rPr>
              <w:t>截止2024年3月底，</w:t>
            </w:r>
            <w:proofErr w:type="gramStart"/>
            <w:r w:rsidR="00DE5A93" w:rsidRPr="00DE5A93">
              <w:rPr>
                <w:rFonts w:asciiTheme="minorEastAsia" w:hAnsiTheme="minorEastAsia" w:hint="eastAsia"/>
                <w:sz w:val="24"/>
              </w:rPr>
              <w:t>公司募投项目</w:t>
            </w:r>
            <w:proofErr w:type="gramEnd"/>
            <w:r w:rsidR="00DE5A93" w:rsidRPr="00DE5A93">
              <w:rPr>
                <w:rFonts w:asciiTheme="minorEastAsia" w:hAnsiTheme="minorEastAsia" w:hint="eastAsia"/>
                <w:sz w:val="24"/>
              </w:rPr>
              <w:t>“年产3.3 万吨水处理及工业水过程专用化学品及其配套1.6 万吨单体扩建项目”中所有子项目，包括固体型聚丙烯酰胺产线、乳液型聚丙烯酰胺产线、水分散型</w:t>
            </w:r>
            <w:proofErr w:type="gramStart"/>
            <w:r w:rsidR="00DE5A93" w:rsidRPr="00DE5A93">
              <w:rPr>
                <w:rFonts w:asciiTheme="minorEastAsia" w:hAnsiTheme="minorEastAsia" w:hint="eastAsia"/>
                <w:sz w:val="24"/>
              </w:rPr>
              <w:t>水溶性高分子产线以及</w:t>
            </w:r>
            <w:proofErr w:type="gramEnd"/>
            <w:r w:rsidR="00DE5A93" w:rsidRPr="00DE5A93">
              <w:rPr>
                <w:rFonts w:asciiTheme="minorEastAsia" w:hAnsiTheme="minorEastAsia" w:hint="eastAsia"/>
                <w:sz w:val="24"/>
              </w:rPr>
              <w:t>配套单体</w:t>
            </w:r>
            <w:proofErr w:type="gramStart"/>
            <w:r w:rsidR="00DE5A93" w:rsidRPr="00DE5A93">
              <w:rPr>
                <w:rFonts w:asciiTheme="minorEastAsia" w:hAnsiTheme="minorEastAsia" w:hint="eastAsia"/>
                <w:sz w:val="24"/>
              </w:rPr>
              <w:t>扩建产线均</w:t>
            </w:r>
            <w:proofErr w:type="gramEnd"/>
            <w:r w:rsidR="00DE5A93" w:rsidRPr="00DE5A93">
              <w:rPr>
                <w:rFonts w:asciiTheme="minorEastAsia" w:hAnsiTheme="minorEastAsia" w:hint="eastAsia"/>
                <w:sz w:val="24"/>
              </w:rPr>
              <w:t>已完成试生产并转固。“950 套/年分离膜设备制造项目” 已完成试产并转固。“研发中心建设项目”尚在建设中，预计将在2024 年第四季度投入使用。“信息化升级与数字化工厂建设”与“张家港市飞翔医药产业园配套7600方/天污水处理改扩建”项目尚在实施，预计2025年第四季度完成。未来，公司将进一步强化募投项目管理，提高募集资金使用效率，加快</w:t>
            </w:r>
            <w:proofErr w:type="gramStart"/>
            <w:r w:rsidR="00DE5A93" w:rsidRPr="00DE5A93">
              <w:rPr>
                <w:rFonts w:asciiTheme="minorEastAsia" w:hAnsiTheme="minorEastAsia" w:hint="eastAsia"/>
                <w:sz w:val="24"/>
              </w:rPr>
              <w:t>募投项目</w:t>
            </w:r>
            <w:proofErr w:type="gramEnd"/>
            <w:r w:rsidR="00DE5A93" w:rsidRPr="00DE5A93">
              <w:rPr>
                <w:rFonts w:asciiTheme="minorEastAsia" w:hAnsiTheme="minorEastAsia" w:hint="eastAsia"/>
                <w:sz w:val="24"/>
              </w:rPr>
              <w:t>的产能爬坡的速度，提升公司营收，增强公司盈利能力。</w:t>
            </w:r>
          </w:p>
          <w:p w:rsidR="005C4F16" w:rsidRDefault="005C4F16" w:rsidP="005C4F16">
            <w:pPr>
              <w:spacing w:beforeLines="50" w:before="120"/>
              <w:ind w:firstLineChars="200" w:firstLine="482"/>
              <w:rPr>
                <w:rFonts w:asciiTheme="minorEastAsia" w:hAnsiTheme="minorEastAsia"/>
                <w:b/>
                <w:sz w:val="24"/>
              </w:rPr>
            </w:pPr>
          </w:p>
          <w:p w:rsidR="009E2753" w:rsidRDefault="00253908" w:rsidP="005C4F16">
            <w:pPr>
              <w:spacing w:beforeLines="50" w:before="120"/>
              <w:ind w:firstLineChars="200" w:firstLine="482"/>
              <w:rPr>
                <w:rFonts w:asciiTheme="minorEastAsia" w:hAnsiTheme="minorEastAsia"/>
                <w:b/>
                <w:sz w:val="24"/>
              </w:rPr>
            </w:pPr>
            <w:r>
              <w:rPr>
                <w:rFonts w:asciiTheme="minorEastAsia" w:hAnsiTheme="minorEastAsia"/>
                <w:b/>
                <w:sz w:val="24"/>
              </w:rPr>
              <w:t>6</w:t>
            </w:r>
            <w:r w:rsidR="00DF3A90">
              <w:rPr>
                <w:rFonts w:asciiTheme="minorEastAsia" w:hAnsiTheme="minorEastAsia"/>
                <w:b/>
                <w:sz w:val="24"/>
              </w:rPr>
              <w:t>、问：</w:t>
            </w:r>
            <w:r w:rsidR="002438FD">
              <w:rPr>
                <w:rFonts w:asciiTheme="minorEastAsia" w:hAnsiTheme="minorEastAsia" w:hint="eastAsia"/>
                <w:b/>
                <w:sz w:val="24"/>
              </w:rPr>
              <w:t>公司投资建设</w:t>
            </w:r>
            <w:r w:rsidR="002438FD">
              <w:rPr>
                <w:rFonts w:asciiTheme="minorEastAsia" w:hAnsiTheme="minorEastAsia"/>
                <w:b/>
                <w:sz w:val="24"/>
              </w:rPr>
              <w:t>安徽安庆项目的初衷？目前建设情况</w:t>
            </w:r>
            <w:r w:rsidR="00132C23" w:rsidRPr="00132C23">
              <w:rPr>
                <w:rFonts w:asciiTheme="minorEastAsia" w:hAnsiTheme="minorEastAsia" w:hint="eastAsia"/>
                <w:b/>
                <w:sz w:val="24"/>
              </w:rPr>
              <w:t>？</w:t>
            </w:r>
          </w:p>
          <w:p w:rsidR="00130434" w:rsidRPr="00933993" w:rsidRDefault="002849AE" w:rsidP="006E4168">
            <w:pPr>
              <w:spacing w:beforeLines="50" w:before="120"/>
              <w:ind w:firstLineChars="200" w:firstLine="480"/>
              <w:rPr>
                <w:rFonts w:asciiTheme="minorEastAsia" w:hAnsiTheme="minorEastAsia"/>
                <w:sz w:val="24"/>
              </w:rPr>
            </w:pPr>
            <w:r w:rsidRPr="00830231">
              <w:rPr>
                <w:rFonts w:asciiTheme="minorEastAsia" w:hAnsiTheme="minorEastAsia" w:hint="eastAsia"/>
                <w:sz w:val="24"/>
              </w:rPr>
              <w:t>答：</w:t>
            </w:r>
            <w:r w:rsidR="002438FD" w:rsidRPr="002438FD">
              <w:rPr>
                <w:rFonts w:asciiTheme="minorEastAsia" w:hAnsiTheme="minorEastAsia" w:hint="eastAsia"/>
                <w:sz w:val="24"/>
              </w:rPr>
              <w:t>2023年3月，在行业规模化、集中化以及产业链协同化背景下，公司与安徽省安庆高新区管委会签署投资合作协议，投建公司第三基地扩产项目。该项目预计投资21亿，以新增产品为主，项目建成后将进一步扩大公司的产能规模。在完善生产基地跨区域布局的同时，向上延伸产业链，解决核心阳离子单体“卡脖子”的难题。特别是本次新增产能中的大部分阳离子单体、聚胺类水溶性高分子、后水解工艺聚丙烯酰胺等产品，不仅进一步增强公司产业链一体化优势，同时能为公司在进军油气开采、矿物加工等新业务领域时，提供更为丰富的产品品类及组合方式。目前安庆项目已成功取得能评、安评、环评等手续。项目一期自2023年11月正式开工后，各项工作都已经在紧锣密鼓地推进中。</w:t>
            </w:r>
          </w:p>
          <w:p w:rsidR="005C4F16" w:rsidRDefault="005C4F16" w:rsidP="00C30E31">
            <w:pPr>
              <w:spacing w:beforeLines="50" w:before="120"/>
              <w:rPr>
                <w:rFonts w:asciiTheme="minorEastAsia" w:hAnsiTheme="minorEastAsia"/>
                <w:b/>
                <w:sz w:val="24"/>
              </w:rPr>
            </w:pPr>
          </w:p>
          <w:p w:rsidR="001B6D61" w:rsidRPr="00B51A15" w:rsidRDefault="001B6D61" w:rsidP="001B6D61">
            <w:pPr>
              <w:spacing w:beforeLines="50" w:before="120"/>
              <w:ind w:firstLineChars="200" w:firstLine="482"/>
              <w:rPr>
                <w:rFonts w:asciiTheme="minorEastAsia" w:hAnsiTheme="minorEastAsia"/>
                <w:sz w:val="24"/>
              </w:rPr>
            </w:pPr>
            <w:r>
              <w:rPr>
                <w:rFonts w:asciiTheme="minorEastAsia" w:hAnsiTheme="minorEastAsia" w:hint="eastAsia"/>
                <w:b/>
                <w:sz w:val="24"/>
              </w:rPr>
              <w:t>7、</w:t>
            </w:r>
            <w:r w:rsidRPr="001519B1">
              <w:rPr>
                <w:rFonts w:asciiTheme="minorEastAsia" w:hAnsiTheme="minorEastAsia" w:hint="eastAsia"/>
                <w:b/>
                <w:sz w:val="24"/>
              </w:rPr>
              <w:t>问：</w:t>
            </w:r>
            <w:r w:rsidR="00DE5A93" w:rsidRPr="00DE5A93">
              <w:rPr>
                <w:rFonts w:asciiTheme="minorEastAsia" w:hAnsiTheme="minorEastAsia" w:hint="eastAsia"/>
                <w:b/>
                <w:sz w:val="24"/>
              </w:rPr>
              <w:t>公司的安徽安庆项目总投资额高达21亿，这一投资是否会对公司未来几年的利润产生持续影响？</w:t>
            </w:r>
          </w:p>
          <w:p w:rsidR="00571BC3" w:rsidRPr="00571BC3" w:rsidRDefault="001B6D61" w:rsidP="00571BC3">
            <w:pPr>
              <w:spacing w:beforeLines="50" w:before="120"/>
              <w:ind w:firstLineChars="200" w:firstLine="480"/>
              <w:rPr>
                <w:rFonts w:asciiTheme="minorEastAsia" w:hAnsiTheme="minorEastAsia" w:hint="eastAsia"/>
                <w:sz w:val="24"/>
              </w:rPr>
            </w:pPr>
            <w:r w:rsidRPr="00830231">
              <w:rPr>
                <w:rFonts w:asciiTheme="minorEastAsia" w:hAnsiTheme="minorEastAsia" w:hint="eastAsia"/>
                <w:sz w:val="24"/>
              </w:rPr>
              <w:t>答：</w:t>
            </w:r>
            <w:r w:rsidR="00571BC3" w:rsidRPr="00571BC3">
              <w:rPr>
                <w:rFonts w:asciiTheme="minorEastAsia" w:hAnsiTheme="minorEastAsia" w:hint="eastAsia"/>
                <w:sz w:val="24"/>
              </w:rPr>
              <w:t>公司投建的安徽安庆项目，其预计总投资额为21亿，这一数额中包含了配套的流动资金。实际上，整个项目的固定资产投资约为14亿，剩余为未来建成投产后所需的补充流动资金。</w:t>
            </w:r>
          </w:p>
          <w:p w:rsidR="00571BC3" w:rsidRPr="00571BC3" w:rsidRDefault="00571BC3" w:rsidP="00571BC3">
            <w:pPr>
              <w:spacing w:beforeLines="50" w:before="120"/>
              <w:ind w:firstLineChars="200" w:firstLine="480"/>
              <w:rPr>
                <w:rFonts w:asciiTheme="minorEastAsia" w:hAnsiTheme="minorEastAsia" w:hint="eastAsia"/>
                <w:sz w:val="24"/>
              </w:rPr>
            </w:pPr>
            <w:r w:rsidRPr="00571BC3">
              <w:rPr>
                <w:rFonts w:asciiTheme="minorEastAsia" w:hAnsiTheme="minorEastAsia" w:hint="eastAsia"/>
                <w:sz w:val="24"/>
              </w:rPr>
              <w:t>关于利润影响的问题，根据会计核算规定，固定资产投资的利息在建设过程中可进行资本化，因此在项目建设过程中的贷款利息不会对公司的利润产生直接影响。虽然项目总投资额较大，但在合理的资金管理和项目运营下，公司管理层有信心确保投资收益最大化。</w:t>
            </w:r>
          </w:p>
          <w:p w:rsidR="001B6D61" w:rsidRDefault="00571BC3" w:rsidP="00571BC3">
            <w:pPr>
              <w:spacing w:beforeLines="50" w:before="120"/>
              <w:ind w:firstLineChars="200" w:firstLine="480"/>
              <w:rPr>
                <w:rFonts w:asciiTheme="minorEastAsia" w:hAnsiTheme="minorEastAsia"/>
                <w:sz w:val="24"/>
              </w:rPr>
            </w:pPr>
            <w:r w:rsidRPr="00571BC3">
              <w:rPr>
                <w:rFonts w:asciiTheme="minorEastAsia" w:hAnsiTheme="minorEastAsia" w:hint="eastAsia"/>
                <w:sz w:val="24"/>
              </w:rPr>
              <w:t>安庆项目建成投产后，公司产能将随之大幅增长，与之相应的将会增强公司营收及盈利能力。但是考虑到未来外部环境与市场的不确定性，公司已在2023年年报中提示了新建项目可能带来的经营风险，如：新建项目投产后可能存在的产能消化不及预期以及固定资产规模增加导致折旧费用增加的风险等。</w:t>
            </w:r>
          </w:p>
          <w:p w:rsidR="001B6D61" w:rsidRPr="001B6D61" w:rsidRDefault="001B6D61" w:rsidP="00C30E31">
            <w:pPr>
              <w:spacing w:beforeLines="50" w:before="120"/>
              <w:rPr>
                <w:rFonts w:asciiTheme="minorEastAsia" w:hAnsiTheme="minorEastAsia"/>
                <w:b/>
                <w:sz w:val="24"/>
              </w:rPr>
            </w:pPr>
          </w:p>
          <w:p w:rsidR="00C02C11" w:rsidRPr="001519B1" w:rsidRDefault="001B6D61" w:rsidP="00C02C11">
            <w:pPr>
              <w:spacing w:beforeLines="50" w:before="120"/>
              <w:ind w:firstLineChars="200" w:firstLine="482"/>
              <w:rPr>
                <w:rFonts w:asciiTheme="minorEastAsia" w:hAnsiTheme="minorEastAsia"/>
                <w:b/>
                <w:sz w:val="24"/>
              </w:rPr>
            </w:pPr>
            <w:r>
              <w:rPr>
                <w:rFonts w:asciiTheme="minorEastAsia" w:hAnsiTheme="minorEastAsia" w:hint="eastAsia"/>
                <w:b/>
                <w:sz w:val="24"/>
              </w:rPr>
              <w:t>8</w:t>
            </w:r>
            <w:r w:rsidR="00B51A15">
              <w:rPr>
                <w:rFonts w:asciiTheme="minorEastAsia" w:hAnsiTheme="minorEastAsia"/>
                <w:b/>
                <w:sz w:val="24"/>
              </w:rPr>
              <w:t>、</w:t>
            </w:r>
            <w:r w:rsidR="00C02C11" w:rsidRPr="001519B1">
              <w:rPr>
                <w:rFonts w:asciiTheme="minorEastAsia" w:hAnsiTheme="minorEastAsia" w:hint="eastAsia"/>
                <w:b/>
                <w:sz w:val="24"/>
              </w:rPr>
              <w:t>问：</w:t>
            </w:r>
            <w:r w:rsidR="00AF651B">
              <w:rPr>
                <w:rFonts w:asciiTheme="minorEastAsia" w:hAnsiTheme="minorEastAsia" w:hint="eastAsia"/>
                <w:b/>
                <w:sz w:val="24"/>
              </w:rPr>
              <w:t>公司可转</w:t>
            </w:r>
            <w:proofErr w:type="gramStart"/>
            <w:r w:rsidR="00AF651B">
              <w:rPr>
                <w:rFonts w:asciiTheme="minorEastAsia" w:hAnsiTheme="minorEastAsia" w:hint="eastAsia"/>
                <w:b/>
                <w:sz w:val="24"/>
              </w:rPr>
              <w:t>债目前</w:t>
            </w:r>
            <w:proofErr w:type="gramEnd"/>
            <w:r w:rsidR="00AF651B">
              <w:rPr>
                <w:rFonts w:asciiTheme="minorEastAsia" w:hAnsiTheme="minorEastAsia" w:hint="eastAsia"/>
                <w:b/>
                <w:sz w:val="24"/>
              </w:rPr>
              <w:t>是否有下修计划</w:t>
            </w:r>
            <w:r w:rsidR="00C02C11" w:rsidRPr="001519B1">
              <w:rPr>
                <w:rFonts w:asciiTheme="minorEastAsia" w:hAnsiTheme="minorEastAsia" w:hint="eastAsia"/>
                <w:b/>
                <w:sz w:val="24"/>
              </w:rPr>
              <w:t>？</w:t>
            </w:r>
          </w:p>
          <w:p w:rsidR="009029BE" w:rsidRPr="009029BE" w:rsidRDefault="00C02C11" w:rsidP="009029BE">
            <w:pPr>
              <w:spacing w:beforeLines="50" w:before="120"/>
              <w:ind w:firstLineChars="200" w:firstLine="480"/>
              <w:rPr>
                <w:rFonts w:asciiTheme="minorEastAsia" w:hAnsiTheme="minorEastAsia" w:hint="eastAsia"/>
                <w:sz w:val="24"/>
              </w:rPr>
            </w:pPr>
            <w:r w:rsidRPr="00830231">
              <w:rPr>
                <w:rFonts w:asciiTheme="minorEastAsia" w:hAnsiTheme="minorEastAsia" w:hint="eastAsia"/>
                <w:sz w:val="24"/>
              </w:rPr>
              <w:t>答：</w:t>
            </w:r>
            <w:r w:rsidR="00AF651B">
              <w:rPr>
                <w:rFonts w:asciiTheme="minorEastAsia" w:hAnsiTheme="minorEastAsia"/>
                <w:sz w:val="24"/>
              </w:rPr>
              <w:t xml:space="preserve"> </w:t>
            </w:r>
            <w:r w:rsidR="009029BE" w:rsidRPr="009029BE">
              <w:rPr>
                <w:rFonts w:asciiTheme="minorEastAsia" w:hAnsiTheme="minorEastAsia" w:hint="eastAsia"/>
                <w:sz w:val="24"/>
              </w:rPr>
              <w:t>2023年10月12日，公司股票在连续三十个交易日中至少有十五个交易日的收盘价低于当期转股价格的85%，触发“富淼转债”转股价格的向下修正条款。经公司第五届董事会第十次会议审议，公司董事会和管理层会从公平对待所有投资者的角度出发，综合考虑公司的基本情况、股价走势、市场环境等多重因素，以及对公司长期稳健发展与内在价值的信心，决定本次</w:t>
            </w:r>
            <w:proofErr w:type="gramStart"/>
            <w:r w:rsidR="009029BE" w:rsidRPr="009029BE">
              <w:rPr>
                <w:rFonts w:asciiTheme="minorEastAsia" w:hAnsiTheme="minorEastAsia" w:hint="eastAsia"/>
                <w:sz w:val="24"/>
              </w:rPr>
              <w:t>不</w:t>
            </w:r>
            <w:proofErr w:type="gramEnd"/>
            <w:r w:rsidR="009029BE" w:rsidRPr="009029BE">
              <w:rPr>
                <w:rFonts w:asciiTheme="minorEastAsia" w:hAnsiTheme="minorEastAsia" w:hint="eastAsia"/>
                <w:sz w:val="24"/>
              </w:rPr>
              <w:t>向下修正“富淼转债”转股价格，同时在未来六个月内（即2023年10月13日至2024年4月12日），如再次触发“富淼转债”转股价格向下修正条款，亦不提出向下修正方案。下一触发转股价格修正条件的期间，将在2024年4月15日开始重新计算。</w:t>
            </w:r>
          </w:p>
          <w:p w:rsidR="00C30E31" w:rsidRPr="009029BE" w:rsidRDefault="009029BE" w:rsidP="009029BE">
            <w:pPr>
              <w:spacing w:beforeLines="50" w:before="120"/>
              <w:ind w:firstLineChars="200" w:firstLine="480"/>
              <w:rPr>
                <w:rFonts w:asciiTheme="minorEastAsia" w:hAnsiTheme="minorEastAsia"/>
                <w:sz w:val="24"/>
              </w:rPr>
            </w:pPr>
            <w:r w:rsidRPr="009029BE">
              <w:rPr>
                <w:rFonts w:asciiTheme="minorEastAsia" w:hAnsiTheme="minorEastAsia" w:hint="eastAsia"/>
                <w:sz w:val="24"/>
              </w:rPr>
              <w:t>在此期间，</w:t>
            </w:r>
            <w:r>
              <w:rPr>
                <w:rFonts w:asciiTheme="minorEastAsia" w:hAnsiTheme="minorEastAsia" w:hint="eastAsia"/>
                <w:sz w:val="24"/>
              </w:rPr>
              <w:t>我们</w:t>
            </w:r>
            <w:r w:rsidRPr="009029BE">
              <w:rPr>
                <w:rFonts w:asciiTheme="minorEastAsia" w:hAnsiTheme="minorEastAsia" w:hint="eastAsia"/>
                <w:sz w:val="24"/>
              </w:rPr>
              <w:t>将密切关注市场动态，若市场条件再次触发“富淼转债”转股价格的向下修正条件，届时公司董事会将再次召集会议，根据市场情况、公司实际经营状况及</w:t>
            </w:r>
            <w:r w:rsidRPr="009029BE">
              <w:rPr>
                <w:rFonts w:asciiTheme="minorEastAsia" w:hAnsiTheme="minorEastAsia" w:hint="eastAsia"/>
                <w:sz w:val="24"/>
              </w:rPr>
              <w:t>维护公司和投资者的共同利益</w:t>
            </w:r>
            <w:r w:rsidRPr="009029BE">
              <w:rPr>
                <w:rFonts w:asciiTheme="minorEastAsia" w:hAnsiTheme="minorEastAsia" w:hint="eastAsia"/>
                <w:sz w:val="24"/>
              </w:rPr>
              <w:t>，审慎决策是否行使“富淼转债”的转股价格向下修正权利。</w:t>
            </w:r>
          </w:p>
        </w:tc>
      </w:tr>
      <w:tr w:rsidR="00DC1F0B" w:rsidRPr="007C3A87" w:rsidTr="00A271E5">
        <w:trPr>
          <w:trHeight w:val="643"/>
        </w:trPr>
        <w:tc>
          <w:tcPr>
            <w:tcW w:w="2235" w:type="dxa"/>
            <w:vAlign w:val="center"/>
          </w:tcPr>
          <w:p w:rsidR="00DC1F0B" w:rsidRPr="007C3A87" w:rsidRDefault="00DC1F0B" w:rsidP="00923F20">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lastRenderedPageBreak/>
              <w:t>附件清单（如有）</w:t>
            </w:r>
          </w:p>
        </w:tc>
        <w:tc>
          <w:tcPr>
            <w:tcW w:w="6378" w:type="dxa"/>
            <w:vAlign w:val="center"/>
          </w:tcPr>
          <w:p w:rsidR="00DC1F0B" w:rsidRPr="007C3A87" w:rsidRDefault="00CE76E0" w:rsidP="00401CEB">
            <w:pPr>
              <w:widowControl/>
              <w:tabs>
                <w:tab w:val="left" w:pos="1475"/>
              </w:tabs>
              <w:spacing w:before="50" w:after="50" w:line="300" w:lineRule="auto"/>
              <w:rPr>
                <w:rFonts w:ascii="Times New Roman" w:hAnsi="Times New Roman"/>
                <w:kern w:val="0"/>
                <w:sz w:val="22"/>
              </w:rPr>
            </w:pPr>
            <w:r w:rsidRPr="007C3A87">
              <w:rPr>
                <w:rFonts w:ascii="Times New Roman" w:hAnsi="Times New Roman" w:hint="eastAsia"/>
                <w:kern w:val="0"/>
                <w:sz w:val="22"/>
              </w:rPr>
              <w:t>无</w:t>
            </w:r>
          </w:p>
        </w:tc>
      </w:tr>
      <w:tr w:rsidR="00DC1F0B" w:rsidRPr="00F048E9" w:rsidTr="00A271E5">
        <w:trPr>
          <w:trHeight w:val="772"/>
        </w:trPr>
        <w:tc>
          <w:tcPr>
            <w:tcW w:w="2235" w:type="dxa"/>
            <w:vAlign w:val="center"/>
          </w:tcPr>
          <w:p w:rsidR="00DC1F0B" w:rsidRPr="007C3A87" w:rsidRDefault="00DC1F0B" w:rsidP="00923F20">
            <w:pPr>
              <w:spacing w:before="50" w:after="50" w:line="300" w:lineRule="auto"/>
              <w:rPr>
                <w:rFonts w:ascii="Times New Roman" w:hAnsi="Times New Roman"/>
                <w:b/>
                <w:bCs/>
                <w:iCs/>
                <w:kern w:val="0"/>
                <w:sz w:val="24"/>
              </w:rPr>
            </w:pPr>
            <w:r w:rsidRPr="007C3A87">
              <w:rPr>
                <w:rFonts w:ascii="Times New Roman" w:hAnsi="Times New Roman" w:hint="eastAsia"/>
                <w:b/>
                <w:bCs/>
                <w:iCs/>
                <w:kern w:val="0"/>
                <w:sz w:val="24"/>
              </w:rPr>
              <w:t>日期</w:t>
            </w:r>
          </w:p>
        </w:tc>
        <w:tc>
          <w:tcPr>
            <w:tcW w:w="6378" w:type="dxa"/>
            <w:vAlign w:val="center"/>
          </w:tcPr>
          <w:p w:rsidR="00DC1F0B" w:rsidRPr="002033C0" w:rsidRDefault="00401CEB" w:rsidP="00855BE5">
            <w:pPr>
              <w:widowControl/>
              <w:tabs>
                <w:tab w:val="left" w:pos="1475"/>
              </w:tabs>
              <w:spacing w:before="50" w:after="50" w:line="300" w:lineRule="auto"/>
              <w:rPr>
                <w:rFonts w:ascii="Times New Roman" w:hAnsi="Times New Roman"/>
                <w:kern w:val="0"/>
                <w:sz w:val="22"/>
              </w:rPr>
            </w:pPr>
            <w:r w:rsidRPr="007C3A87">
              <w:rPr>
                <w:rFonts w:ascii="Times New Roman" w:hAnsi="Times New Roman" w:hint="eastAsia"/>
                <w:kern w:val="0"/>
                <w:sz w:val="22"/>
              </w:rPr>
              <w:t>202</w:t>
            </w:r>
            <w:r w:rsidR="00855BE5">
              <w:rPr>
                <w:rFonts w:ascii="Times New Roman" w:hAnsi="Times New Roman" w:hint="eastAsia"/>
                <w:kern w:val="0"/>
                <w:sz w:val="22"/>
              </w:rPr>
              <w:t>4</w:t>
            </w:r>
            <w:r w:rsidRPr="007C3A87">
              <w:rPr>
                <w:rFonts w:ascii="Times New Roman" w:hAnsi="Times New Roman" w:hint="eastAsia"/>
                <w:kern w:val="0"/>
                <w:sz w:val="22"/>
              </w:rPr>
              <w:t>年</w:t>
            </w:r>
            <w:r w:rsidR="00855BE5">
              <w:rPr>
                <w:rFonts w:ascii="Times New Roman" w:hAnsi="Times New Roman" w:hint="eastAsia"/>
                <w:kern w:val="0"/>
                <w:sz w:val="22"/>
              </w:rPr>
              <w:t>4</w:t>
            </w:r>
            <w:r w:rsidRPr="007C3A87">
              <w:rPr>
                <w:rFonts w:ascii="Times New Roman" w:hAnsi="Times New Roman" w:hint="eastAsia"/>
                <w:kern w:val="0"/>
                <w:sz w:val="22"/>
              </w:rPr>
              <w:t>月</w:t>
            </w:r>
            <w:r w:rsidR="00855BE5">
              <w:rPr>
                <w:rFonts w:ascii="Times New Roman" w:hAnsi="Times New Roman" w:hint="eastAsia"/>
                <w:kern w:val="0"/>
                <w:sz w:val="22"/>
              </w:rPr>
              <w:t>9</w:t>
            </w:r>
            <w:r w:rsidRPr="007C3A87">
              <w:rPr>
                <w:rFonts w:ascii="Times New Roman" w:hAnsi="Times New Roman" w:hint="eastAsia"/>
                <w:kern w:val="0"/>
                <w:sz w:val="22"/>
              </w:rPr>
              <w:t>日</w:t>
            </w:r>
          </w:p>
        </w:tc>
      </w:tr>
    </w:tbl>
    <w:p w:rsidR="00DC1F0B" w:rsidRPr="00DF402F" w:rsidRDefault="00DC1F0B" w:rsidP="00DC1F0B">
      <w:pPr>
        <w:spacing w:before="50" w:after="50" w:line="300" w:lineRule="auto"/>
        <w:ind w:firstLine="1365"/>
        <w:rPr>
          <w:rFonts w:ascii="Times New Roman" w:hAnsi="Times New Roman"/>
        </w:rPr>
      </w:pPr>
    </w:p>
    <w:p w:rsidR="00DC1F0B" w:rsidRPr="00DF402F" w:rsidRDefault="00DC1F0B" w:rsidP="00DC1F0B">
      <w:pPr>
        <w:spacing w:before="50" w:after="50" w:line="300" w:lineRule="auto"/>
        <w:ind w:firstLine="1365"/>
        <w:rPr>
          <w:rFonts w:ascii="Times New Roman" w:hAnsi="Times New Roman"/>
        </w:rPr>
      </w:pPr>
    </w:p>
    <w:p w:rsidR="00F13919" w:rsidRPr="002528B3" w:rsidRDefault="00F13919" w:rsidP="00246CD8">
      <w:pPr>
        <w:spacing w:line="360" w:lineRule="auto"/>
        <w:ind w:firstLineChars="200" w:firstLine="420"/>
        <w:rPr>
          <w:szCs w:val="21"/>
        </w:rPr>
      </w:pPr>
    </w:p>
    <w:sectPr w:rsidR="00F13919" w:rsidRPr="002528B3" w:rsidSect="00923F20">
      <w:pgSz w:w="11900" w:h="16838"/>
      <w:pgMar w:top="1276"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D9" w:rsidRDefault="009966D9" w:rsidP="00DC1F0B">
      <w:r>
        <w:separator/>
      </w:r>
    </w:p>
  </w:endnote>
  <w:endnote w:type="continuationSeparator" w:id="0">
    <w:p w:rsidR="009966D9" w:rsidRDefault="009966D9" w:rsidP="00DC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D9" w:rsidRDefault="009966D9" w:rsidP="00DC1F0B">
      <w:r>
        <w:separator/>
      </w:r>
    </w:p>
  </w:footnote>
  <w:footnote w:type="continuationSeparator" w:id="0">
    <w:p w:rsidR="009966D9" w:rsidRDefault="009966D9" w:rsidP="00DC1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7AA"/>
    <w:multiLevelType w:val="hybridMultilevel"/>
    <w:tmpl w:val="112E995E"/>
    <w:lvl w:ilvl="0" w:tplc="BC8E3BD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0D55A3"/>
    <w:multiLevelType w:val="hybridMultilevel"/>
    <w:tmpl w:val="AABA2390"/>
    <w:lvl w:ilvl="0" w:tplc="B87855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CD2695"/>
    <w:multiLevelType w:val="hybridMultilevel"/>
    <w:tmpl w:val="12D23E9E"/>
    <w:lvl w:ilvl="0" w:tplc="047AFB52">
      <w:start w:val="1"/>
      <w:numFmt w:val="decimal"/>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1B5352"/>
    <w:multiLevelType w:val="hybridMultilevel"/>
    <w:tmpl w:val="1C4E2D1A"/>
    <w:lvl w:ilvl="0" w:tplc="70A4E068">
      <w:start w:val="1"/>
      <w:numFmt w:val="decimal"/>
      <w:lvlText w:val="%1、"/>
      <w:lvlJc w:val="left"/>
      <w:pPr>
        <w:ind w:left="895" w:hanging="720"/>
      </w:pPr>
      <w:rPr>
        <w:rFonts w:hint="default"/>
      </w:rPr>
    </w:lvl>
    <w:lvl w:ilvl="1" w:tplc="CC569A4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504938"/>
    <w:multiLevelType w:val="hybridMultilevel"/>
    <w:tmpl w:val="7C925360"/>
    <w:lvl w:ilvl="0" w:tplc="7BB40DFA">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2A4883"/>
    <w:multiLevelType w:val="hybridMultilevel"/>
    <w:tmpl w:val="A6685294"/>
    <w:lvl w:ilvl="0" w:tplc="B66AB4B8">
      <w:start w:val="1"/>
      <w:numFmt w:val="decimal"/>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551EC2"/>
    <w:multiLevelType w:val="hybridMultilevel"/>
    <w:tmpl w:val="40D6E692"/>
    <w:lvl w:ilvl="0" w:tplc="9DB0D466">
      <w:start w:val="1"/>
      <w:numFmt w:val="decimal"/>
      <w:lvlText w:val="%1、"/>
      <w:lvlJc w:val="left"/>
      <w:pPr>
        <w:ind w:left="2803" w:hanging="360"/>
      </w:pPr>
      <w:rPr>
        <w:rFonts w:ascii="Arial" w:hAnsi="Arial" w:cs="Arial" w:hint="default"/>
        <w:b/>
      </w:rPr>
    </w:lvl>
    <w:lvl w:ilvl="1" w:tplc="31AE5A10">
      <w:start w:val="1"/>
      <w:numFmt w:val="decimalEnclosedCircle"/>
      <w:lvlText w:val="%2"/>
      <w:lvlJc w:val="left"/>
      <w:pPr>
        <w:ind w:left="1669" w:hanging="360"/>
      </w:pPr>
      <w:rPr>
        <w:rFonts w:hint="default"/>
      </w:rPr>
    </w:lvl>
    <w:lvl w:ilvl="2" w:tplc="0409001B" w:tentative="1">
      <w:start w:val="1"/>
      <w:numFmt w:val="lowerRoman"/>
      <w:lvlText w:val="%3."/>
      <w:lvlJc w:val="right"/>
      <w:pPr>
        <w:ind w:left="3703" w:hanging="420"/>
      </w:pPr>
    </w:lvl>
    <w:lvl w:ilvl="3" w:tplc="0409000F" w:tentative="1">
      <w:start w:val="1"/>
      <w:numFmt w:val="decimal"/>
      <w:lvlText w:val="%4."/>
      <w:lvlJc w:val="left"/>
      <w:pPr>
        <w:ind w:left="4123" w:hanging="420"/>
      </w:pPr>
    </w:lvl>
    <w:lvl w:ilvl="4" w:tplc="04090019" w:tentative="1">
      <w:start w:val="1"/>
      <w:numFmt w:val="lowerLetter"/>
      <w:lvlText w:val="%5)"/>
      <w:lvlJc w:val="left"/>
      <w:pPr>
        <w:ind w:left="4543" w:hanging="420"/>
      </w:pPr>
    </w:lvl>
    <w:lvl w:ilvl="5" w:tplc="0409001B" w:tentative="1">
      <w:start w:val="1"/>
      <w:numFmt w:val="lowerRoman"/>
      <w:lvlText w:val="%6."/>
      <w:lvlJc w:val="right"/>
      <w:pPr>
        <w:ind w:left="4963" w:hanging="420"/>
      </w:pPr>
    </w:lvl>
    <w:lvl w:ilvl="6" w:tplc="0409000F" w:tentative="1">
      <w:start w:val="1"/>
      <w:numFmt w:val="decimal"/>
      <w:lvlText w:val="%7."/>
      <w:lvlJc w:val="left"/>
      <w:pPr>
        <w:ind w:left="5383" w:hanging="420"/>
      </w:pPr>
    </w:lvl>
    <w:lvl w:ilvl="7" w:tplc="04090019" w:tentative="1">
      <w:start w:val="1"/>
      <w:numFmt w:val="lowerLetter"/>
      <w:lvlText w:val="%8)"/>
      <w:lvlJc w:val="left"/>
      <w:pPr>
        <w:ind w:left="5803" w:hanging="420"/>
      </w:pPr>
    </w:lvl>
    <w:lvl w:ilvl="8" w:tplc="0409001B" w:tentative="1">
      <w:start w:val="1"/>
      <w:numFmt w:val="lowerRoman"/>
      <w:lvlText w:val="%9."/>
      <w:lvlJc w:val="right"/>
      <w:pPr>
        <w:ind w:left="6223" w:hanging="420"/>
      </w:pPr>
    </w:lvl>
  </w:abstractNum>
  <w:abstractNum w:abstractNumId="7">
    <w:nsid w:val="28F73EB9"/>
    <w:multiLevelType w:val="hybridMultilevel"/>
    <w:tmpl w:val="3BC8E8DC"/>
    <w:lvl w:ilvl="0" w:tplc="1EC83BB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F66C80"/>
    <w:multiLevelType w:val="hybridMultilevel"/>
    <w:tmpl w:val="262E3AA4"/>
    <w:lvl w:ilvl="0" w:tplc="093698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D269F6"/>
    <w:multiLevelType w:val="hybridMultilevel"/>
    <w:tmpl w:val="5DBA2F50"/>
    <w:lvl w:ilvl="0" w:tplc="76D2E106">
      <w:start w:val="1"/>
      <w:numFmt w:val="lowerLetter"/>
      <w:lvlText w:val="（%1）"/>
      <w:lvlJc w:val="left"/>
      <w:pPr>
        <w:ind w:left="1545" w:hanging="10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7433D79"/>
    <w:multiLevelType w:val="hybridMultilevel"/>
    <w:tmpl w:val="3BB64476"/>
    <w:lvl w:ilvl="0" w:tplc="CC569A4A">
      <w:start w:val="1"/>
      <w:numFmt w:val="decimal"/>
      <w:lvlText w:val="（%1）"/>
      <w:lvlJc w:val="left"/>
      <w:pPr>
        <w:ind w:left="860" w:hanging="4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1">
    <w:nsid w:val="3C9E4551"/>
    <w:multiLevelType w:val="hybridMultilevel"/>
    <w:tmpl w:val="3E7A3F58"/>
    <w:lvl w:ilvl="0" w:tplc="993041D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7D337E8"/>
    <w:multiLevelType w:val="hybridMultilevel"/>
    <w:tmpl w:val="17883B42"/>
    <w:lvl w:ilvl="0" w:tplc="CC569A4A">
      <w:start w:val="1"/>
      <w:numFmt w:val="decimal"/>
      <w:lvlText w:val="（%1）"/>
      <w:lvlJc w:val="left"/>
      <w:pPr>
        <w:ind w:left="860" w:hanging="420"/>
      </w:pPr>
      <w:rPr>
        <w:rFonts w:hint="default"/>
      </w:rPr>
    </w:lvl>
    <w:lvl w:ilvl="1" w:tplc="DF44B31C">
      <w:start w:val="4"/>
      <w:numFmt w:val="decimal"/>
      <w:lvlText w:val="%2、"/>
      <w:lvlJc w:val="left"/>
      <w:pPr>
        <w:ind w:left="1235" w:hanging="375"/>
      </w:pPr>
      <w:rPr>
        <w:rFonts w:hint="default"/>
      </w:r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3">
    <w:nsid w:val="4826171F"/>
    <w:multiLevelType w:val="hybridMultilevel"/>
    <w:tmpl w:val="C2B0607A"/>
    <w:lvl w:ilvl="0" w:tplc="5BF661D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5C5FEE"/>
    <w:multiLevelType w:val="hybridMultilevel"/>
    <w:tmpl w:val="031A7E1E"/>
    <w:lvl w:ilvl="0" w:tplc="09E4A912">
      <w:start w:val="1"/>
      <w:numFmt w:val="decimal"/>
      <w:lvlText w:val="（%1）"/>
      <w:lvlJc w:val="left"/>
      <w:pPr>
        <w:ind w:left="120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26524B"/>
    <w:multiLevelType w:val="hybridMultilevel"/>
    <w:tmpl w:val="8A681C2A"/>
    <w:lvl w:ilvl="0" w:tplc="CC569A4A">
      <w:start w:val="1"/>
      <w:numFmt w:val="decimal"/>
      <w:lvlText w:val="（%1）"/>
      <w:lvlJc w:val="left"/>
      <w:pPr>
        <w:ind w:left="860" w:hanging="4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6">
    <w:nsid w:val="6A353EF6"/>
    <w:multiLevelType w:val="hybridMultilevel"/>
    <w:tmpl w:val="A1188FDE"/>
    <w:lvl w:ilvl="0" w:tplc="C7C2D5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4"/>
  </w:num>
  <w:num w:numId="3">
    <w:abstractNumId w:val="9"/>
  </w:num>
  <w:num w:numId="4">
    <w:abstractNumId w:val="15"/>
  </w:num>
  <w:num w:numId="5">
    <w:abstractNumId w:val="10"/>
  </w:num>
  <w:num w:numId="6">
    <w:abstractNumId w:val="12"/>
  </w:num>
  <w:num w:numId="7">
    <w:abstractNumId w:val="0"/>
  </w:num>
  <w:num w:numId="8">
    <w:abstractNumId w:val="7"/>
  </w:num>
  <w:num w:numId="9">
    <w:abstractNumId w:val="13"/>
  </w:num>
  <w:num w:numId="10">
    <w:abstractNumId w:val="11"/>
  </w:num>
  <w:num w:numId="11">
    <w:abstractNumId w:val="6"/>
  </w:num>
  <w:num w:numId="12">
    <w:abstractNumId w:val="4"/>
  </w:num>
  <w:num w:numId="13">
    <w:abstractNumId w:val="5"/>
  </w:num>
  <w:num w:numId="14">
    <w:abstractNumId w:val="2"/>
  </w:num>
  <w:num w:numId="15">
    <w:abstractNumId w:val="8"/>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7A"/>
    <w:rsid w:val="00000D9D"/>
    <w:rsid w:val="00004042"/>
    <w:rsid w:val="00012127"/>
    <w:rsid w:val="000204FC"/>
    <w:rsid w:val="00026521"/>
    <w:rsid w:val="00032913"/>
    <w:rsid w:val="000358A7"/>
    <w:rsid w:val="00037B53"/>
    <w:rsid w:val="00040A5E"/>
    <w:rsid w:val="0004266C"/>
    <w:rsid w:val="000436DC"/>
    <w:rsid w:val="00044891"/>
    <w:rsid w:val="000504B7"/>
    <w:rsid w:val="0005249D"/>
    <w:rsid w:val="00052733"/>
    <w:rsid w:val="00052D2F"/>
    <w:rsid w:val="00054069"/>
    <w:rsid w:val="000556AC"/>
    <w:rsid w:val="000572CE"/>
    <w:rsid w:val="00061A6D"/>
    <w:rsid w:val="00061E96"/>
    <w:rsid w:val="0006377C"/>
    <w:rsid w:val="00074DA2"/>
    <w:rsid w:val="00082B0B"/>
    <w:rsid w:val="00086F4D"/>
    <w:rsid w:val="00087157"/>
    <w:rsid w:val="00093575"/>
    <w:rsid w:val="00096B46"/>
    <w:rsid w:val="00096F93"/>
    <w:rsid w:val="0009728B"/>
    <w:rsid w:val="0009788E"/>
    <w:rsid w:val="000A25EC"/>
    <w:rsid w:val="000A398F"/>
    <w:rsid w:val="000A3CF7"/>
    <w:rsid w:val="000B01A3"/>
    <w:rsid w:val="000C4C02"/>
    <w:rsid w:val="000D56A2"/>
    <w:rsid w:val="000E1421"/>
    <w:rsid w:val="000E1D09"/>
    <w:rsid w:val="000E1E65"/>
    <w:rsid w:val="000E45D6"/>
    <w:rsid w:val="000E7641"/>
    <w:rsid w:val="000F3639"/>
    <w:rsid w:val="00103031"/>
    <w:rsid w:val="00110298"/>
    <w:rsid w:val="001141CE"/>
    <w:rsid w:val="00114C28"/>
    <w:rsid w:val="00115353"/>
    <w:rsid w:val="00120B08"/>
    <w:rsid w:val="001229FF"/>
    <w:rsid w:val="001253C7"/>
    <w:rsid w:val="001263FE"/>
    <w:rsid w:val="00126552"/>
    <w:rsid w:val="00130434"/>
    <w:rsid w:val="00131E1E"/>
    <w:rsid w:val="00132C23"/>
    <w:rsid w:val="00135559"/>
    <w:rsid w:val="001519B1"/>
    <w:rsid w:val="00152169"/>
    <w:rsid w:val="0015425A"/>
    <w:rsid w:val="001547F6"/>
    <w:rsid w:val="00156A2D"/>
    <w:rsid w:val="00160208"/>
    <w:rsid w:val="00161FD6"/>
    <w:rsid w:val="001709E1"/>
    <w:rsid w:val="001733BD"/>
    <w:rsid w:val="00175A8F"/>
    <w:rsid w:val="00180916"/>
    <w:rsid w:val="00183AAC"/>
    <w:rsid w:val="00193B22"/>
    <w:rsid w:val="001A1FAB"/>
    <w:rsid w:val="001A428E"/>
    <w:rsid w:val="001B0E2F"/>
    <w:rsid w:val="001B6D61"/>
    <w:rsid w:val="001C3019"/>
    <w:rsid w:val="001C577F"/>
    <w:rsid w:val="001D02EE"/>
    <w:rsid w:val="001D1DC1"/>
    <w:rsid w:val="001D2124"/>
    <w:rsid w:val="001D3736"/>
    <w:rsid w:val="001D443B"/>
    <w:rsid w:val="001D4ECE"/>
    <w:rsid w:val="001D66C4"/>
    <w:rsid w:val="001E5A6F"/>
    <w:rsid w:val="001E5EF3"/>
    <w:rsid w:val="001F1E1A"/>
    <w:rsid w:val="001F2D68"/>
    <w:rsid w:val="001F4AA8"/>
    <w:rsid w:val="00201237"/>
    <w:rsid w:val="002019A2"/>
    <w:rsid w:val="002033C0"/>
    <w:rsid w:val="00205370"/>
    <w:rsid w:val="002165F8"/>
    <w:rsid w:val="002204D2"/>
    <w:rsid w:val="002236B8"/>
    <w:rsid w:val="00225109"/>
    <w:rsid w:val="00235B5A"/>
    <w:rsid w:val="00242B86"/>
    <w:rsid w:val="002437BE"/>
    <w:rsid w:val="002438FD"/>
    <w:rsid w:val="00243E72"/>
    <w:rsid w:val="00246CD8"/>
    <w:rsid w:val="002528B3"/>
    <w:rsid w:val="00253908"/>
    <w:rsid w:val="00262F48"/>
    <w:rsid w:val="00265924"/>
    <w:rsid w:val="00266932"/>
    <w:rsid w:val="00270C0D"/>
    <w:rsid w:val="002765DD"/>
    <w:rsid w:val="002849AE"/>
    <w:rsid w:val="002859DB"/>
    <w:rsid w:val="00287DF5"/>
    <w:rsid w:val="002900FE"/>
    <w:rsid w:val="002969FE"/>
    <w:rsid w:val="002A2BF7"/>
    <w:rsid w:val="002B0664"/>
    <w:rsid w:val="002B0731"/>
    <w:rsid w:val="002B0FD0"/>
    <w:rsid w:val="002B25F3"/>
    <w:rsid w:val="002B433A"/>
    <w:rsid w:val="002B6D42"/>
    <w:rsid w:val="002C0FA9"/>
    <w:rsid w:val="002C5E4A"/>
    <w:rsid w:val="002C6BBA"/>
    <w:rsid w:val="002C74E6"/>
    <w:rsid w:val="002D2CE2"/>
    <w:rsid w:val="002D3332"/>
    <w:rsid w:val="002D3C96"/>
    <w:rsid w:val="002D59D9"/>
    <w:rsid w:val="002D6751"/>
    <w:rsid w:val="002E7ABF"/>
    <w:rsid w:val="002F1062"/>
    <w:rsid w:val="002F2497"/>
    <w:rsid w:val="002F7D90"/>
    <w:rsid w:val="00304979"/>
    <w:rsid w:val="00306E23"/>
    <w:rsid w:val="00322A99"/>
    <w:rsid w:val="00325902"/>
    <w:rsid w:val="00333771"/>
    <w:rsid w:val="00347052"/>
    <w:rsid w:val="00352307"/>
    <w:rsid w:val="00353825"/>
    <w:rsid w:val="0035401C"/>
    <w:rsid w:val="003543AA"/>
    <w:rsid w:val="00366205"/>
    <w:rsid w:val="00366ADF"/>
    <w:rsid w:val="00384811"/>
    <w:rsid w:val="003930D4"/>
    <w:rsid w:val="003934E5"/>
    <w:rsid w:val="003961E8"/>
    <w:rsid w:val="003A604D"/>
    <w:rsid w:val="003B00CB"/>
    <w:rsid w:val="003B08FA"/>
    <w:rsid w:val="003B446E"/>
    <w:rsid w:val="003B6C09"/>
    <w:rsid w:val="003C60E9"/>
    <w:rsid w:val="003D6C15"/>
    <w:rsid w:val="003D6DD3"/>
    <w:rsid w:val="003E3FA2"/>
    <w:rsid w:val="003E428D"/>
    <w:rsid w:val="003E4CF0"/>
    <w:rsid w:val="003E576A"/>
    <w:rsid w:val="003E5801"/>
    <w:rsid w:val="003F046E"/>
    <w:rsid w:val="00400AD9"/>
    <w:rsid w:val="00401C06"/>
    <w:rsid w:val="00401CEB"/>
    <w:rsid w:val="004146CD"/>
    <w:rsid w:val="00414C4D"/>
    <w:rsid w:val="00414DA1"/>
    <w:rsid w:val="004228D9"/>
    <w:rsid w:val="00437066"/>
    <w:rsid w:val="00437A98"/>
    <w:rsid w:val="004404A5"/>
    <w:rsid w:val="00444A4B"/>
    <w:rsid w:val="00462C0C"/>
    <w:rsid w:val="0047306F"/>
    <w:rsid w:val="00481BEF"/>
    <w:rsid w:val="00490637"/>
    <w:rsid w:val="004956CF"/>
    <w:rsid w:val="004A0637"/>
    <w:rsid w:val="004A59C6"/>
    <w:rsid w:val="004A6D6E"/>
    <w:rsid w:val="004B157A"/>
    <w:rsid w:val="004B6B01"/>
    <w:rsid w:val="004D2382"/>
    <w:rsid w:val="004D4CCB"/>
    <w:rsid w:val="004D5EDA"/>
    <w:rsid w:val="004D6AAD"/>
    <w:rsid w:val="004E5AE2"/>
    <w:rsid w:val="004F3A80"/>
    <w:rsid w:val="005014C8"/>
    <w:rsid w:val="005035BC"/>
    <w:rsid w:val="00507EC5"/>
    <w:rsid w:val="00512621"/>
    <w:rsid w:val="00512B35"/>
    <w:rsid w:val="00525382"/>
    <w:rsid w:val="0052694C"/>
    <w:rsid w:val="005270D2"/>
    <w:rsid w:val="00533F38"/>
    <w:rsid w:val="00536471"/>
    <w:rsid w:val="00537BC4"/>
    <w:rsid w:val="00542142"/>
    <w:rsid w:val="0054693C"/>
    <w:rsid w:val="00547B85"/>
    <w:rsid w:val="005615EF"/>
    <w:rsid w:val="00562866"/>
    <w:rsid w:val="00571BC3"/>
    <w:rsid w:val="00572BF7"/>
    <w:rsid w:val="00572BFE"/>
    <w:rsid w:val="005774A9"/>
    <w:rsid w:val="00580611"/>
    <w:rsid w:val="005837D0"/>
    <w:rsid w:val="00585749"/>
    <w:rsid w:val="00587869"/>
    <w:rsid w:val="00587C5E"/>
    <w:rsid w:val="00590F0C"/>
    <w:rsid w:val="0059358C"/>
    <w:rsid w:val="005965BE"/>
    <w:rsid w:val="005A4B16"/>
    <w:rsid w:val="005A7522"/>
    <w:rsid w:val="005B15DD"/>
    <w:rsid w:val="005B1F8A"/>
    <w:rsid w:val="005B794C"/>
    <w:rsid w:val="005C4F16"/>
    <w:rsid w:val="005C6E37"/>
    <w:rsid w:val="005C6F86"/>
    <w:rsid w:val="005D0189"/>
    <w:rsid w:val="005D7975"/>
    <w:rsid w:val="005E1F22"/>
    <w:rsid w:val="005E7EA6"/>
    <w:rsid w:val="005F6F96"/>
    <w:rsid w:val="005F7081"/>
    <w:rsid w:val="00601479"/>
    <w:rsid w:val="0061300C"/>
    <w:rsid w:val="006204B9"/>
    <w:rsid w:val="00624A41"/>
    <w:rsid w:val="00627D9E"/>
    <w:rsid w:val="0063011B"/>
    <w:rsid w:val="00641E01"/>
    <w:rsid w:val="006436F9"/>
    <w:rsid w:val="00650D4F"/>
    <w:rsid w:val="00652572"/>
    <w:rsid w:val="00661675"/>
    <w:rsid w:val="006648CA"/>
    <w:rsid w:val="00672B32"/>
    <w:rsid w:val="00672D5D"/>
    <w:rsid w:val="006731E5"/>
    <w:rsid w:val="006745F1"/>
    <w:rsid w:val="0067465D"/>
    <w:rsid w:val="006750C0"/>
    <w:rsid w:val="00686236"/>
    <w:rsid w:val="006A1836"/>
    <w:rsid w:val="006A1AA5"/>
    <w:rsid w:val="006B257E"/>
    <w:rsid w:val="006B4087"/>
    <w:rsid w:val="006B6CEC"/>
    <w:rsid w:val="006B733B"/>
    <w:rsid w:val="006D0A28"/>
    <w:rsid w:val="006D0BF4"/>
    <w:rsid w:val="006D52C7"/>
    <w:rsid w:val="006D62F8"/>
    <w:rsid w:val="006D7D70"/>
    <w:rsid w:val="006E4168"/>
    <w:rsid w:val="006E4682"/>
    <w:rsid w:val="006E731C"/>
    <w:rsid w:val="006F0D52"/>
    <w:rsid w:val="006F29AC"/>
    <w:rsid w:val="006F441E"/>
    <w:rsid w:val="006F5E65"/>
    <w:rsid w:val="006F6BAF"/>
    <w:rsid w:val="007118C8"/>
    <w:rsid w:val="00716664"/>
    <w:rsid w:val="00717680"/>
    <w:rsid w:val="00724C60"/>
    <w:rsid w:val="00741693"/>
    <w:rsid w:val="007453EA"/>
    <w:rsid w:val="0074658B"/>
    <w:rsid w:val="007614F8"/>
    <w:rsid w:val="00764889"/>
    <w:rsid w:val="0077262A"/>
    <w:rsid w:val="00773468"/>
    <w:rsid w:val="00774B01"/>
    <w:rsid w:val="00774BCE"/>
    <w:rsid w:val="00783FF3"/>
    <w:rsid w:val="0078671D"/>
    <w:rsid w:val="0079079A"/>
    <w:rsid w:val="00794967"/>
    <w:rsid w:val="007A4007"/>
    <w:rsid w:val="007B36E4"/>
    <w:rsid w:val="007C3A87"/>
    <w:rsid w:val="007C40DB"/>
    <w:rsid w:val="007D4C8A"/>
    <w:rsid w:val="007F0D43"/>
    <w:rsid w:val="007F7AA1"/>
    <w:rsid w:val="00802885"/>
    <w:rsid w:val="00802D38"/>
    <w:rsid w:val="0080362B"/>
    <w:rsid w:val="008056F7"/>
    <w:rsid w:val="00806B8C"/>
    <w:rsid w:val="00815471"/>
    <w:rsid w:val="00815FF3"/>
    <w:rsid w:val="0082080D"/>
    <w:rsid w:val="00830231"/>
    <w:rsid w:val="008441A7"/>
    <w:rsid w:val="00850678"/>
    <w:rsid w:val="00855BE5"/>
    <w:rsid w:val="008572A4"/>
    <w:rsid w:val="00865E86"/>
    <w:rsid w:val="00873399"/>
    <w:rsid w:val="008771BB"/>
    <w:rsid w:val="00877764"/>
    <w:rsid w:val="00877E34"/>
    <w:rsid w:val="00881A51"/>
    <w:rsid w:val="00886DF5"/>
    <w:rsid w:val="00887DDC"/>
    <w:rsid w:val="008951B7"/>
    <w:rsid w:val="00895822"/>
    <w:rsid w:val="00895955"/>
    <w:rsid w:val="008A41C1"/>
    <w:rsid w:val="008A4421"/>
    <w:rsid w:val="008A490A"/>
    <w:rsid w:val="008A7544"/>
    <w:rsid w:val="008B714A"/>
    <w:rsid w:val="008C1A28"/>
    <w:rsid w:val="008C6830"/>
    <w:rsid w:val="008D307E"/>
    <w:rsid w:val="008F2973"/>
    <w:rsid w:val="009029BE"/>
    <w:rsid w:val="0091771C"/>
    <w:rsid w:val="009205CD"/>
    <w:rsid w:val="0092114B"/>
    <w:rsid w:val="00923F20"/>
    <w:rsid w:val="00927E94"/>
    <w:rsid w:val="009316F1"/>
    <w:rsid w:val="00933993"/>
    <w:rsid w:val="00954B9E"/>
    <w:rsid w:val="00961F42"/>
    <w:rsid w:val="0096271D"/>
    <w:rsid w:val="00970064"/>
    <w:rsid w:val="00972468"/>
    <w:rsid w:val="00974346"/>
    <w:rsid w:val="0097475E"/>
    <w:rsid w:val="00975D90"/>
    <w:rsid w:val="00975E60"/>
    <w:rsid w:val="0098283D"/>
    <w:rsid w:val="00982DEC"/>
    <w:rsid w:val="00985601"/>
    <w:rsid w:val="00986823"/>
    <w:rsid w:val="00991895"/>
    <w:rsid w:val="0099412B"/>
    <w:rsid w:val="009966D9"/>
    <w:rsid w:val="009A1F96"/>
    <w:rsid w:val="009A1FD7"/>
    <w:rsid w:val="009A440C"/>
    <w:rsid w:val="009A7AD1"/>
    <w:rsid w:val="009B174C"/>
    <w:rsid w:val="009B5016"/>
    <w:rsid w:val="009B7E42"/>
    <w:rsid w:val="009C08BD"/>
    <w:rsid w:val="009C514D"/>
    <w:rsid w:val="009C6864"/>
    <w:rsid w:val="009D3F12"/>
    <w:rsid w:val="009E20AB"/>
    <w:rsid w:val="009E2753"/>
    <w:rsid w:val="009E5390"/>
    <w:rsid w:val="009E5BA6"/>
    <w:rsid w:val="009F6C09"/>
    <w:rsid w:val="00A0172F"/>
    <w:rsid w:val="00A03A6F"/>
    <w:rsid w:val="00A23D03"/>
    <w:rsid w:val="00A271E5"/>
    <w:rsid w:val="00A3487E"/>
    <w:rsid w:val="00A40FDC"/>
    <w:rsid w:val="00A41D8E"/>
    <w:rsid w:val="00A42AAE"/>
    <w:rsid w:val="00A477FB"/>
    <w:rsid w:val="00A54301"/>
    <w:rsid w:val="00A55898"/>
    <w:rsid w:val="00A632AC"/>
    <w:rsid w:val="00A65402"/>
    <w:rsid w:val="00A66AD0"/>
    <w:rsid w:val="00A6705A"/>
    <w:rsid w:val="00A76962"/>
    <w:rsid w:val="00A8167C"/>
    <w:rsid w:val="00A82484"/>
    <w:rsid w:val="00A84C38"/>
    <w:rsid w:val="00A95068"/>
    <w:rsid w:val="00AA32B1"/>
    <w:rsid w:val="00AB47A3"/>
    <w:rsid w:val="00AB5D3C"/>
    <w:rsid w:val="00AB5DCC"/>
    <w:rsid w:val="00AB7E13"/>
    <w:rsid w:val="00AC3044"/>
    <w:rsid w:val="00AD1724"/>
    <w:rsid w:val="00AD74CA"/>
    <w:rsid w:val="00AD7BE1"/>
    <w:rsid w:val="00AF5FF0"/>
    <w:rsid w:val="00AF651B"/>
    <w:rsid w:val="00B04CC4"/>
    <w:rsid w:val="00B06DF4"/>
    <w:rsid w:val="00B20953"/>
    <w:rsid w:val="00B20F47"/>
    <w:rsid w:val="00B21B38"/>
    <w:rsid w:val="00B2294B"/>
    <w:rsid w:val="00B31A13"/>
    <w:rsid w:val="00B32D04"/>
    <w:rsid w:val="00B3300B"/>
    <w:rsid w:val="00B367F1"/>
    <w:rsid w:val="00B40368"/>
    <w:rsid w:val="00B47D2D"/>
    <w:rsid w:val="00B50346"/>
    <w:rsid w:val="00B51074"/>
    <w:rsid w:val="00B51A15"/>
    <w:rsid w:val="00B54302"/>
    <w:rsid w:val="00B55EDC"/>
    <w:rsid w:val="00B64F26"/>
    <w:rsid w:val="00B661D2"/>
    <w:rsid w:val="00B66712"/>
    <w:rsid w:val="00B678AD"/>
    <w:rsid w:val="00B74494"/>
    <w:rsid w:val="00B75B42"/>
    <w:rsid w:val="00B80367"/>
    <w:rsid w:val="00B83907"/>
    <w:rsid w:val="00B87275"/>
    <w:rsid w:val="00B96560"/>
    <w:rsid w:val="00B97CE6"/>
    <w:rsid w:val="00BA123C"/>
    <w:rsid w:val="00BA35DC"/>
    <w:rsid w:val="00BA5C2B"/>
    <w:rsid w:val="00BB1F3C"/>
    <w:rsid w:val="00BB789C"/>
    <w:rsid w:val="00BB7914"/>
    <w:rsid w:val="00BC0189"/>
    <w:rsid w:val="00BD6F1B"/>
    <w:rsid w:val="00BE2D4A"/>
    <w:rsid w:val="00BE3490"/>
    <w:rsid w:val="00BE3C24"/>
    <w:rsid w:val="00BF18C7"/>
    <w:rsid w:val="00BF3571"/>
    <w:rsid w:val="00BF4135"/>
    <w:rsid w:val="00BF47EE"/>
    <w:rsid w:val="00BF56D1"/>
    <w:rsid w:val="00C019B7"/>
    <w:rsid w:val="00C02C11"/>
    <w:rsid w:val="00C0486B"/>
    <w:rsid w:val="00C0585A"/>
    <w:rsid w:val="00C05FAB"/>
    <w:rsid w:val="00C14ABA"/>
    <w:rsid w:val="00C15759"/>
    <w:rsid w:val="00C15D26"/>
    <w:rsid w:val="00C15DD9"/>
    <w:rsid w:val="00C25C53"/>
    <w:rsid w:val="00C271A4"/>
    <w:rsid w:val="00C30E31"/>
    <w:rsid w:val="00C32F4A"/>
    <w:rsid w:val="00C35470"/>
    <w:rsid w:val="00C504D5"/>
    <w:rsid w:val="00C62959"/>
    <w:rsid w:val="00C663D6"/>
    <w:rsid w:val="00C669FA"/>
    <w:rsid w:val="00C8348C"/>
    <w:rsid w:val="00C91486"/>
    <w:rsid w:val="00C91AC7"/>
    <w:rsid w:val="00CA553C"/>
    <w:rsid w:val="00CA76DA"/>
    <w:rsid w:val="00CB0F1F"/>
    <w:rsid w:val="00CB1C46"/>
    <w:rsid w:val="00CB632D"/>
    <w:rsid w:val="00CB68F1"/>
    <w:rsid w:val="00CB6D70"/>
    <w:rsid w:val="00CB7E23"/>
    <w:rsid w:val="00CC1C94"/>
    <w:rsid w:val="00CD2B05"/>
    <w:rsid w:val="00CD459D"/>
    <w:rsid w:val="00CE1906"/>
    <w:rsid w:val="00CE76E0"/>
    <w:rsid w:val="00D0223C"/>
    <w:rsid w:val="00D07856"/>
    <w:rsid w:val="00D13D2A"/>
    <w:rsid w:val="00D17DF5"/>
    <w:rsid w:val="00D225F2"/>
    <w:rsid w:val="00D32D18"/>
    <w:rsid w:val="00D36FA8"/>
    <w:rsid w:val="00D4230E"/>
    <w:rsid w:val="00D549EC"/>
    <w:rsid w:val="00D54DFE"/>
    <w:rsid w:val="00D60F57"/>
    <w:rsid w:val="00D612BD"/>
    <w:rsid w:val="00D63227"/>
    <w:rsid w:val="00D67625"/>
    <w:rsid w:val="00D701C5"/>
    <w:rsid w:val="00D719D6"/>
    <w:rsid w:val="00D739F7"/>
    <w:rsid w:val="00D73DB5"/>
    <w:rsid w:val="00D74024"/>
    <w:rsid w:val="00D7533C"/>
    <w:rsid w:val="00D81E51"/>
    <w:rsid w:val="00D8322F"/>
    <w:rsid w:val="00D83F1E"/>
    <w:rsid w:val="00D92CED"/>
    <w:rsid w:val="00D95D9F"/>
    <w:rsid w:val="00D963CA"/>
    <w:rsid w:val="00DB2831"/>
    <w:rsid w:val="00DB5B7C"/>
    <w:rsid w:val="00DC152A"/>
    <w:rsid w:val="00DC1F0B"/>
    <w:rsid w:val="00DD2BE0"/>
    <w:rsid w:val="00DD4947"/>
    <w:rsid w:val="00DD5F0F"/>
    <w:rsid w:val="00DD71C4"/>
    <w:rsid w:val="00DE1E08"/>
    <w:rsid w:val="00DE5A93"/>
    <w:rsid w:val="00DF0C53"/>
    <w:rsid w:val="00DF0E12"/>
    <w:rsid w:val="00DF3A15"/>
    <w:rsid w:val="00DF3A90"/>
    <w:rsid w:val="00DF4BC6"/>
    <w:rsid w:val="00E02450"/>
    <w:rsid w:val="00E02EF0"/>
    <w:rsid w:val="00E04C6C"/>
    <w:rsid w:val="00E0778E"/>
    <w:rsid w:val="00E24D3F"/>
    <w:rsid w:val="00E30840"/>
    <w:rsid w:val="00E3188A"/>
    <w:rsid w:val="00E34705"/>
    <w:rsid w:val="00E408CB"/>
    <w:rsid w:val="00E41AC8"/>
    <w:rsid w:val="00E43406"/>
    <w:rsid w:val="00E46C42"/>
    <w:rsid w:val="00E545A8"/>
    <w:rsid w:val="00E5669A"/>
    <w:rsid w:val="00E6193F"/>
    <w:rsid w:val="00E66CE8"/>
    <w:rsid w:val="00E66D32"/>
    <w:rsid w:val="00E703D8"/>
    <w:rsid w:val="00E80134"/>
    <w:rsid w:val="00E84055"/>
    <w:rsid w:val="00E84114"/>
    <w:rsid w:val="00E92056"/>
    <w:rsid w:val="00E93619"/>
    <w:rsid w:val="00E93BB9"/>
    <w:rsid w:val="00E93D7D"/>
    <w:rsid w:val="00E96203"/>
    <w:rsid w:val="00EA648C"/>
    <w:rsid w:val="00EB27A1"/>
    <w:rsid w:val="00EC0510"/>
    <w:rsid w:val="00EC16AB"/>
    <w:rsid w:val="00EC2879"/>
    <w:rsid w:val="00EC39E9"/>
    <w:rsid w:val="00EC66B2"/>
    <w:rsid w:val="00ED0065"/>
    <w:rsid w:val="00ED1E74"/>
    <w:rsid w:val="00ED67BC"/>
    <w:rsid w:val="00EE39AD"/>
    <w:rsid w:val="00EE4F1B"/>
    <w:rsid w:val="00EF2570"/>
    <w:rsid w:val="00F003FA"/>
    <w:rsid w:val="00F01976"/>
    <w:rsid w:val="00F1002E"/>
    <w:rsid w:val="00F10CB9"/>
    <w:rsid w:val="00F13919"/>
    <w:rsid w:val="00F14A30"/>
    <w:rsid w:val="00F17432"/>
    <w:rsid w:val="00F240C0"/>
    <w:rsid w:val="00F24582"/>
    <w:rsid w:val="00F30970"/>
    <w:rsid w:val="00F503BE"/>
    <w:rsid w:val="00F60D26"/>
    <w:rsid w:val="00F62718"/>
    <w:rsid w:val="00F6405D"/>
    <w:rsid w:val="00F73D14"/>
    <w:rsid w:val="00F803BF"/>
    <w:rsid w:val="00F811BE"/>
    <w:rsid w:val="00F81CF4"/>
    <w:rsid w:val="00F85827"/>
    <w:rsid w:val="00FA1F80"/>
    <w:rsid w:val="00FB0FBE"/>
    <w:rsid w:val="00FB1AD7"/>
    <w:rsid w:val="00FB1B2E"/>
    <w:rsid w:val="00FB250E"/>
    <w:rsid w:val="00FB4E5C"/>
    <w:rsid w:val="00FB7585"/>
    <w:rsid w:val="00FC1ECD"/>
    <w:rsid w:val="00FC39EE"/>
    <w:rsid w:val="00FC5056"/>
    <w:rsid w:val="00FC7719"/>
    <w:rsid w:val="00FC781A"/>
    <w:rsid w:val="00FF6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F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1F0B"/>
    <w:rPr>
      <w:sz w:val="18"/>
      <w:szCs w:val="18"/>
    </w:rPr>
  </w:style>
  <w:style w:type="paragraph" w:styleId="a4">
    <w:name w:val="footer"/>
    <w:basedOn w:val="a"/>
    <w:link w:val="Char0"/>
    <w:uiPriority w:val="99"/>
    <w:unhideWhenUsed/>
    <w:rsid w:val="00DC1F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1F0B"/>
    <w:rPr>
      <w:sz w:val="18"/>
      <w:szCs w:val="18"/>
    </w:rPr>
  </w:style>
  <w:style w:type="paragraph" w:styleId="a5">
    <w:name w:val="List Paragraph"/>
    <w:basedOn w:val="a"/>
    <w:uiPriority w:val="34"/>
    <w:qFormat/>
    <w:rsid w:val="00F003FA"/>
    <w:pPr>
      <w:ind w:firstLineChars="200" w:firstLine="420"/>
    </w:pPr>
  </w:style>
  <w:style w:type="paragraph" w:styleId="a6">
    <w:name w:val="Normal (Web)"/>
    <w:basedOn w:val="a"/>
    <w:uiPriority w:val="99"/>
    <w:unhideWhenUsed/>
    <w:rsid w:val="002528B3"/>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rsid w:val="00BF4135"/>
    <w:rPr>
      <w:rFonts w:ascii="宋体" w:eastAsia="宋体" w:hAnsi="宋体" w:hint="eastAsia"/>
      <w:b w:val="0"/>
      <w:bCs w:val="0"/>
      <w:i w:val="0"/>
      <w:iCs w:val="0"/>
      <w:color w:val="000000"/>
      <w:sz w:val="24"/>
      <w:szCs w:val="24"/>
    </w:rPr>
  </w:style>
  <w:style w:type="table" w:styleId="a7">
    <w:name w:val="Table Grid"/>
    <w:basedOn w:val="a1"/>
    <w:uiPriority w:val="39"/>
    <w:rsid w:val="00590F0C"/>
    <w:rPr>
      <w:rFonts w:ascii="Arial" w:hAnsi="Arial" w:cs="Arial"/>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F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1F0B"/>
    <w:rPr>
      <w:sz w:val="18"/>
      <w:szCs w:val="18"/>
    </w:rPr>
  </w:style>
  <w:style w:type="paragraph" w:styleId="a4">
    <w:name w:val="footer"/>
    <w:basedOn w:val="a"/>
    <w:link w:val="Char0"/>
    <w:uiPriority w:val="99"/>
    <w:unhideWhenUsed/>
    <w:rsid w:val="00DC1F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1F0B"/>
    <w:rPr>
      <w:sz w:val="18"/>
      <w:szCs w:val="18"/>
    </w:rPr>
  </w:style>
  <w:style w:type="paragraph" w:styleId="a5">
    <w:name w:val="List Paragraph"/>
    <w:basedOn w:val="a"/>
    <w:uiPriority w:val="34"/>
    <w:qFormat/>
    <w:rsid w:val="00F003FA"/>
    <w:pPr>
      <w:ind w:firstLineChars="200" w:firstLine="420"/>
    </w:pPr>
  </w:style>
  <w:style w:type="paragraph" w:styleId="a6">
    <w:name w:val="Normal (Web)"/>
    <w:basedOn w:val="a"/>
    <w:uiPriority w:val="99"/>
    <w:unhideWhenUsed/>
    <w:rsid w:val="002528B3"/>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rsid w:val="00BF4135"/>
    <w:rPr>
      <w:rFonts w:ascii="宋体" w:eastAsia="宋体" w:hAnsi="宋体" w:hint="eastAsia"/>
      <w:b w:val="0"/>
      <w:bCs w:val="0"/>
      <w:i w:val="0"/>
      <w:iCs w:val="0"/>
      <w:color w:val="000000"/>
      <w:sz w:val="24"/>
      <w:szCs w:val="24"/>
    </w:rPr>
  </w:style>
  <w:style w:type="table" w:styleId="a7">
    <w:name w:val="Table Grid"/>
    <w:basedOn w:val="a1"/>
    <w:uiPriority w:val="39"/>
    <w:rsid w:val="00590F0C"/>
    <w:rPr>
      <w:rFonts w:ascii="Arial" w:hAnsi="Arial" w:cs="Arial"/>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2216">
      <w:bodyDiv w:val="1"/>
      <w:marLeft w:val="0"/>
      <w:marRight w:val="0"/>
      <w:marTop w:val="0"/>
      <w:marBottom w:val="0"/>
      <w:divBdr>
        <w:top w:val="none" w:sz="0" w:space="0" w:color="auto"/>
        <w:left w:val="none" w:sz="0" w:space="0" w:color="auto"/>
        <w:bottom w:val="none" w:sz="0" w:space="0" w:color="auto"/>
        <w:right w:val="none" w:sz="0" w:space="0" w:color="auto"/>
      </w:divBdr>
    </w:div>
    <w:div w:id="198320007">
      <w:bodyDiv w:val="1"/>
      <w:marLeft w:val="0"/>
      <w:marRight w:val="0"/>
      <w:marTop w:val="0"/>
      <w:marBottom w:val="0"/>
      <w:divBdr>
        <w:top w:val="none" w:sz="0" w:space="0" w:color="auto"/>
        <w:left w:val="none" w:sz="0" w:space="0" w:color="auto"/>
        <w:bottom w:val="none" w:sz="0" w:space="0" w:color="auto"/>
        <w:right w:val="none" w:sz="0" w:space="0" w:color="auto"/>
      </w:divBdr>
    </w:div>
    <w:div w:id="781727581">
      <w:bodyDiv w:val="1"/>
      <w:marLeft w:val="0"/>
      <w:marRight w:val="0"/>
      <w:marTop w:val="0"/>
      <w:marBottom w:val="0"/>
      <w:divBdr>
        <w:top w:val="none" w:sz="0" w:space="0" w:color="auto"/>
        <w:left w:val="none" w:sz="0" w:space="0" w:color="auto"/>
        <w:bottom w:val="none" w:sz="0" w:space="0" w:color="auto"/>
        <w:right w:val="none" w:sz="0" w:space="0" w:color="auto"/>
      </w:divBdr>
    </w:div>
    <w:div w:id="917401982">
      <w:bodyDiv w:val="1"/>
      <w:marLeft w:val="0"/>
      <w:marRight w:val="0"/>
      <w:marTop w:val="0"/>
      <w:marBottom w:val="0"/>
      <w:divBdr>
        <w:top w:val="none" w:sz="0" w:space="0" w:color="auto"/>
        <w:left w:val="none" w:sz="0" w:space="0" w:color="auto"/>
        <w:bottom w:val="none" w:sz="0" w:space="0" w:color="auto"/>
        <w:right w:val="none" w:sz="0" w:space="0" w:color="auto"/>
      </w:divBdr>
    </w:div>
    <w:div w:id="18502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59F7-C8BB-4C88-9767-7611B2F6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Gu,Yuxuan</dc:creator>
  <cp:lastModifiedBy>Gu,Yuxuan</cp:lastModifiedBy>
  <cp:revision>8</cp:revision>
  <cp:lastPrinted>2023-02-24T07:37:00Z</cp:lastPrinted>
  <dcterms:created xsi:type="dcterms:W3CDTF">2024-04-08T08:34:00Z</dcterms:created>
  <dcterms:modified xsi:type="dcterms:W3CDTF">2024-04-09T06:52:00Z</dcterms:modified>
</cp:coreProperties>
</file>