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2E31632F"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2024-00</w:t>
      </w:r>
      <w:r w:rsidR="0062759D">
        <w:rPr>
          <w:rFonts w:ascii="Arial" w:eastAsia="宋体" w:hAnsi="Arial" w:cs="Arial"/>
          <w:color w:val="auto"/>
        </w:rPr>
        <w:t>3</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997"/>
        <w:gridCol w:w="8359"/>
      </w:tblGrid>
      <w:tr w:rsidR="00C22940" w:rsidRPr="00774DC6" w14:paraId="7A14894B" w14:textId="77777777" w:rsidTr="0000316E">
        <w:trPr>
          <w:trHeight w:val="173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359" w:type="dxa"/>
            <w:tcBorders>
              <w:top w:val="single" w:sz="4" w:space="0" w:color="000000"/>
              <w:left w:val="single" w:sz="4" w:space="0" w:color="000000"/>
              <w:bottom w:val="single" w:sz="4" w:space="0" w:color="000000"/>
              <w:right w:val="single" w:sz="4" w:space="0" w:color="000000"/>
            </w:tcBorders>
            <w:vAlign w:val="bottom"/>
          </w:tcPr>
          <w:p w14:paraId="00343CFD" w14:textId="3C457B0F" w:rsidR="00585A12" w:rsidRPr="00686285" w:rsidRDefault="00552672"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0CED8FCA"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6835CB07" w:rsidR="00585A12" w:rsidRPr="00686285" w:rsidRDefault="00552672"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7D14B048" w:rsidR="00585A12" w:rsidRPr="00686285" w:rsidRDefault="00552672"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Pr="00686285">
              <w:rPr>
                <w:rFonts w:ascii="宋体" w:eastAsia="宋体" w:hAnsi="宋体" w:cs="Arial"/>
                <w:color w:val="auto"/>
                <w:sz w:val="24"/>
                <w:szCs w:val="24"/>
              </w:rPr>
              <w:t>（电话会议）</w:t>
            </w:r>
          </w:p>
        </w:tc>
      </w:tr>
      <w:tr w:rsidR="00C22940" w:rsidRPr="00774DC6" w14:paraId="1EAD1ACB" w14:textId="77777777" w:rsidTr="00D91D41">
        <w:trPr>
          <w:trHeight w:val="3777"/>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3D4E94C8" w14:textId="2F23F03E" w:rsidR="00D91D41" w:rsidRDefault="00D91D41" w:rsidP="0003535E">
            <w:pPr>
              <w:snapToGrid w:val="0"/>
              <w:spacing w:after="0" w:line="360" w:lineRule="exact"/>
              <w:rPr>
                <w:rFonts w:ascii="Arial" w:eastAsia="宋体" w:hAnsi="Arial" w:cs="Arial"/>
                <w:color w:val="auto"/>
                <w:sz w:val="24"/>
                <w:szCs w:val="24"/>
              </w:rPr>
            </w:pPr>
            <w:bookmarkStart w:id="0" w:name="_Hlk163490437"/>
            <w:r>
              <w:rPr>
                <w:rFonts w:ascii="Arial" w:eastAsia="宋体" w:hAnsi="Arial" w:cs="Arial" w:hint="eastAsia"/>
                <w:color w:val="auto"/>
                <w:sz w:val="24"/>
                <w:szCs w:val="24"/>
              </w:rPr>
              <w:t>2</w:t>
            </w:r>
            <w:r>
              <w:rPr>
                <w:rFonts w:ascii="Arial" w:eastAsia="宋体" w:hAnsi="Arial" w:cs="Arial"/>
                <w:color w:val="auto"/>
                <w:sz w:val="24"/>
                <w:szCs w:val="24"/>
              </w:rPr>
              <w:t>024</w:t>
            </w:r>
            <w:r>
              <w:rPr>
                <w:rFonts w:ascii="Arial" w:eastAsia="宋体" w:hAnsi="Arial" w:cs="Arial" w:hint="eastAsia"/>
                <w:color w:val="auto"/>
                <w:sz w:val="24"/>
                <w:szCs w:val="24"/>
              </w:rPr>
              <w:t>年</w:t>
            </w:r>
            <w:r>
              <w:rPr>
                <w:rFonts w:ascii="Arial" w:eastAsia="宋体" w:hAnsi="Arial" w:cs="Arial" w:hint="eastAsia"/>
                <w:color w:val="auto"/>
                <w:sz w:val="24"/>
                <w:szCs w:val="24"/>
              </w:rPr>
              <w:t>4</w:t>
            </w:r>
            <w:r>
              <w:rPr>
                <w:rFonts w:ascii="Arial" w:eastAsia="宋体" w:hAnsi="Arial" w:cs="Arial" w:hint="eastAsia"/>
                <w:color w:val="auto"/>
                <w:sz w:val="24"/>
                <w:szCs w:val="24"/>
              </w:rPr>
              <w:t>月</w:t>
            </w:r>
            <w:r>
              <w:rPr>
                <w:rFonts w:ascii="Arial" w:eastAsia="宋体" w:hAnsi="Arial" w:cs="Arial" w:hint="eastAsia"/>
                <w:color w:val="auto"/>
                <w:sz w:val="24"/>
                <w:szCs w:val="24"/>
              </w:rPr>
              <w:t>8</w:t>
            </w:r>
            <w:r>
              <w:rPr>
                <w:rFonts w:ascii="Arial" w:eastAsia="宋体" w:hAnsi="Arial" w:cs="Arial" w:hint="eastAsia"/>
                <w:color w:val="auto"/>
                <w:sz w:val="24"/>
                <w:szCs w:val="24"/>
              </w:rPr>
              <w:t>日：</w:t>
            </w:r>
          </w:p>
          <w:p w14:paraId="4B7DD093" w14:textId="7C434F85" w:rsidR="000756DA" w:rsidRPr="000756DA" w:rsidRDefault="000756DA" w:rsidP="0003535E">
            <w:pPr>
              <w:snapToGrid w:val="0"/>
              <w:spacing w:after="0" w:line="360" w:lineRule="exact"/>
              <w:rPr>
                <w:rFonts w:ascii="Arial" w:eastAsia="宋体" w:hAnsi="Arial" w:cs="Arial"/>
                <w:color w:val="auto"/>
                <w:sz w:val="24"/>
                <w:szCs w:val="24"/>
              </w:rPr>
            </w:pPr>
            <w:r w:rsidRPr="004035FD">
              <w:rPr>
                <w:rFonts w:ascii="Arial" w:eastAsia="宋体" w:hAnsi="Arial" w:cs="Arial" w:hint="eastAsia"/>
                <w:color w:val="auto"/>
                <w:sz w:val="24"/>
                <w:szCs w:val="24"/>
              </w:rPr>
              <w:t>广发证券：吴祖鹏</w:t>
            </w:r>
            <w:r w:rsidRPr="000756DA">
              <w:rPr>
                <w:rFonts w:ascii="Arial" w:eastAsia="宋体" w:hAnsi="Arial" w:cs="Arial" w:hint="eastAsia"/>
                <w:color w:val="auto"/>
                <w:sz w:val="24"/>
                <w:szCs w:val="24"/>
              </w:rPr>
              <w:t>、夏征舜</w:t>
            </w:r>
          </w:p>
          <w:p w14:paraId="58AEC891" w14:textId="4DA1992A" w:rsidR="00A33A6F" w:rsidRPr="004035FD" w:rsidRDefault="000756DA" w:rsidP="0003535E">
            <w:pPr>
              <w:snapToGrid w:val="0"/>
              <w:spacing w:after="0" w:line="360" w:lineRule="exact"/>
              <w:rPr>
                <w:rFonts w:ascii="Arial" w:eastAsia="宋体" w:hAnsi="Arial" w:cs="Arial"/>
                <w:color w:val="auto"/>
                <w:sz w:val="24"/>
                <w:szCs w:val="24"/>
              </w:rPr>
            </w:pPr>
            <w:r>
              <w:rPr>
                <w:rFonts w:ascii="Arial" w:eastAsia="宋体" w:hAnsi="Arial" w:cs="Arial" w:hint="eastAsia"/>
                <w:color w:val="auto"/>
                <w:sz w:val="24"/>
                <w:szCs w:val="24"/>
              </w:rPr>
              <w:t>中国人寿</w:t>
            </w:r>
            <w:r w:rsidR="0062759D" w:rsidRPr="004035FD">
              <w:rPr>
                <w:rFonts w:ascii="Arial" w:eastAsia="宋体" w:hAnsi="Arial" w:cs="Arial" w:hint="eastAsia"/>
                <w:color w:val="auto"/>
                <w:sz w:val="24"/>
                <w:szCs w:val="24"/>
              </w:rPr>
              <w:t>：夏天</w:t>
            </w:r>
          </w:p>
          <w:bookmarkEnd w:id="0"/>
          <w:p w14:paraId="57835E58" w14:textId="77777777" w:rsidR="000756DA" w:rsidRDefault="0062759D" w:rsidP="0003535E">
            <w:pPr>
              <w:snapToGrid w:val="0"/>
              <w:spacing w:after="0" w:line="360" w:lineRule="exact"/>
              <w:rPr>
                <w:rFonts w:ascii="Arial" w:eastAsia="宋体" w:hAnsi="Arial" w:cs="Arial"/>
                <w:color w:val="auto"/>
                <w:sz w:val="24"/>
                <w:szCs w:val="24"/>
              </w:rPr>
            </w:pPr>
            <w:r w:rsidRPr="004035FD">
              <w:rPr>
                <w:rFonts w:ascii="Arial" w:eastAsia="宋体" w:hAnsi="Arial" w:cs="Arial" w:hint="eastAsia"/>
                <w:color w:val="auto"/>
                <w:sz w:val="24"/>
                <w:szCs w:val="24"/>
              </w:rPr>
              <w:t>银华基金：</w:t>
            </w:r>
            <w:r w:rsidR="000756DA" w:rsidRPr="000756DA">
              <w:rPr>
                <w:rFonts w:ascii="Arial" w:eastAsia="宋体" w:hAnsi="Arial" w:cs="Arial" w:hint="eastAsia"/>
                <w:color w:val="auto"/>
                <w:sz w:val="24"/>
                <w:szCs w:val="24"/>
              </w:rPr>
              <w:t>陈晓雅、冯帆、孙慧、蒋婉莹</w:t>
            </w:r>
          </w:p>
          <w:p w14:paraId="25F7C492" w14:textId="77777777" w:rsidR="00D91D41" w:rsidRDefault="00D91D41" w:rsidP="0003535E">
            <w:pPr>
              <w:snapToGrid w:val="0"/>
              <w:spacing w:after="0" w:line="360" w:lineRule="exact"/>
              <w:rPr>
                <w:rFonts w:ascii="Arial" w:eastAsia="宋体" w:hAnsi="Arial" w:cs="Arial"/>
                <w:color w:val="auto"/>
                <w:sz w:val="24"/>
                <w:szCs w:val="24"/>
              </w:rPr>
            </w:pPr>
          </w:p>
          <w:p w14:paraId="3B1FE61C" w14:textId="77777777" w:rsidR="00D91D41" w:rsidRDefault="00D91D41" w:rsidP="0003535E">
            <w:pPr>
              <w:snapToGrid w:val="0"/>
              <w:spacing w:after="0" w:line="360" w:lineRule="exact"/>
              <w:rPr>
                <w:rFonts w:ascii="Arial" w:eastAsia="宋体" w:hAnsi="Arial" w:cs="Arial"/>
                <w:color w:val="auto"/>
                <w:sz w:val="24"/>
                <w:szCs w:val="24"/>
              </w:rPr>
            </w:pPr>
            <w:r>
              <w:rPr>
                <w:rFonts w:ascii="Arial" w:eastAsia="宋体" w:hAnsi="Arial" w:cs="Arial" w:hint="eastAsia"/>
                <w:color w:val="auto"/>
                <w:sz w:val="24"/>
                <w:szCs w:val="24"/>
              </w:rPr>
              <w:t>2</w:t>
            </w:r>
            <w:r>
              <w:rPr>
                <w:rFonts w:ascii="Arial" w:eastAsia="宋体" w:hAnsi="Arial" w:cs="Arial"/>
                <w:color w:val="auto"/>
                <w:sz w:val="24"/>
                <w:szCs w:val="24"/>
              </w:rPr>
              <w:t>024</w:t>
            </w:r>
            <w:r>
              <w:rPr>
                <w:rFonts w:ascii="Arial" w:eastAsia="宋体" w:hAnsi="Arial" w:cs="Arial" w:hint="eastAsia"/>
                <w:color w:val="auto"/>
                <w:sz w:val="24"/>
                <w:szCs w:val="24"/>
              </w:rPr>
              <w:t>年</w:t>
            </w:r>
            <w:r>
              <w:rPr>
                <w:rFonts w:ascii="Arial" w:eastAsia="宋体" w:hAnsi="Arial" w:cs="Arial" w:hint="eastAsia"/>
                <w:color w:val="auto"/>
                <w:sz w:val="24"/>
                <w:szCs w:val="24"/>
              </w:rPr>
              <w:t>4</w:t>
            </w:r>
            <w:r>
              <w:rPr>
                <w:rFonts w:ascii="Arial" w:eastAsia="宋体" w:hAnsi="Arial" w:cs="Arial" w:hint="eastAsia"/>
                <w:color w:val="auto"/>
                <w:sz w:val="24"/>
                <w:szCs w:val="24"/>
              </w:rPr>
              <w:t>月</w:t>
            </w:r>
            <w:r>
              <w:rPr>
                <w:rFonts w:ascii="Arial" w:eastAsia="宋体" w:hAnsi="Arial" w:cs="Arial" w:hint="eastAsia"/>
                <w:color w:val="auto"/>
                <w:sz w:val="24"/>
                <w:szCs w:val="24"/>
              </w:rPr>
              <w:t>9</w:t>
            </w:r>
            <w:r>
              <w:rPr>
                <w:rFonts w:ascii="Arial" w:eastAsia="宋体" w:hAnsi="Arial" w:cs="Arial" w:hint="eastAsia"/>
                <w:color w:val="auto"/>
                <w:sz w:val="24"/>
                <w:szCs w:val="24"/>
              </w:rPr>
              <w:t>日：</w:t>
            </w:r>
          </w:p>
          <w:p w14:paraId="75005969" w14:textId="6AEDB082" w:rsidR="00D91D41" w:rsidRDefault="00D91D41" w:rsidP="0003535E">
            <w:pPr>
              <w:snapToGrid w:val="0"/>
              <w:spacing w:after="0" w:line="360" w:lineRule="exact"/>
              <w:rPr>
                <w:rFonts w:ascii="Arial" w:eastAsia="宋体" w:hAnsi="Arial" w:cs="Arial"/>
                <w:color w:val="auto"/>
                <w:sz w:val="24"/>
                <w:szCs w:val="24"/>
              </w:rPr>
            </w:pPr>
            <w:r>
              <w:rPr>
                <w:rFonts w:ascii="Arial" w:eastAsia="宋体" w:hAnsi="Arial" w:cs="Arial" w:hint="eastAsia"/>
                <w:color w:val="auto"/>
                <w:sz w:val="24"/>
                <w:szCs w:val="24"/>
              </w:rPr>
              <w:t>宏道投资：</w:t>
            </w:r>
            <w:r w:rsidR="00614B8D" w:rsidRPr="00614B8D">
              <w:rPr>
                <w:rFonts w:ascii="Arial" w:eastAsia="宋体" w:hAnsi="Arial" w:cs="Arial" w:hint="eastAsia"/>
                <w:color w:val="auto"/>
                <w:sz w:val="24"/>
                <w:szCs w:val="24"/>
              </w:rPr>
              <w:t>季巍、段然、卫保川</w:t>
            </w:r>
          </w:p>
          <w:p w14:paraId="46C8C151" w14:textId="0E487567" w:rsidR="00D91D41" w:rsidRPr="000756DA" w:rsidRDefault="00D91D41" w:rsidP="0003535E">
            <w:pPr>
              <w:snapToGrid w:val="0"/>
              <w:spacing w:after="0" w:line="360" w:lineRule="exact"/>
              <w:rPr>
                <w:rFonts w:ascii="Arial" w:eastAsia="宋体" w:hAnsi="Arial" w:cs="Arial"/>
                <w:color w:val="auto"/>
                <w:sz w:val="24"/>
                <w:szCs w:val="24"/>
              </w:rPr>
            </w:pPr>
            <w:r>
              <w:rPr>
                <w:rFonts w:ascii="Arial" w:eastAsia="宋体" w:hAnsi="Arial" w:cs="Arial" w:hint="eastAsia"/>
                <w:color w:val="auto"/>
                <w:sz w:val="24"/>
                <w:szCs w:val="24"/>
              </w:rPr>
              <w:t>大家资产：</w:t>
            </w:r>
            <w:r w:rsidR="00614B8D" w:rsidRPr="00614B8D">
              <w:rPr>
                <w:rFonts w:ascii="Arial" w:eastAsia="宋体" w:hAnsi="Arial" w:cs="Arial" w:hint="eastAsia"/>
                <w:color w:val="auto"/>
                <w:sz w:val="24"/>
                <w:szCs w:val="24"/>
              </w:rPr>
              <w:t>王凤娟，</w:t>
            </w:r>
            <w:proofErr w:type="gramStart"/>
            <w:r w:rsidR="00614B8D" w:rsidRPr="00614B8D">
              <w:rPr>
                <w:rFonts w:ascii="Arial" w:eastAsia="宋体" w:hAnsi="Arial" w:cs="Arial" w:hint="eastAsia"/>
                <w:color w:val="auto"/>
                <w:sz w:val="24"/>
                <w:szCs w:val="24"/>
              </w:rPr>
              <w:t>张欣露</w:t>
            </w:r>
            <w:proofErr w:type="gramEnd"/>
          </w:p>
        </w:tc>
      </w:tr>
      <w:tr w:rsidR="00C22940" w:rsidRPr="00774DC6" w14:paraId="014B59B3" w14:textId="77777777" w:rsidTr="00A94A2C">
        <w:trPr>
          <w:trHeight w:val="108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时间</w:t>
            </w:r>
          </w:p>
        </w:tc>
        <w:tc>
          <w:tcPr>
            <w:tcW w:w="8359" w:type="dxa"/>
            <w:tcBorders>
              <w:top w:val="single" w:sz="4" w:space="0" w:color="000000"/>
              <w:left w:val="single" w:sz="4" w:space="0" w:color="000000"/>
              <w:bottom w:val="single" w:sz="4" w:space="0" w:color="000000"/>
              <w:right w:val="single" w:sz="4" w:space="0" w:color="000000"/>
            </w:tcBorders>
            <w:vAlign w:val="center"/>
          </w:tcPr>
          <w:p w14:paraId="5A0B1BC7" w14:textId="77777777" w:rsidR="0062759D" w:rsidRDefault="00CC30BE" w:rsidP="0062759D">
            <w:pPr>
              <w:snapToGrid w:val="0"/>
              <w:spacing w:after="0" w:line="360" w:lineRule="exact"/>
              <w:ind w:left="120" w:hangingChars="50" w:hanging="120"/>
              <w:rPr>
                <w:rFonts w:ascii="Arial" w:eastAsia="宋体" w:hAnsi="Arial" w:cs="Arial"/>
                <w:color w:val="auto"/>
                <w:sz w:val="24"/>
                <w:szCs w:val="24"/>
              </w:rPr>
            </w:pPr>
            <w:r w:rsidRPr="00774DC6">
              <w:rPr>
                <w:rFonts w:ascii="Arial" w:eastAsia="宋体" w:hAnsi="Arial" w:cs="Arial"/>
                <w:color w:val="auto"/>
                <w:sz w:val="24"/>
                <w:szCs w:val="24"/>
              </w:rPr>
              <w:t>202</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年</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月</w:t>
            </w:r>
            <w:r w:rsidR="0062759D">
              <w:rPr>
                <w:rFonts w:ascii="Arial" w:eastAsia="宋体" w:hAnsi="Arial" w:cs="Arial"/>
                <w:color w:val="auto"/>
                <w:sz w:val="24"/>
                <w:szCs w:val="24"/>
              </w:rPr>
              <w:t>8</w:t>
            </w:r>
            <w:r w:rsidRPr="00774DC6">
              <w:rPr>
                <w:rFonts w:ascii="Arial" w:eastAsia="宋体" w:hAnsi="Arial" w:cs="Arial"/>
                <w:color w:val="auto"/>
                <w:sz w:val="24"/>
                <w:szCs w:val="24"/>
              </w:rPr>
              <w:t>日</w:t>
            </w:r>
            <w:r w:rsidR="00552672" w:rsidRPr="00774DC6">
              <w:rPr>
                <w:rFonts w:ascii="Arial" w:eastAsia="宋体" w:hAnsi="Arial" w:cs="Arial"/>
                <w:color w:val="auto"/>
                <w:sz w:val="24"/>
                <w:szCs w:val="24"/>
              </w:rPr>
              <w:t>10</w:t>
            </w:r>
            <w:r w:rsidR="00901DA0">
              <w:rPr>
                <w:rFonts w:ascii="Arial" w:eastAsia="宋体" w:hAnsi="Arial" w:cs="Arial" w:hint="eastAsia"/>
                <w:color w:val="auto"/>
                <w:sz w:val="24"/>
                <w:szCs w:val="24"/>
              </w:rPr>
              <w:t>:</w:t>
            </w:r>
            <w:r w:rsidR="00552672" w:rsidRPr="00774DC6">
              <w:rPr>
                <w:rFonts w:ascii="Arial" w:eastAsia="宋体" w:hAnsi="Arial" w:cs="Arial"/>
                <w:color w:val="auto"/>
                <w:sz w:val="24"/>
                <w:szCs w:val="24"/>
              </w:rPr>
              <w:t>00-11</w:t>
            </w:r>
            <w:r w:rsidR="00901DA0">
              <w:rPr>
                <w:rFonts w:ascii="Arial" w:eastAsia="宋体" w:hAnsi="Arial" w:cs="Arial"/>
                <w:color w:val="auto"/>
                <w:sz w:val="24"/>
                <w:szCs w:val="24"/>
              </w:rPr>
              <w:t>:</w:t>
            </w:r>
            <w:r w:rsidR="00552672" w:rsidRPr="00774DC6">
              <w:rPr>
                <w:rFonts w:ascii="Arial" w:eastAsia="宋体" w:hAnsi="Arial" w:cs="Arial"/>
                <w:color w:val="auto"/>
                <w:sz w:val="24"/>
                <w:szCs w:val="24"/>
              </w:rPr>
              <w:t>00</w:t>
            </w:r>
            <w:r w:rsidR="0062759D">
              <w:rPr>
                <w:rFonts w:ascii="Arial" w:eastAsia="宋体" w:hAnsi="Arial" w:cs="Arial" w:hint="eastAsia"/>
                <w:color w:val="auto"/>
                <w:sz w:val="24"/>
                <w:szCs w:val="24"/>
              </w:rPr>
              <w:t>、</w:t>
            </w:r>
            <w:r w:rsidR="0062759D">
              <w:rPr>
                <w:rFonts w:ascii="Arial" w:eastAsia="宋体" w:hAnsi="Arial" w:cs="Arial" w:hint="eastAsia"/>
                <w:color w:val="auto"/>
                <w:sz w:val="24"/>
                <w:szCs w:val="24"/>
              </w:rPr>
              <w:t>1</w:t>
            </w:r>
            <w:r w:rsidR="0062759D">
              <w:rPr>
                <w:rFonts w:ascii="Arial" w:eastAsia="宋体" w:hAnsi="Arial" w:cs="Arial"/>
                <w:color w:val="auto"/>
                <w:sz w:val="24"/>
                <w:szCs w:val="24"/>
              </w:rPr>
              <w:t>6</w:t>
            </w:r>
            <w:r w:rsidR="0062759D">
              <w:rPr>
                <w:rFonts w:ascii="Arial" w:eastAsia="宋体" w:hAnsi="Arial" w:cs="Arial" w:hint="eastAsia"/>
                <w:color w:val="auto"/>
                <w:sz w:val="24"/>
                <w:szCs w:val="24"/>
              </w:rPr>
              <w:t>:</w:t>
            </w:r>
            <w:r w:rsidR="0062759D">
              <w:rPr>
                <w:rFonts w:ascii="Arial" w:eastAsia="宋体" w:hAnsi="Arial" w:cs="Arial"/>
                <w:color w:val="auto"/>
                <w:sz w:val="24"/>
                <w:szCs w:val="24"/>
              </w:rPr>
              <w:t>00-17:00</w:t>
            </w:r>
          </w:p>
          <w:p w14:paraId="2A8311B7" w14:textId="71569C78" w:rsidR="00D91D41" w:rsidRPr="00774DC6" w:rsidRDefault="00D91D41" w:rsidP="0062759D">
            <w:pPr>
              <w:snapToGrid w:val="0"/>
              <w:spacing w:after="0" w:line="360" w:lineRule="exact"/>
              <w:ind w:left="120" w:hangingChars="50" w:hanging="120"/>
              <w:rPr>
                <w:rFonts w:ascii="Arial" w:eastAsia="宋体" w:hAnsi="Arial" w:cs="Arial"/>
                <w:color w:val="auto"/>
                <w:sz w:val="24"/>
                <w:szCs w:val="24"/>
              </w:rPr>
            </w:pPr>
            <w:r>
              <w:rPr>
                <w:rFonts w:ascii="Arial" w:eastAsia="宋体" w:hAnsi="Arial" w:cs="Arial" w:hint="eastAsia"/>
                <w:color w:val="auto"/>
                <w:sz w:val="24"/>
                <w:szCs w:val="24"/>
              </w:rPr>
              <w:t>2</w:t>
            </w:r>
            <w:r>
              <w:rPr>
                <w:rFonts w:ascii="Arial" w:eastAsia="宋体" w:hAnsi="Arial" w:cs="Arial"/>
                <w:color w:val="auto"/>
                <w:sz w:val="24"/>
                <w:szCs w:val="24"/>
              </w:rPr>
              <w:t>024</w:t>
            </w:r>
            <w:r>
              <w:rPr>
                <w:rFonts w:ascii="Arial" w:eastAsia="宋体" w:hAnsi="Arial" w:cs="Arial" w:hint="eastAsia"/>
                <w:color w:val="auto"/>
                <w:sz w:val="24"/>
                <w:szCs w:val="24"/>
              </w:rPr>
              <w:t>年</w:t>
            </w:r>
            <w:r>
              <w:rPr>
                <w:rFonts w:ascii="Arial" w:eastAsia="宋体" w:hAnsi="Arial" w:cs="Arial" w:hint="eastAsia"/>
                <w:color w:val="auto"/>
                <w:sz w:val="24"/>
                <w:szCs w:val="24"/>
              </w:rPr>
              <w:t>4</w:t>
            </w:r>
            <w:r>
              <w:rPr>
                <w:rFonts w:ascii="Arial" w:eastAsia="宋体" w:hAnsi="Arial" w:cs="Arial" w:hint="eastAsia"/>
                <w:color w:val="auto"/>
                <w:sz w:val="24"/>
                <w:szCs w:val="24"/>
              </w:rPr>
              <w:t>月</w:t>
            </w:r>
            <w:r>
              <w:rPr>
                <w:rFonts w:ascii="Arial" w:eastAsia="宋体" w:hAnsi="Arial" w:cs="Arial" w:hint="eastAsia"/>
                <w:color w:val="auto"/>
                <w:sz w:val="24"/>
                <w:szCs w:val="24"/>
              </w:rPr>
              <w:t>9</w:t>
            </w:r>
            <w:r>
              <w:rPr>
                <w:rFonts w:ascii="Arial" w:eastAsia="宋体" w:hAnsi="Arial" w:cs="Arial" w:hint="eastAsia"/>
                <w:color w:val="auto"/>
                <w:sz w:val="24"/>
                <w:szCs w:val="24"/>
              </w:rPr>
              <w:t>日</w:t>
            </w:r>
            <w:r>
              <w:rPr>
                <w:rFonts w:ascii="Arial" w:eastAsia="宋体" w:hAnsi="Arial" w:cs="Arial" w:hint="eastAsia"/>
                <w:color w:val="auto"/>
                <w:sz w:val="24"/>
                <w:szCs w:val="24"/>
              </w:rPr>
              <w:t>1</w:t>
            </w:r>
            <w:r>
              <w:rPr>
                <w:rFonts w:ascii="Arial" w:eastAsia="宋体" w:hAnsi="Arial" w:cs="Arial"/>
                <w:color w:val="auto"/>
                <w:sz w:val="24"/>
                <w:szCs w:val="24"/>
              </w:rPr>
              <w:t>0</w:t>
            </w:r>
            <w:r>
              <w:rPr>
                <w:rFonts w:ascii="Arial" w:eastAsia="宋体" w:hAnsi="Arial" w:cs="Arial" w:hint="eastAsia"/>
                <w:color w:val="auto"/>
                <w:sz w:val="24"/>
                <w:szCs w:val="24"/>
              </w:rPr>
              <w:t>:</w:t>
            </w:r>
            <w:r>
              <w:rPr>
                <w:rFonts w:ascii="Arial" w:eastAsia="宋体" w:hAnsi="Arial" w:cs="Arial"/>
                <w:color w:val="auto"/>
                <w:sz w:val="24"/>
                <w:szCs w:val="24"/>
              </w:rPr>
              <w:t>00-11:00</w:t>
            </w:r>
            <w:r>
              <w:rPr>
                <w:rFonts w:ascii="Arial" w:eastAsia="宋体" w:hAnsi="Arial" w:cs="Arial" w:hint="eastAsia"/>
                <w:color w:val="auto"/>
                <w:sz w:val="24"/>
                <w:szCs w:val="24"/>
              </w:rPr>
              <w:t>、</w:t>
            </w:r>
            <w:r>
              <w:rPr>
                <w:rFonts w:ascii="Arial" w:eastAsia="宋体" w:hAnsi="Arial" w:cs="Arial" w:hint="eastAsia"/>
                <w:color w:val="auto"/>
                <w:sz w:val="24"/>
                <w:szCs w:val="24"/>
              </w:rPr>
              <w:t>1</w:t>
            </w:r>
            <w:r>
              <w:rPr>
                <w:rFonts w:ascii="Arial" w:eastAsia="宋体" w:hAnsi="Arial" w:cs="Arial"/>
                <w:color w:val="auto"/>
                <w:sz w:val="24"/>
                <w:szCs w:val="24"/>
              </w:rPr>
              <w:t>4</w:t>
            </w:r>
            <w:r>
              <w:rPr>
                <w:rFonts w:ascii="Arial" w:eastAsia="宋体" w:hAnsi="Arial" w:cs="Arial" w:hint="eastAsia"/>
                <w:color w:val="auto"/>
                <w:sz w:val="24"/>
                <w:szCs w:val="24"/>
              </w:rPr>
              <w:t>:</w:t>
            </w:r>
            <w:r>
              <w:rPr>
                <w:rFonts w:ascii="Arial" w:eastAsia="宋体" w:hAnsi="Arial" w:cs="Arial"/>
                <w:color w:val="auto"/>
                <w:sz w:val="24"/>
                <w:szCs w:val="24"/>
              </w:rPr>
              <w:t>30-15:30</w:t>
            </w:r>
          </w:p>
        </w:tc>
      </w:tr>
      <w:tr w:rsidR="00C22940" w:rsidRPr="00774DC6" w14:paraId="4B617252" w14:textId="77777777" w:rsidTr="00686285">
        <w:trPr>
          <w:trHeight w:val="56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359" w:type="dxa"/>
            <w:tcBorders>
              <w:top w:val="single" w:sz="4" w:space="0" w:color="000000"/>
              <w:left w:val="single" w:sz="4" w:space="0" w:color="000000"/>
              <w:bottom w:val="single" w:sz="4" w:space="0" w:color="000000"/>
              <w:right w:val="single" w:sz="4" w:space="0" w:color="000000"/>
            </w:tcBorders>
            <w:vAlign w:val="center"/>
          </w:tcPr>
          <w:p w14:paraId="60522BA6" w14:textId="7A958AA9" w:rsidR="00585A12" w:rsidRPr="00774DC6" w:rsidRDefault="00D85F53" w:rsidP="008D787E">
            <w:pPr>
              <w:spacing w:after="0" w:line="320" w:lineRule="exact"/>
              <w:jc w:val="both"/>
              <w:rPr>
                <w:rFonts w:ascii="Arial" w:eastAsia="宋体" w:hAnsi="Arial" w:cs="Arial"/>
                <w:color w:val="auto"/>
                <w:sz w:val="24"/>
                <w:szCs w:val="24"/>
              </w:rPr>
            </w:pPr>
            <w:r w:rsidRPr="00774DC6">
              <w:rPr>
                <w:rFonts w:ascii="Arial" w:eastAsia="宋体" w:hAnsi="Arial" w:cs="Arial"/>
                <w:color w:val="auto"/>
                <w:sz w:val="24"/>
                <w:szCs w:val="24"/>
              </w:rPr>
              <w:t>电话会议</w:t>
            </w:r>
          </w:p>
        </w:tc>
      </w:tr>
      <w:tr w:rsidR="008D787E" w:rsidRPr="00774DC6" w14:paraId="50334513" w14:textId="77777777" w:rsidTr="00A94A2C">
        <w:trPr>
          <w:trHeight w:val="158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508EFA7F" w14:textId="77777777" w:rsidR="00D85F53" w:rsidRPr="00774DC6" w:rsidRDefault="00D85F53" w:rsidP="00D85F53">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董事会秘书：李雄伟</w:t>
            </w:r>
          </w:p>
          <w:p w14:paraId="629C0AC1" w14:textId="77777777" w:rsidR="00D85F53" w:rsidRPr="00774DC6" w:rsidRDefault="00D85F53" w:rsidP="007F000F">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投资者关系总监：李律</w:t>
            </w:r>
          </w:p>
          <w:p w14:paraId="5EDFF127" w14:textId="6DABAB6F" w:rsidR="00552672" w:rsidRPr="00774DC6" w:rsidRDefault="00552672" w:rsidP="007F000F">
            <w:pPr>
              <w:snapToGrid w:val="0"/>
              <w:spacing w:after="0" w:line="320" w:lineRule="exact"/>
              <w:rPr>
                <w:rFonts w:ascii="Arial" w:eastAsiaTheme="minorEastAsia" w:hAnsi="Arial" w:cs="Arial"/>
                <w:color w:val="auto"/>
                <w:sz w:val="24"/>
                <w:szCs w:val="24"/>
              </w:rPr>
            </w:pPr>
            <w:r w:rsidRPr="00774DC6">
              <w:rPr>
                <w:rFonts w:ascii="Arial" w:eastAsia="宋体" w:hAnsi="Arial" w:cs="Arial"/>
                <w:color w:val="auto"/>
                <w:sz w:val="24"/>
                <w:szCs w:val="24"/>
              </w:rPr>
              <w:t>证券事务代表：陈</w:t>
            </w:r>
            <w:proofErr w:type="gramStart"/>
            <w:r w:rsidRPr="00774DC6">
              <w:rPr>
                <w:rFonts w:ascii="Arial" w:eastAsia="宋体" w:hAnsi="Arial" w:cs="Arial"/>
                <w:color w:val="auto"/>
                <w:sz w:val="24"/>
                <w:szCs w:val="24"/>
              </w:rPr>
              <w:t>偲</w:t>
            </w:r>
            <w:proofErr w:type="gramEnd"/>
          </w:p>
        </w:tc>
      </w:tr>
      <w:tr w:rsidR="00473A8E" w:rsidRPr="00774DC6" w14:paraId="1E3E6893"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投资者关系活动主要内容介绍</w:t>
            </w:r>
          </w:p>
        </w:tc>
        <w:tc>
          <w:tcPr>
            <w:tcW w:w="8359" w:type="dxa"/>
            <w:tcBorders>
              <w:top w:val="single" w:sz="4" w:space="0" w:color="000000"/>
              <w:left w:val="single" w:sz="4" w:space="0" w:color="000000"/>
              <w:bottom w:val="single" w:sz="4" w:space="0" w:color="000000"/>
              <w:right w:val="single" w:sz="4" w:space="0" w:color="000000"/>
            </w:tcBorders>
            <w:vAlign w:val="center"/>
          </w:tcPr>
          <w:p w14:paraId="3D6A0ED3" w14:textId="77777777" w:rsidR="00BA7DEC" w:rsidRPr="00774DC6" w:rsidRDefault="00BA7DEC" w:rsidP="00BA24AB">
            <w:pPr>
              <w:pStyle w:val="af5"/>
              <w:ind w:firstLineChars="0" w:firstLine="0"/>
              <w:jc w:val="both"/>
              <w:rPr>
                <w:rFonts w:ascii="Arial" w:eastAsia="宋体" w:hAnsi="Arial" w:cs="Arial"/>
                <w:b/>
                <w:bCs/>
              </w:rPr>
            </w:pPr>
          </w:p>
          <w:p w14:paraId="2514C73A" w14:textId="60CB0C1B" w:rsidR="0062759D" w:rsidRDefault="00046782" w:rsidP="00046782">
            <w:pPr>
              <w:pStyle w:val="af5"/>
              <w:ind w:firstLine="480"/>
              <w:jc w:val="both"/>
              <w:rPr>
                <w:rFonts w:ascii="Arial" w:eastAsia="宋体" w:hAnsi="Arial" w:cs="Arial"/>
              </w:rPr>
            </w:pPr>
            <w:r w:rsidRPr="00046782">
              <w:rPr>
                <w:rFonts w:ascii="Arial" w:eastAsia="宋体" w:hAnsi="Arial" w:cs="Arial" w:hint="eastAsia"/>
              </w:rPr>
              <w:t>本次投资者关系活动以电话会议的方式进行，接待人员与投资者进行了沟通交流，主要内容如下：</w:t>
            </w:r>
          </w:p>
          <w:p w14:paraId="689C54C1" w14:textId="77777777" w:rsidR="003A29D1" w:rsidRPr="00046782" w:rsidRDefault="003A29D1" w:rsidP="00046782">
            <w:pPr>
              <w:pStyle w:val="af5"/>
              <w:ind w:firstLine="480"/>
              <w:jc w:val="both"/>
              <w:rPr>
                <w:rFonts w:ascii="Arial" w:eastAsia="宋体" w:hAnsi="Arial" w:cs="Arial"/>
              </w:rPr>
            </w:pPr>
          </w:p>
          <w:p w14:paraId="22809D19" w14:textId="0F108424" w:rsidR="006106FB" w:rsidRPr="00774DC6" w:rsidRDefault="006106FB" w:rsidP="006106FB">
            <w:pPr>
              <w:pStyle w:val="af5"/>
              <w:ind w:firstLine="482"/>
              <w:jc w:val="both"/>
              <w:rPr>
                <w:rFonts w:ascii="Arial" w:eastAsia="宋体" w:hAnsi="Arial" w:cs="Arial"/>
                <w:b/>
                <w:bCs/>
              </w:rPr>
            </w:pPr>
            <w:bookmarkStart w:id="1" w:name="_Hlk163490634"/>
            <w:r w:rsidRPr="00774DC6">
              <w:rPr>
                <w:rFonts w:ascii="Arial" w:eastAsia="宋体" w:hAnsi="Arial" w:cs="Arial"/>
                <w:b/>
                <w:bCs/>
              </w:rPr>
              <w:lastRenderedPageBreak/>
              <w:t>问题</w:t>
            </w:r>
            <w:proofErr w:type="gramStart"/>
            <w:r>
              <w:rPr>
                <w:rFonts w:ascii="Arial" w:eastAsia="宋体" w:hAnsi="Arial" w:cs="Arial" w:hint="eastAsia"/>
                <w:b/>
                <w:bCs/>
              </w:rPr>
              <w:t>一</w:t>
            </w:r>
            <w:proofErr w:type="gramEnd"/>
            <w:r w:rsidRPr="00774DC6">
              <w:rPr>
                <w:rFonts w:ascii="Arial" w:eastAsia="宋体" w:hAnsi="Arial" w:cs="Arial"/>
                <w:b/>
                <w:bCs/>
              </w:rPr>
              <w:t>：</w:t>
            </w:r>
            <w:r w:rsidR="0062759D">
              <w:rPr>
                <w:rFonts w:ascii="Arial" w:eastAsia="宋体" w:hAnsi="Arial" w:cs="Arial" w:hint="eastAsia"/>
                <w:b/>
                <w:bCs/>
              </w:rPr>
              <w:t>请</w:t>
            </w:r>
            <w:r w:rsidR="00790E31">
              <w:rPr>
                <w:rFonts w:ascii="Arial" w:eastAsia="宋体" w:hAnsi="Arial" w:cs="Arial" w:hint="eastAsia"/>
                <w:b/>
                <w:bCs/>
              </w:rPr>
              <w:t>按营</w:t>
            </w:r>
            <w:proofErr w:type="gramStart"/>
            <w:r w:rsidR="00790E31">
              <w:rPr>
                <w:rFonts w:ascii="Arial" w:eastAsia="宋体" w:hAnsi="Arial" w:cs="Arial" w:hint="eastAsia"/>
                <w:b/>
                <w:bCs/>
              </w:rPr>
              <w:t>收结构</w:t>
            </w:r>
            <w:proofErr w:type="gramEnd"/>
            <w:r w:rsidR="00790E31">
              <w:rPr>
                <w:rFonts w:ascii="Arial" w:eastAsia="宋体" w:hAnsi="Arial" w:cs="Arial" w:hint="eastAsia"/>
                <w:b/>
                <w:bCs/>
              </w:rPr>
              <w:t>介绍一下公司的业务</w:t>
            </w:r>
            <w:r w:rsidR="0062759D">
              <w:rPr>
                <w:rFonts w:ascii="Arial" w:eastAsia="宋体" w:hAnsi="Arial" w:cs="Arial" w:hint="eastAsia"/>
                <w:b/>
                <w:bCs/>
              </w:rPr>
              <w:t>情况？</w:t>
            </w:r>
          </w:p>
          <w:p w14:paraId="5F96F962" w14:textId="77777777" w:rsidR="00E304D2" w:rsidRDefault="0062759D" w:rsidP="00DD24F3">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E12FD">
              <w:rPr>
                <w:rFonts w:ascii="Arial" w:eastAsia="宋体" w:hAnsi="Arial" w:cs="Arial" w:hint="eastAsia"/>
              </w:rPr>
              <w:t>，公司实现营业收入</w:t>
            </w:r>
            <w:r w:rsidRPr="004E12FD">
              <w:rPr>
                <w:rFonts w:ascii="Arial" w:eastAsia="宋体" w:hAnsi="Arial" w:cs="Arial"/>
              </w:rPr>
              <w:t>32</w:t>
            </w:r>
            <w:r w:rsidR="00E304D2">
              <w:rPr>
                <w:rFonts w:ascii="Arial" w:eastAsia="宋体" w:hAnsi="Arial" w:cs="Arial"/>
              </w:rPr>
              <w:t>.</w:t>
            </w:r>
            <w:r w:rsidRPr="004E12FD">
              <w:rPr>
                <w:rFonts w:ascii="Arial" w:eastAsia="宋体" w:hAnsi="Arial" w:cs="Arial"/>
              </w:rPr>
              <w:t>5</w:t>
            </w:r>
            <w:r w:rsidR="00E304D2">
              <w:rPr>
                <w:rFonts w:ascii="Arial" w:eastAsia="宋体" w:hAnsi="Arial" w:cs="Arial"/>
              </w:rPr>
              <w:t>1</w:t>
            </w:r>
            <w:r w:rsidR="00E304D2">
              <w:rPr>
                <w:rFonts w:ascii="Arial" w:eastAsia="宋体" w:hAnsi="Arial" w:cs="Arial" w:hint="eastAsia"/>
              </w:rPr>
              <w:t>亿</w:t>
            </w:r>
            <w:r w:rsidRPr="004E12FD">
              <w:rPr>
                <w:rFonts w:ascii="Arial" w:eastAsia="宋体" w:hAnsi="Arial" w:cs="Arial" w:hint="eastAsia"/>
              </w:rPr>
              <w:t>元，同比增长</w:t>
            </w:r>
            <w:r w:rsidRPr="004E12FD">
              <w:rPr>
                <w:rFonts w:ascii="Arial" w:eastAsia="宋体" w:hAnsi="Arial" w:cs="Arial"/>
              </w:rPr>
              <w:t>43.50%</w:t>
            </w:r>
            <w:r w:rsidRPr="004E12FD">
              <w:rPr>
                <w:rFonts w:ascii="Arial" w:eastAsia="宋体" w:hAnsi="Arial" w:cs="Arial" w:hint="eastAsia"/>
              </w:rPr>
              <w:t>。</w:t>
            </w:r>
            <w:r>
              <w:rPr>
                <w:rFonts w:ascii="Arial" w:eastAsia="宋体" w:hAnsi="Arial" w:cs="Arial" w:hint="eastAsia"/>
              </w:rPr>
              <w:t>其中</w:t>
            </w:r>
            <w:r w:rsidRPr="004E12FD">
              <w:rPr>
                <w:rFonts w:ascii="Arial" w:eastAsia="宋体" w:hAnsi="Arial" w:cs="Arial" w:hint="eastAsia"/>
              </w:rPr>
              <w:t>新能源充电</w:t>
            </w:r>
            <w:proofErr w:type="gramStart"/>
            <w:r w:rsidRPr="004E12FD">
              <w:rPr>
                <w:rFonts w:ascii="Arial" w:eastAsia="宋体" w:hAnsi="Arial" w:cs="Arial" w:hint="eastAsia"/>
              </w:rPr>
              <w:t>桩业务</w:t>
            </w:r>
            <w:proofErr w:type="gramEnd"/>
            <w:r w:rsidRPr="004E12FD">
              <w:rPr>
                <w:rFonts w:ascii="Arial" w:eastAsia="宋体" w:hAnsi="Arial" w:cs="Arial" w:hint="eastAsia"/>
              </w:rPr>
              <w:t>实现营业收入</w:t>
            </w:r>
            <w:r w:rsidR="00E304D2">
              <w:rPr>
                <w:rFonts w:ascii="Arial" w:eastAsia="宋体" w:hAnsi="Arial" w:cs="Arial"/>
              </w:rPr>
              <w:t>5.67</w:t>
            </w:r>
            <w:r w:rsidR="00E304D2">
              <w:rPr>
                <w:rFonts w:ascii="Arial" w:eastAsia="宋体" w:hAnsi="Arial" w:cs="Arial" w:hint="eastAsia"/>
              </w:rPr>
              <w:t>亿</w:t>
            </w:r>
            <w:r w:rsidRPr="004E12FD">
              <w:rPr>
                <w:rFonts w:ascii="Arial" w:eastAsia="宋体" w:hAnsi="Arial" w:cs="Arial" w:hint="eastAsia"/>
              </w:rPr>
              <w:t>元，同比增长</w:t>
            </w:r>
            <w:r w:rsidRPr="004E12FD">
              <w:rPr>
                <w:rFonts w:ascii="Arial" w:eastAsia="宋体" w:hAnsi="Arial" w:cs="Arial"/>
              </w:rPr>
              <w:t>493.21%</w:t>
            </w:r>
            <w:r>
              <w:rPr>
                <w:rFonts w:ascii="Arial" w:eastAsia="宋体" w:hAnsi="Arial" w:cs="Arial" w:hint="eastAsia"/>
              </w:rPr>
              <w:t>，占收入的比重约</w:t>
            </w:r>
            <w:r>
              <w:rPr>
                <w:rFonts w:ascii="Arial" w:eastAsia="宋体" w:hAnsi="Arial" w:cs="Arial" w:hint="eastAsia"/>
              </w:rPr>
              <w:t>1</w:t>
            </w:r>
            <w:r>
              <w:rPr>
                <w:rFonts w:ascii="Arial" w:eastAsia="宋体" w:hAnsi="Arial" w:cs="Arial"/>
              </w:rPr>
              <w:t>7%</w:t>
            </w:r>
            <w:r>
              <w:rPr>
                <w:rFonts w:ascii="Arial" w:eastAsia="宋体" w:hAnsi="Arial" w:cs="Arial" w:hint="eastAsia"/>
              </w:rPr>
              <w:t>；数字维修业务实现营业收入</w:t>
            </w:r>
            <w:r w:rsidR="00E304D2">
              <w:rPr>
                <w:rFonts w:ascii="Arial" w:eastAsia="宋体" w:hAnsi="Arial" w:cs="Arial" w:hint="eastAsia"/>
              </w:rPr>
              <w:t>2</w:t>
            </w:r>
            <w:r w:rsidR="00E304D2">
              <w:rPr>
                <w:rFonts w:ascii="Arial" w:eastAsia="宋体" w:hAnsi="Arial" w:cs="Arial"/>
              </w:rPr>
              <w:t>6.49</w:t>
            </w:r>
            <w:r w:rsidR="00E304D2">
              <w:rPr>
                <w:rFonts w:ascii="Arial" w:eastAsia="宋体" w:hAnsi="Arial" w:cs="Arial" w:hint="eastAsia"/>
              </w:rPr>
              <w:t>亿元，同比增长</w:t>
            </w:r>
            <w:r w:rsidR="00E304D2">
              <w:rPr>
                <w:rFonts w:ascii="Arial" w:eastAsia="宋体" w:hAnsi="Arial" w:cs="Arial" w:hint="eastAsia"/>
              </w:rPr>
              <w:t>2</w:t>
            </w:r>
            <w:r w:rsidR="00E304D2">
              <w:rPr>
                <w:rFonts w:ascii="Arial" w:eastAsia="宋体" w:hAnsi="Arial" w:cs="Arial"/>
              </w:rPr>
              <w:t>4.15%</w:t>
            </w:r>
            <w:r w:rsidR="00E304D2">
              <w:rPr>
                <w:rFonts w:ascii="Arial" w:eastAsia="宋体" w:hAnsi="Arial" w:cs="Arial" w:hint="eastAsia"/>
              </w:rPr>
              <w:t>，占收入的比重约</w:t>
            </w:r>
            <w:r w:rsidR="00E304D2">
              <w:rPr>
                <w:rFonts w:ascii="Arial" w:eastAsia="宋体" w:hAnsi="Arial" w:cs="Arial" w:hint="eastAsia"/>
              </w:rPr>
              <w:t>8</w:t>
            </w:r>
            <w:r w:rsidR="00E304D2">
              <w:rPr>
                <w:rFonts w:ascii="Arial" w:eastAsia="宋体" w:hAnsi="Arial" w:cs="Arial"/>
              </w:rPr>
              <w:t>1</w:t>
            </w:r>
            <w:r w:rsidR="00E304D2">
              <w:rPr>
                <w:rFonts w:ascii="Arial" w:eastAsia="宋体" w:hAnsi="Arial" w:cs="Arial" w:hint="eastAsia"/>
              </w:rPr>
              <w:t>%</w:t>
            </w:r>
            <w:r w:rsidR="00E304D2">
              <w:rPr>
                <w:rFonts w:ascii="Arial" w:eastAsia="宋体" w:hAnsi="Arial" w:cs="Arial" w:hint="eastAsia"/>
              </w:rPr>
              <w:t>。</w:t>
            </w:r>
          </w:p>
          <w:p w14:paraId="72C3E9AD" w14:textId="506C4DFF" w:rsidR="006106FB" w:rsidRDefault="00E304D2" w:rsidP="00DD24F3">
            <w:pPr>
              <w:pStyle w:val="af5"/>
              <w:ind w:firstLine="480"/>
              <w:jc w:val="both"/>
              <w:rPr>
                <w:rFonts w:ascii="Arial" w:eastAsia="宋体" w:hAnsi="Arial" w:cs="Arial"/>
              </w:rPr>
            </w:pPr>
            <w:r>
              <w:rPr>
                <w:rFonts w:ascii="Arial" w:eastAsia="宋体" w:hAnsi="Arial" w:cs="Arial" w:hint="eastAsia"/>
              </w:rPr>
              <w:t>其中数字维修业务包括汽车综合诊断平板、</w:t>
            </w:r>
            <w:r>
              <w:rPr>
                <w:rFonts w:ascii="Arial" w:eastAsia="宋体" w:hAnsi="Arial" w:cs="Arial" w:hint="eastAsia"/>
              </w:rPr>
              <w:t>T</w:t>
            </w:r>
            <w:r>
              <w:rPr>
                <w:rFonts w:ascii="Arial" w:eastAsia="宋体" w:hAnsi="Arial" w:cs="Arial"/>
              </w:rPr>
              <w:t>PMS</w:t>
            </w:r>
            <w:r>
              <w:rPr>
                <w:rFonts w:ascii="Arial" w:eastAsia="宋体" w:hAnsi="Arial" w:cs="Arial" w:hint="eastAsia"/>
              </w:rPr>
              <w:t>产品、</w:t>
            </w:r>
            <w:r>
              <w:rPr>
                <w:rFonts w:ascii="Arial" w:eastAsia="宋体" w:hAnsi="Arial" w:cs="Arial" w:hint="eastAsia"/>
              </w:rPr>
              <w:t>A</w:t>
            </w:r>
            <w:r>
              <w:rPr>
                <w:rFonts w:ascii="Arial" w:eastAsia="宋体" w:hAnsi="Arial" w:cs="Arial"/>
              </w:rPr>
              <w:t>DAS</w:t>
            </w:r>
            <w:r>
              <w:rPr>
                <w:rFonts w:ascii="Arial" w:eastAsia="宋体" w:hAnsi="Arial" w:cs="Arial" w:hint="eastAsia"/>
              </w:rPr>
              <w:t>标定产品、软件升级服务等。从明细来看，汽车综合诊断平板实现收入</w:t>
            </w:r>
            <w:r>
              <w:rPr>
                <w:rFonts w:ascii="Arial" w:eastAsia="宋体" w:hAnsi="Arial" w:cs="Arial" w:hint="eastAsia"/>
              </w:rPr>
              <w:t>1</w:t>
            </w:r>
            <w:r>
              <w:rPr>
                <w:rFonts w:ascii="Arial" w:eastAsia="宋体" w:hAnsi="Arial" w:cs="Arial"/>
              </w:rPr>
              <w:t>2.87</w:t>
            </w:r>
            <w:r>
              <w:rPr>
                <w:rFonts w:ascii="Arial" w:eastAsia="宋体" w:hAnsi="Arial" w:cs="Arial" w:hint="eastAsia"/>
              </w:rPr>
              <w:t>亿元，同比增长</w:t>
            </w:r>
            <w:r>
              <w:rPr>
                <w:rFonts w:ascii="Arial" w:eastAsia="宋体" w:hAnsi="Arial" w:cs="Arial" w:hint="eastAsia"/>
              </w:rPr>
              <w:t>1</w:t>
            </w:r>
            <w:r>
              <w:rPr>
                <w:rFonts w:ascii="Arial" w:eastAsia="宋体" w:hAnsi="Arial" w:cs="Arial"/>
              </w:rPr>
              <w:t>2.05%</w:t>
            </w:r>
            <w:r>
              <w:rPr>
                <w:rFonts w:ascii="Arial" w:eastAsia="宋体" w:hAnsi="Arial" w:cs="Arial" w:hint="eastAsia"/>
              </w:rPr>
              <w:t>；</w:t>
            </w:r>
            <w:r>
              <w:rPr>
                <w:rFonts w:ascii="Arial" w:eastAsia="宋体" w:hAnsi="Arial" w:cs="Arial" w:hint="eastAsia"/>
              </w:rPr>
              <w:t>T</w:t>
            </w:r>
            <w:r>
              <w:rPr>
                <w:rFonts w:ascii="Arial" w:eastAsia="宋体" w:hAnsi="Arial" w:cs="Arial"/>
              </w:rPr>
              <w:t>PMS</w:t>
            </w:r>
            <w:r>
              <w:rPr>
                <w:rFonts w:ascii="Arial" w:eastAsia="宋体" w:hAnsi="Arial" w:cs="Arial" w:hint="eastAsia"/>
              </w:rPr>
              <w:t>产品实现收入</w:t>
            </w:r>
            <w:r>
              <w:rPr>
                <w:rFonts w:ascii="Arial" w:eastAsia="宋体" w:hAnsi="Arial" w:cs="Arial" w:hint="eastAsia"/>
              </w:rPr>
              <w:t>5</w:t>
            </w:r>
            <w:r>
              <w:rPr>
                <w:rFonts w:ascii="Arial" w:eastAsia="宋体" w:hAnsi="Arial" w:cs="Arial"/>
              </w:rPr>
              <w:t>.32</w:t>
            </w:r>
            <w:r>
              <w:rPr>
                <w:rFonts w:ascii="Arial" w:eastAsia="宋体" w:hAnsi="Arial" w:cs="Arial" w:hint="eastAsia"/>
              </w:rPr>
              <w:t>亿元，同比增长</w:t>
            </w:r>
            <w:r>
              <w:rPr>
                <w:rFonts w:ascii="Arial" w:eastAsia="宋体" w:hAnsi="Arial" w:cs="Arial" w:hint="eastAsia"/>
              </w:rPr>
              <w:t>2</w:t>
            </w:r>
            <w:r>
              <w:rPr>
                <w:rFonts w:ascii="Arial" w:eastAsia="宋体" w:hAnsi="Arial" w:cs="Arial"/>
              </w:rPr>
              <w:t>9.25%</w:t>
            </w:r>
            <w:r>
              <w:rPr>
                <w:rFonts w:ascii="Arial" w:eastAsia="宋体" w:hAnsi="Arial" w:cs="Arial" w:hint="eastAsia"/>
              </w:rPr>
              <w:t>；</w:t>
            </w:r>
            <w:r>
              <w:rPr>
                <w:rFonts w:ascii="Arial" w:eastAsia="宋体" w:hAnsi="Arial" w:cs="Arial" w:hint="eastAsia"/>
              </w:rPr>
              <w:t>A</w:t>
            </w:r>
            <w:r>
              <w:rPr>
                <w:rFonts w:ascii="Arial" w:eastAsia="宋体" w:hAnsi="Arial" w:cs="Arial"/>
              </w:rPr>
              <w:t>DAS</w:t>
            </w:r>
            <w:r>
              <w:rPr>
                <w:rFonts w:ascii="Arial" w:eastAsia="宋体" w:hAnsi="Arial" w:cs="Arial" w:hint="eastAsia"/>
              </w:rPr>
              <w:t>标定产品实现收入</w:t>
            </w:r>
            <w:r>
              <w:rPr>
                <w:rFonts w:ascii="Arial" w:eastAsia="宋体" w:hAnsi="Arial" w:cs="Arial" w:hint="eastAsia"/>
              </w:rPr>
              <w:t>3</w:t>
            </w:r>
            <w:r>
              <w:rPr>
                <w:rFonts w:ascii="Arial" w:eastAsia="宋体" w:hAnsi="Arial" w:cs="Arial"/>
              </w:rPr>
              <w:t>.07</w:t>
            </w:r>
            <w:r>
              <w:rPr>
                <w:rFonts w:ascii="Arial" w:eastAsia="宋体" w:hAnsi="Arial" w:cs="Arial" w:hint="eastAsia"/>
              </w:rPr>
              <w:t>亿元，同比增长</w:t>
            </w:r>
            <w:r>
              <w:rPr>
                <w:rFonts w:ascii="Arial" w:eastAsia="宋体" w:hAnsi="Arial" w:cs="Arial" w:hint="eastAsia"/>
              </w:rPr>
              <w:t>7</w:t>
            </w:r>
            <w:r>
              <w:rPr>
                <w:rFonts w:ascii="Arial" w:eastAsia="宋体" w:hAnsi="Arial" w:cs="Arial"/>
              </w:rPr>
              <w:t>5.34%</w:t>
            </w:r>
            <w:r>
              <w:rPr>
                <w:rFonts w:ascii="Arial" w:eastAsia="宋体" w:hAnsi="Arial" w:cs="Arial" w:hint="eastAsia"/>
              </w:rPr>
              <w:t>；软件升级服务实现收入</w:t>
            </w:r>
            <w:r>
              <w:rPr>
                <w:rFonts w:ascii="Arial" w:eastAsia="宋体" w:hAnsi="Arial" w:cs="Arial" w:hint="eastAsia"/>
              </w:rPr>
              <w:t>3</w:t>
            </w:r>
            <w:r>
              <w:rPr>
                <w:rFonts w:ascii="Arial" w:eastAsia="宋体" w:hAnsi="Arial" w:cs="Arial"/>
              </w:rPr>
              <w:t>.59</w:t>
            </w:r>
            <w:r>
              <w:rPr>
                <w:rFonts w:ascii="Arial" w:eastAsia="宋体" w:hAnsi="Arial" w:cs="Arial" w:hint="eastAsia"/>
              </w:rPr>
              <w:t>亿元，同比增长</w:t>
            </w:r>
            <w:r>
              <w:rPr>
                <w:rFonts w:ascii="Arial" w:eastAsia="宋体" w:hAnsi="Arial" w:cs="Arial" w:hint="eastAsia"/>
              </w:rPr>
              <w:t>1</w:t>
            </w:r>
            <w:r>
              <w:rPr>
                <w:rFonts w:ascii="Arial" w:eastAsia="宋体" w:hAnsi="Arial" w:cs="Arial"/>
              </w:rPr>
              <w:t>8.97%</w:t>
            </w:r>
            <w:r>
              <w:rPr>
                <w:rFonts w:ascii="Arial" w:eastAsia="宋体" w:hAnsi="Arial" w:cs="Arial" w:hint="eastAsia"/>
              </w:rPr>
              <w:t>。</w:t>
            </w:r>
          </w:p>
          <w:p w14:paraId="65F92054" w14:textId="77777777" w:rsidR="003A29D1" w:rsidRDefault="003A29D1" w:rsidP="00DD24F3">
            <w:pPr>
              <w:pStyle w:val="af5"/>
              <w:ind w:firstLine="480"/>
              <w:jc w:val="both"/>
              <w:rPr>
                <w:rFonts w:ascii="Arial" w:eastAsia="宋体" w:hAnsi="Arial" w:cs="Arial"/>
              </w:rPr>
            </w:pPr>
          </w:p>
          <w:p w14:paraId="16DF7AD1" w14:textId="5AB907DA" w:rsidR="00790E31" w:rsidRDefault="00790E31" w:rsidP="00790E31">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二</w:t>
            </w:r>
            <w:r w:rsidRPr="00774DC6">
              <w:rPr>
                <w:rFonts w:ascii="Arial" w:eastAsia="宋体" w:hAnsi="Arial" w:cs="Arial"/>
                <w:b/>
                <w:bCs/>
              </w:rPr>
              <w:t>：</w:t>
            </w:r>
            <w:r>
              <w:rPr>
                <w:rFonts w:ascii="Arial" w:eastAsia="宋体" w:hAnsi="Arial" w:cs="Arial" w:hint="eastAsia"/>
                <w:b/>
                <w:bCs/>
              </w:rPr>
              <w:t>请介绍数字维修业务的几个细分产品情况？</w:t>
            </w:r>
          </w:p>
          <w:p w14:paraId="076F2099" w14:textId="0955ED74" w:rsidR="00790E31" w:rsidRDefault="00790E31" w:rsidP="00614B8D">
            <w:pPr>
              <w:pStyle w:val="af5"/>
              <w:numPr>
                <w:ilvl w:val="0"/>
                <w:numId w:val="25"/>
              </w:numPr>
              <w:ind w:left="451" w:firstLineChars="0" w:firstLine="0"/>
              <w:jc w:val="both"/>
              <w:rPr>
                <w:rFonts w:ascii="Arial" w:eastAsia="宋体" w:hAnsi="Arial" w:cs="Arial"/>
              </w:rPr>
            </w:pPr>
            <w:r>
              <w:rPr>
                <w:rFonts w:ascii="Arial" w:eastAsia="宋体" w:hAnsi="Arial" w:cs="Arial" w:hint="eastAsia"/>
              </w:rPr>
              <w:t>汽车综合诊断平板</w:t>
            </w:r>
          </w:p>
          <w:p w14:paraId="66019778" w14:textId="2E67B25F" w:rsidR="00790E31" w:rsidRPr="00790E31" w:rsidRDefault="00790E31" w:rsidP="00790E31">
            <w:pPr>
              <w:pStyle w:val="af5"/>
              <w:ind w:firstLine="480"/>
              <w:jc w:val="both"/>
              <w:rPr>
                <w:rFonts w:ascii="Arial" w:eastAsia="宋体" w:hAnsi="Arial" w:cs="Arial"/>
              </w:rPr>
            </w:pPr>
            <w:r>
              <w:rPr>
                <w:rFonts w:ascii="Arial" w:eastAsia="宋体" w:hAnsi="Arial" w:cs="Arial" w:hint="eastAsia"/>
              </w:rPr>
              <w:t>公司的汽车综合诊断平板</w:t>
            </w:r>
            <w:r w:rsidRPr="00790E31">
              <w:rPr>
                <w:rFonts w:ascii="Arial" w:eastAsia="宋体" w:hAnsi="Arial" w:cs="Arial" w:hint="eastAsia"/>
              </w:rPr>
              <w:t>目标市场主要为独立</w:t>
            </w:r>
            <w:r>
              <w:rPr>
                <w:rFonts w:ascii="Arial" w:eastAsia="宋体" w:hAnsi="Arial" w:cs="Arial" w:hint="eastAsia"/>
              </w:rPr>
              <w:t>的第三方</w:t>
            </w:r>
            <w:r w:rsidRPr="00790E31">
              <w:rPr>
                <w:rFonts w:ascii="Arial" w:eastAsia="宋体" w:hAnsi="Arial" w:cs="Arial" w:hint="eastAsia"/>
              </w:rPr>
              <w:t>汽车维修店</w:t>
            </w:r>
            <w:r>
              <w:rPr>
                <w:rFonts w:ascii="Arial" w:eastAsia="宋体" w:hAnsi="Arial" w:cs="Arial" w:hint="eastAsia"/>
              </w:rPr>
              <w:t>，</w:t>
            </w:r>
            <w:r w:rsidRPr="00790E31">
              <w:rPr>
                <w:rFonts w:ascii="Arial" w:eastAsia="宋体" w:hAnsi="Arial" w:cs="Arial" w:hint="eastAsia"/>
              </w:rPr>
              <w:t>是独立汽修店</w:t>
            </w:r>
            <w:r>
              <w:rPr>
                <w:rFonts w:ascii="Arial" w:eastAsia="宋体" w:hAnsi="Arial" w:cs="Arial" w:hint="eastAsia"/>
              </w:rPr>
              <w:t>必备的重要的生产工具，产品</w:t>
            </w:r>
            <w:r w:rsidRPr="00790E31">
              <w:rPr>
                <w:rFonts w:ascii="Arial" w:eastAsia="宋体" w:hAnsi="Arial" w:cs="Arial" w:hint="eastAsia"/>
              </w:rPr>
              <w:t>能够兼容不同</w:t>
            </w:r>
            <w:r>
              <w:rPr>
                <w:rFonts w:ascii="Arial" w:eastAsia="宋体" w:hAnsi="Arial" w:cs="Arial" w:hint="eastAsia"/>
              </w:rPr>
              <w:t>的</w:t>
            </w:r>
            <w:r w:rsidRPr="00790E31">
              <w:rPr>
                <w:rFonts w:ascii="Arial" w:eastAsia="宋体" w:hAnsi="Arial" w:cs="Arial" w:hint="eastAsia"/>
              </w:rPr>
              <w:t>品牌和车型，能将大部分车型的日常故障检测和维修过程变得非常简便，极大地缩短检测</w:t>
            </w:r>
            <w:r>
              <w:rPr>
                <w:rFonts w:ascii="Arial" w:eastAsia="宋体" w:hAnsi="Arial" w:cs="Arial" w:hint="eastAsia"/>
              </w:rPr>
              <w:t>和维修</w:t>
            </w:r>
            <w:r w:rsidRPr="00790E31">
              <w:rPr>
                <w:rFonts w:ascii="Arial" w:eastAsia="宋体" w:hAnsi="Arial" w:cs="Arial" w:hint="eastAsia"/>
              </w:rPr>
              <w:t>时间。</w:t>
            </w:r>
            <w:r>
              <w:rPr>
                <w:rFonts w:ascii="Arial" w:eastAsia="宋体" w:hAnsi="Arial" w:cs="Arial" w:hint="eastAsia"/>
              </w:rPr>
              <w:t>公司</w:t>
            </w:r>
            <w:r w:rsidRPr="00790E31">
              <w:rPr>
                <w:rFonts w:ascii="Arial" w:eastAsia="宋体" w:hAnsi="Arial" w:cs="Arial" w:hint="eastAsia"/>
              </w:rPr>
              <w:t>产品的核心竞争力主要体现在产品对品牌和车型兼容能力、便捷性、功能全面性</w:t>
            </w:r>
            <w:r>
              <w:rPr>
                <w:rFonts w:ascii="Arial" w:eastAsia="宋体" w:hAnsi="Arial" w:cs="Arial" w:hint="eastAsia"/>
              </w:rPr>
              <w:t>、</w:t>
            </w:r>
            <w:r w:rsidRPr="00790E31">
              <w:rPr>
                <w:rFonts w:ascii="Arial" w:eastAsia="宋体" w:hAnsi="Arial" w:cs="Arial" w:hint="eastAsia"/>
              </w:rPr>
              <w:t>准确性</w:t>
            </w:r>
            <w:r>
              <w:rPr>
                <w:rFonts w:ascii="Arial" w:eastAsia="宋体" w:hAnsi="Arial" w:cs="Arial" w:hint="eastAsia"/>
              </w:rPr>
              <w:t>及软硬件一体化</w:t>
            </w:r>
            <w:r w:rsidRPr="00790E31">
              <w:rPr>
                <w:rFonts w:ascii="Arial" w:eastAsia="宋体" w:hAnsi="Arial" w:cs="Arial" w:hint="eastAsia"/>
              </w:rPr>
              <w:t>等方面。</w:t>
            </w:r>
          </w:p>
          <w:p w14:paraId="55E41A70" w14:textId="218221C4" w:rsidR="00E304D2" w:rsidRDefault="00790E31" w:rsidP="00614B8D">
            <w:pPr>
              <w:pStyle w:val="af5"/>
              <w:numPr>
                <w:ilvl w:val="0"/>
                <w:numId w:val="25"/>
              </w:numPr>
              <w:ind w:left="451" w:firstLineChars="0" w:firstLine="0"/>
              <w:jc w:val="both"/>
              <w:rPr>
                <w:rFonts w:ascii="Arial" w:eastAsia="宋体" w:hAnsi="Arial" w:cs="Arial"/>
              </w:rPr>
            </w:pPr>
            <w:r>
              <w:rPr>
                <w:rFonts w:ascii="Arial" w:eastAsia="宋体" w:hAnsi="Arial" w:cs="Arial" w:hint="eastAsia"/>
              </w:rPr>
              <w:t>T</w:t>
            </w:r>
            <w:r>
              <w:rPr>
                <w:rFonts w:ascii="Arial" w:eastAsia="宋体" w:hAnsi="Arial" w:cs="Arial"/>
              </w:rPr>
              <w:t>PMS</w:t>
            </w:r>
            <w:r w:rsidR="00286887">
              <w:rPr>
                <w:rFonts w:ascii="Arial" w:eastAsia="宋体" w:hAnsi="Arial" w:cs="Arial" w:hint="eastAsia"/>
              </w:rPr>
              <w:t>（</w:t>
            </w:r>
            <w:r w:rsidR="00286887" w:rsidRPr="00286887">
              <w:rPr>
                <w:rFonts w:ascii="Arial" w:eastAsia="宋体" w:hAnsi="Arial" w:cs="Arial"/>
              </w:rPr>
              <w:t>胎压监测系统</w:t>
            </w:r>
            <w:r w:rsidR="00286887">
              <w:rPr>
                <w:rFonts w:ascii="Arial" w:eastAsia="宋体" w:hAnsi="Arial" w:cs="Arial" w:hint="eastAsia"/>
              </w:rPr>
              <w:t>）</w:t>
            </w:r>
            <w:r>
              <w:rPr>
                <w:rFonts w:ascii="Arial" w:eastAsia="宋体" w:hAnsi="Arial" w:cs="Arial" w:hint="eastAsia"/>
              </w:rPr>
              <w:t>产品</w:t>
            </w:r>
          </w:p>
          <w:p w14:paraId="1130E36B" w14:textId="0DAB5178" w:rsidR="00790E31" w:rsidRPr="00790E31" w:rsidRDefault="00286887" w:rsidP="00790E31">
            <w:pPr>
              <w:pStyle w:val="af5"/>
              <w:ind w:firstLine="480"/>
              <w:jc w:val="both"/>
              <w:rPr>
                <w:rFonts w:ascii="Arial" w:eastAsia="宋体" w:hAnsi="Arial" w:cs="Arial"/>
              </w:rPr>
            </w:pPr>
            <w:r>
              <w:rPr>
                <w:rFonts w:ascii="Arial" w:eastAsia="宋体" w:hAnsi="Arial" w:cs="Arial" w:hint="eastAsia"/>
              </w:rPr>
              <w:t>T</w:t>
            </w:r>
            <w:r>
              <w:rPr>
                <w:rFonts w:ascii="Arial" w:eastAsia="宋体" w:hAnsi="Arial" w:cs="Arial"/>
              </w:rPr>
              <w:t>PMS</w:t>
            </w:r>
            <w:r>
              <w:rPr>
                <w:rFonts w:ascii="Arial" w:eastAsia="宋体" w:hAnsi="Arial" w:cs="Arial" w:hint="eastAsia"/>
              </w:rPr>
              <w:t>产品</w:t>
            </w:r>
            <w:r w:rsidR="00790E31" w:rsidRPr="00790E31">
              <w:rPr>
                <w:rFonts w:ascii="Arial" w:eastAsia="宋体" w:hAnsi="Arial" w:cs="Arial" w:hint="eastAsia"/>
              </w:rPr>
              <w:t>是通过在车辆的每个车轮上安装具有监测轮胎状态的传感器，可有效预防爆胎事故，提高车辆安全性，还可使轮胎时刻处于最佳使用状态，保障燃油经济性和轮胎寿命。</w:t>
            </w:r>
            <w:r w:rsidR="00790E31" w:rsidRPr="00790E31">
              <w:rPr>
                <w:rFonts w:ascii="Arial" w:eastAsia="宋体" w:hAnsi="Arial" w:cs="Arial"/>
              </w:rPr>
              <w:t>TPMS</w:t>
            </w:r>
            <w:r w:rsidR="00790E31" w:rsidRPr="00790E31">
              <w:rPr>
                <w:rFonts w:ascii="Arial" w:eastAsia="宋体" w:hAnsi="Arial" w:cs="Arial" w:hint="eastAsia"/>
              </w:rPr>
              <w:t>因其良好的安全、节能功用得到了广泛的认可，美国、欧洲、中国相继通过立法将其列为车辆出厂标准配备。</w:t>
            </w:r>
          </w:p>
          <w:p w14:paraId="2802A0B1" w14:textId="648E9EBC" w:rsidR="0062759D" w:rsidRDefault="00790E31" w:rsidP="00DD24F3">
            <w:pPr>
              <w:pStyle w:val="af5"/>
              <w:ind w:firstLine="480"/>
              <w:jc w:val="both"/>
              <w:rPr>
                <w:rFonts w:ascii="Arial" w:eastAsia="宋体" w:hAnsi="Arial" w:cs="Arial"/>
              </w:rPr>
            </w:pPr>
            <w:r w:rsidRPr="00790E31">
              <w:rPr>
                <w:rFonts w:ascii="Arial" w:eastAsia="宋体" w:hAnsi="Arial" w:cs="Arial"/>
              </w:rPr>
              <w:t>TPMS</w:t>
            </w:r>
            <w:r w:rsidRPr="00790E31">
              <w:rPr>
                <w:rFonts w:ascii="Arial" w:eastAsia="宋体" w:hAnsi="Arial" w:cs="Arial" w:hint="eastAsia"/>
              </w:rPr>
              <w:t>传感器通过电池供电进行无线射频传输，由于供电电池使用寿命的限制，汽车后市场存在大量的耗用替换需求。随着强制性法规的出台和实施以及广大车主安全意识的提升，后装市场对</w:t>
            </w:r>
            <w:r w:rsidRPr="00790E31">
              <w:rPr>
                <w:rFonts w:ascii="Arial" w:eastAsia="宋体" w:hAnsi="Arial" w:cs="Arial"/>
              </w:rPr>
              <w:t>TPMS</w:t>
            </w:r>
            <w:r w:rsidRPr="00790E31">
              <w:rPr>
                <w:rFonts w:ascii="Arial" w:eastAsia="宋体" w:hAnsi="Arial" w:cs="Arial" w:hint="eastAsia"/>
              </w:rPr>
              <w:t>传感器的需求开始迅速增长</w:t>
            </w:r>
            <w:r w:rsidR="00A36794">
              <w:rPr>
                <w:rFonts w:ascii="Arial" w:eastAsia="宋体" w:hAnsi="Arial" w:cs="Arial" w:hint="eastAsia"/>
              </w:rPr>
              <w:t>。</w:t>
            </w:r>
          </w:p>
          <w:p w14:paraId="4E6C78B9" w14:textId="4731A9F9" w:rsidR="00A36794" w:rsidRDefault="00A36794" w:rsidP="00614B8D">
            <w:pPr>
              <w:pStyle w:val="af5"/>
              <w:numPr>
                <w:ilvl w:val="0"/>
                <w:numId w:val="25"/>
              </w:numPr>
              <w:ind w:left="451" w:firstLineChars="0" w:firstLine="0"/>
              <w:jc w:val="both"/>
              <w:rPr>
                <w:rFonts w:ascii="Arial" w:eastAsia="宋体" w:hAnsi="Arial" w:cs="Arial"/>
              </w:rPr>
            </w:pPr>
            <w:r>
              <w:rPr>
                <w:rFonts w:ascii="Arial" w:eastAsia="宋体" w:hAnsi="Arial" w:cs="Arial" w:hint="eastAsia"/>
              </w:rPr>
              <w:t>A</w:t>
            </w:r>
            <w:r>
              <w:rPr>
                <w:rFonts w:ascii="Arial" w:eastAsia="宋体" w:hAnsi="Arial" w:cs="Arial"/>
              </w:rPr>
              <w:t>DAS</w:t>
            </w:r>
            <w:r w:rsidR="00286887">
              <w:rPr>
                <w:rFonts w:ascii="Arial" w:eastAsia="宋体" w:hAnsi="Arial" w:cs="Arial" w:hint="eastAsia"/>
              </w:rPr>
              <w:t>（</w:t>
            </w:r>
            <w:r w:rsidR="00286887" w:rsidRPr="00286887">
              <w:rPr>
                <w:rFonts w:ascii="Arial" w:eastAsia="宋体" w:hAnsi="Arial" w:cs="Arial"/>
              </w:rPr>
              <w:t>高级驾驶辅助系统</w:t>
            </w:r>
            <w:r w:rsidR="00286887">
              <w:rPr>
                <w:rFonts w:ascii="Arial" w:eastAsia="宋体" w:hAnsi="Arial" w:cs="Arial" w:hint="eastAsia"/>
              </w:rPr>
              <w:t>）</w:t>
            </w:r>
            <w:r>
              <w:rPr>
                <w:rFonts w:ascii="Arial" w:eastAsia="宋体" w:hAnsi="Arial" w:cs="Arial" w:hint="eastAsia"/>
              </w:rPr>
              <w:t>标定产品</w:t>
            </w:r>
          </w:p>
          <w:p w14:paraId="34EAC51F" w14:textId="0CCCAE2A" w:rsidR="00A36794" w:rsidRDefault="00A36794" w:rsidP="00A36794">
            <w:pPr>
              <w:pStyle w:val="af5"/>
              <w:ind w:firstLine="480"/>
              <w:jc w:val="both"/>
              <w:rPr>
                <w:rFonts w:ascii="Arial" w:eastAsia="宋体" w:hAnsi="Arial" w:cs="Arial"/>
              </w:rPr>
            </w:pPr>
            <w:r w:rsidRPr="00A36794">
              <w:rPr>
                <w:rFonts w:ascii="Arial" w:eastAsia="宋体" w:hAnsi="Arial" w:cs="Arial" w:hint="eastAsia"/>
              </w:rPr>
              <w:t>随着前装市场</w:t>
            </w:r>
            <w:r w:rsidRPr="00A36794">
              <w:rPr>
                <w:rFonts w:ascii="Arial" w:eastAsia="宋体" w:hAnsi="Arial" w:cs="Arial"/>
              </w:rPr>
              <w:t>ADAS</w:t>
            </w:r>
            <w:r w:rsidRPr="00A36794">
              <w:rPr>
                <w:rFonts w:ascii="Arial" w:eastAsia="宋体" w:hAnsi="Arial" w:cs="Arial" w:hint="eastAsia"/>
              </w:rPr>
              <w:t>渗透率提升，人们对汽车安全性考虑以及汽车保险公司的推动，后市场对</w:t>
            </w:r>
            <w:r w:rsidRPr="00A36794">
              <w:rPr>
                <w:rFonts w:ascii="Arial" w:eastAsia="宋体" w:hAnsi="Arial" w:cs="Arial"/>
              </w:rPr>
              <w:t>ADAS</w:t>
            </w:r>
            <w:r w:rsidRPr="00A36794">
              <w:rPr>
                <w:rFonts w:ascii="Arial" w:eastAsia="宋体" w:hAnsi="Arial" w:cs="Arial" w:hint="eastAsia"/>
              </w:rPr>
              <w:t>标定需求也随之迅速增长；同时由于</w:t>
            </w:r>
            <w:r w:rsidRPr="00A36794">
              <w:rPr>
                <w:rFonts w:ascii="Arial" w:eastAsia="宋体" w:hAnsi="Arial" w:cs="Arial"/>
              </w:rPr>
              <w:t>ADAS</w:t>
            </w:r>
            <w:r w:rsidRPr="00A36794">
              <w:rPr>
                <w:rFonts w:ascii="Arial" w:eastAsia="宋体" w:hAnsi="Arial" w:cs="Arial" w:hint="eastAsia"/>
              </w:rPr>
              <w:t>标定需</w:t>
            </w:r>
            <w:r w:rsidRPr="00A36794">
              <w:rPr>
                <w:rFonts w:ascii="Arial" w:eastAsia="宋体" w:hAnsi="Arial" w:cs="Arial" w:hint="eastAsia"/>
              </w:rPr>
              <w:lastRenderedPageBreak/>
              <w:t>要基于汽车轮胎的定位，对后市场维修流程和检修设备的集中程度提出了更高要求。</w:t>
            </w:r>
            <w:r>
              <w:rPr>
                <w:rFonts w:ascii="Arial" w:eastAsia="宋体" w:hAnsi="Arial" w:cs="Arial"/>
              </w:rPr>
              <w:t>ADAS</w:t>
            </w:r>
            <w:r>
              <w:rPr>
                <w:rFonts w:ascii="Arial" w:eastAsia="宋体" w:hAnsi="Arial" w:cs="Arial" w:hint="eastAsia"/>
              </w:rPr>
              <w:t>标定产品单价较高、应用场景较广，已成为公司数字维修业务中增长最快的细分产品。</w:t>
            </w:r>
          </w:p>
          <w:p w14:paraId="4904FB5B" w14:textId="30FAB9FF" w:rsidR="00A36794" w:rsidRDefault="00A36794" w:rsidP="00614B8D">
            <w:pPr>
              <w:pStyle w:val="af5"/>
              <w:numPr>
                <w:ilvl w:val="0"/>
                <w:numId w:val="25"/>
              </w:numPr>
              <w:ind w:left="451" w:firstLineChars="0" w:firstLine="0"/>
              <w:jc w:val="both"/>
              <w:rPr>
                <w:rFonts w:ascii="Arial" w:eastAsia="宋体" w:hAnsi="Arial" w:cs="Arial"/>
              </w:rPr>
            </w:pPr>
            <w:r>
              <w:rPr>
                <w:rFonts w:ascii="Arial" w:eastAsia="宋体" w:hAnsi="Arial" w:cs="Arial" w:hint="eastAsia"/>
              </w:rPr>
              <w:t>软件升级服务</w:t>
            </w:r>
          </w:p>
          <w:p w14:paraId="28611F4E" w14:textId="58EB48D3" w:rsidR="00A36794" w:rsidRDefault="00A36794" w:rsidP="00A36794">
            <w:pPr>
              <w:pStyle w:val="af5"/>
              <w:ind w:firstLine="480"/>
              <w:jc w:val="both"/>
              <w:rPr>
                <w:rFonts w:ascii="Arial" w:eastAsia="宋体" w:hAnsi="Arial" w:cs="Arial"/>
              </w:rPr>
            </w:pPr>
            <w:r w:rsidRPr="00774DC6">
              <w:rPr>
                <w:rFonts w:ascii="Arial" w:eastAsia="宋体" w:hAnsi="Arial" w:cs="Arial"/>
              </w:rPr>
              <w:t>汽车诊断的软件</w:t>
            </w:r>
            <w:proofErr w:type="gramStart"/>
            <w:r w:rsidRPr="00774DC6">
              <w:rPr>
                <w:rFonts w:ascii="Arial" w:eastAsia="宋体" w:hAnsi="Arial" w:cs="Arial"/>
              </w:rPr>
              <w:t>云服务</w:t>
            </w:r>
            <w:proofErr w:type="gramEnd"/>
            <w:r w:rsidRPr="00774DC6">
              <w:rPr>
                <w:rFonts w:ascii="Arial" w:eastAsia="宋体" w:hAnsi="Arial" w:cs="Arial"/>
              </w:rPr>
              <w:t>产品在北美、欧洲等市场采用后续软件升级收费模式，该收费模式下，智能终端产品所附带的免费软件升级期限到期后，需要通过在线升级或购买预付升级卡等方式购买软件升级，完成车型的更新和功能的拓展等后续软件云服务。</w:t>
            </w:r>
          </w:p>
          <w:p w14:paraId="5555B8D8" w14:textId="77777777" w:rsidR="003A29D1" w:rsidRDefault="003A29D1" w:rsidP="00A36794">
            <w:pPr>
              <w:pStyle w:val="af5"/>
              <w:ind w:firstLine="480"/>
              <w:jc w:val="both"/>
              <w:rPr>
                <w:rFonts w:ascii="Arial" w:eastAsia="宋体" w:hAnsi="Arial" w:cs="Arial"/>
              </w:rPr>
            </w:pPr>
          </w:p>
          <w:p w14:paraId="76F18DB3" w14:textId="4C23224E" w:rsidR="006C0764" w:rsidRDefault="006C0764" w:rsidP="006C0764">
            <w:pPr>
              <w:pStyle w:val="af5"/>
              <w:ind w:firstLine="482"/>
              <w:jc w:val="both"/>
              <w:rPr>
                <w:rFonts w:ascii="Arial" w:eastAsia="宋体" w:hAnsi="Arial" w:cs="Arial"/>
                <w:b/>
                <w:bCs/>
              </w:rPr>
            </w:pPr>
            <w:bookmarkStart w:id="2" w:name="_Hlk163490698"/>
            <w:bookmarkEnd w:id="1"/>
            <w:r w:rsidRPr="00774DC6">
              <w:rPr>
                <w:rFonts w:ascii="Arial" w:eastAsia="宋体" w:hAnsi="Arial" w:cs="Arial"/>
                <w:b/>
                <w:bCs/>
              </w:rPr>
              <w:t>问题</w:t>
            </w:r>
            <w:r>
              <w:rPr>
                <w:rFonts w:ascii="Arial" w:eastAsia="宋体" w:hAnsi="Arial" w:cs="Arial" w:hint="eastAsia"/>
                <w:b/>
                <w:bCs/>
              </w:rPr>
              <w:t>三</w:t>
            </w:r>
            <w:r w:rsidRPr="00774DC6">
              <w:rPr>
                <w:rFonts w:ascii="Arial" w:eastAsia="宋体" w:hAnsi="Arial" w:cs="Arial"/>
                <w:b/>
                <w:bCs/>
              </w:rPr>
              <w:t>：</w:t>
            </w:r>
            <w:r>
              <w:rPr>
                <w:rFonts w:ascii="Arial" w:eastAsia="宋体" w:hAnsi="Arial" w:cs="Arial" w:hint="eastAsia"/>
                <w:b/>
                <w:bCs/>
              </w:rPr>
              <w:t>数字维修业务的市场前景如何？</w:t>
            </w:r>
          </w:p>
          <w:p w14:paraId="6912D45F" w14:textId="77777777" w:rsidR="006C0764" w:rsidRPr="006C0764" w:rsidRDefault="006C0764" w:rsidP="006C0764">
            <w:pPr>
              <w:pStyle w:val="af5"/>
              <w:ind w:firstLine="480"/>
              <w:jc w:val="both"/>
              <w:rPr>
                <w:rFonts w:ascii="Arial" w:eastAsia="宋体" w:hAnsi="Arial" w:cs="Arial"/>
              </w:rPr>
            </w:pPr>
            <w:r w:rsidRPr="006C0764">
              <w:rPr>
                <w:rFonts w:ascii="Arial" w:eastAsia="宋体" w:hAnsi="Arial" w:cs="Arial" w:hint="eastAsia"/>
              </w:rPr>
              <w:t>随着经济社会的快速发展，全球汽车保有量的增加、平均车龄增长、汽车电子化程度不断提升带动服务的智能化、多样化需求推动汽车智能诊断、检测行业市场规模的持续提升。</w:t>
            </w:r>
          </w:p>
          <w:p w14:paraId="2362FA33" w14:textId="47C0727D" w:rsidR="00A36794" w:rsidRDefault="006C0764" w:rsidP="006C0764">
            <w:pPr>
              <w:pStyle w:val="af5"/>
              <w:ind w:firstLine="480"/>
              <w:jc w:val="both"/>
              <w:rPr>
                <w:rFonts w:ascii="Arial" w:eastAsia="宋体" w:hAnsi="Arial" w:cs="Arial"/>
              </w:rPr>
            </w:pPr>
            <w:r w:rsidRPr="006C0764">
              <w:rPr>
                <w:rFonts w:ascii="Arial" w:eastAsia="宋体" w:hAnsi="Arial" w:cs="Arial" w:hint="eastAsia"/>
              </w:rPr>
              <w:t>此外，互联网、大数据和人工智能技术的发展推动了汽车后市场数字化升级和产业互联，电动化趋势要求汽车智能综合诊断产品对燃油车动力系统的覆盖扩展到电动化时代下的电机、电控及电池系统的覆盖，智能化趋势</w:t>
            </w:r>
            <w:proofErr w:type="gramStart"/>
            <w:r w:rsidRPr="006C0764">
              <w:rPr>
                <w:rFonts w:ascii="Arial" w:eastAsia="宋体" w:hAnsi="Arial" w:cs="Arial" w:hint="eastAsia"/>
              </w:rPr>
              <w:t>下高级</w:t>
            </w:r>
            <w:proofErr w:type="gramEnd"/>
            <w:r w:rsidRPr="006C0764">
              <w:rPr>
                <w:rFonts w:ascii="Arial" w:eastAsia="宋体" w:hAnsi="Arial" w:cs="Arial" w:hint="eastAsia"/>
              </w:rPr>
              <w:t>辅助驾驶系统在降低汽车碰撞维修频率的同时又大幅增加了对各种智能传感器的维修和替换需求，由此催生出与传统汽车不同的专业后端服务市场需求，未来新能源汽车后市场仍然存在巨大的成长空间。</w:t>
            </w:r>
          </w:p>
          <w:p w14:paraId="3CF5023F" w14:textId="77777777" w:rsidR="003A29D1" w:rsidRPr="006C0764" w:rsidRDefault="003A29D1" w:rsidP="006C0764">
            <w:pPr>
              <w:pStyle w:val="af5"/>
              <w:ind w:firstLine="480"/>
              <w:jc w:val="both"/>
              <w:rPr>
                <w:rFonts w:ascii="Arial" w:eastAsia="宋体" w:hAnsi="Arial" w:cs="Arial"/>
              </w:rPr>
            </w:pPr>
          </w:p>
          <w:p w14:paraId="3D0E2379" w14:textId="64FF2DB9" w:rsidR="00E83FFC" w:rsidRDefault="00E83FFC" w:rsidP="00E83FFC">
            <w:pPr>
              <w:pStyle w:val="af5"/>
              <w:ind w:firstLine="482"/>
              <w:jc w:val="both"/>
              <w:rPr>
                <w:rFonts w:ascii="Arial" w:eastAsia="宋体" w:hAnsi="Arial" w:cs="Arial"/>
                <w:b/>
                <w:bCs/>
              </w:rPr>
            </w:pPr>
            <w:bookmarkStart w:id="3" w:name="_Hlk163490912"/>
            <w:bookmarkEnd w:id="2"/>
            <w:r w:rsidRPr="00774DC6">
              <w:rPr>
                <w:rFonts w:ascii="Arial" w:eastAsia="宋体" w:hAnsi="Arial" w:cs="Arial"/>
                <w:b/>
                <w:bCs/>
              </w:rPr>
              <w:t>问题</w:t>
            </w:r>
            <w:r w:rsidR="00E43DE2">
              <w:rPr>
                <w:rFonts w:ascii="Arial" w:eastAsia="宋体" w:hAnsi="Arial" w:cs="Arial" w:hint="eastAsia"/>
                <w:b/>
                <w:bCs/>
              </w:rPr>
              <w:t>四</w:t>
            </w:r>
            <w:r>
              <w:rPr>
                <w:rFonts w:ascii="Arial" w:eastAsia="宋体" w:hAnsi="Arial" w:cs="Arial" w:hint="eastAsia"/>
                <w:b/>
                <w:bCs/>
              </w:rPr>
              <w:t>：欧美充电</w:t>
            </w:r>
            <w:proofErr w:type="gramStart"/>
            <w:r>
              <w:rPr>
                <w:rFonts w:ascii="Arial" w:eastAsia="宋体" w:hAnsi="Arial" w:cs="Arial" w:hint="eastAsia"/>
                <w:b/>
                <w:bCs/>
              </w:rPr>
              <w:t>桩市场</w:t>
            </w:r>
            <w:proofErr w:type="gramEnd"/>
            <w:r w:rsidR="0025015D">
              <w:rPr>
                <w:rFonts w:ascii="Arial" w:eastAsia="宋体" w:hAnsi="Arial" w:cs="Arial" w:hint="eastAsia"/>
                <w:b/>
                <w:bCs/>
              </w:rPr>
              <w:t>空间</w:t>
            </w:r>
            <w:r>
              <w:rPr>
                <w:rFonts w:ascii="Arial" w:eastAsia="宋体" w:hAnsi="Arial" w:cs="Arial" w:hint="eastAsia"/>
                <w:b/>
                <w:bCs/>
              </w:rPr>
              <w:t>如何？</w:t>
            </w:r>
            <w:r>
              <w:rPr>
                <w:rFonts w:ascii="Arial" w:eastAsia="宋体" w:hAnsi="Arial" w:cs="Arial"/>
                <w:b/>
                <w:bCs/>
              </w:rPr>
              <w:t xml:space="preserve"> </w:t>
            </w:r>
          </w:p>
          <w:bookmarkEnd w:id="3"/>
          <w:p w14:paraId="6E27B561" w14:textId="2C16A859" w:rsidR="000756DA" w:rsidRPr="00F4626A" w:rsidRDefault="000756DA" w:rsidP="000756DA">
            <w:pPr>
              <w:pStyle w:val="af5"/>
              <w:ind w:firstLine="480"/>
              <w:jc w:val="both"/>
              <w:rPr>
                <w:rFonts w:ascii="Arial" w:eastAsia="宋体" w:hAnsi="Arial" w:cs="Arial"/>
              </w:rPr>
            </w:pPr>
            <w:r w:rsidRPr="00F4626A">
              <w:rPr>
                <w:rFonts w:ascii="Arial" w:eastAsia="宋体" w:hAnsi="Arial" w:cs="Arial" w:hint="eastAsia"/>
              </w:rPr>
              <w:t>根据国际能源署（</w:t>
            </w:r>
            <w:r w:rsidRPr="00F4626A">
              <w:rPr>
                <w:rFonts w:ascii="Arial" w:eastAsia="宋体" w:hAnsi="Arial" w:cs="Arial"/>
              </w:rPr>
              <w:t>IEA</w:t>
            </w:r>
            <w:r w:rsidRPr="00F4626A">
              <w:rPr>
                <w:rFonts w:ascii="Arial" w:eastAsia="宋体" w:hAnsi="Arial" w:cs="Arial" w:hint="eastAsia"/>
              </w:rPr>
              <w:t>）发布的《</w:t>
            </w:r>
            <w:r w:rsidRPr="00F4626A">
              <w:rPr>
                <w:rFonts w:ascii="Arial" w:eastAsia="宋体" w:hAnsi="Arial" w:cs="Arial"/>
              </w:rPr>
              <w:t>Global EV Outlook 2023</w:t>
            </w:r>
            <w:r w:rsidRPr="00F4626A">
              <w:rPr>
                <w:rFonts w:ascii="Arial" w:eastAsia="宋体" w:hAnsi="Arial" w:cs="Arial" w:hint="eastAsia"/>
              </w:rPr>
              <w:t>》预计，美国的新能源汽车（含巴士、轿车、卡车、</w:t>
            </w:r>
            <w:r w:rsidRPr="00F4626A">
              <w:rPr>
                <w:rFonts w:ascii="Arial" w:eastAsia="宋体" w:hAnsi="Arial" w:cs="Arial"/>
              </w:rPr>
              <w:t>Van</w:t>
            </w:r>
            <w:r w:rsidRPr="00F4626A">
              <w:rPr>
                <w:rFonts w:ascii="Arial" w:eastAsia="宋体" w:hAnsi="Arial" w:cs="Arial" w:hint="eastAsia"/>
              </w:rPr>
              <w:t>，且</w:t>
            </w:r>
            <w:proofErr w:type="gramStart"/>
            <w:r w:rsidRPr="00F4626A">
              <w:rPr>
                <w:rFonts w:ascii="Arial" w:eastAsia="宋体" w:hAnsi="Arial" w:cs="Arial" w:hint="eastAsia"/>
              </w:rPr>
              <w:t>包含纯电和</w:t>
            </w:r>
            <w:proofErr w:type="gramEnd"/>
            <w:r w:rsidRPr="00F4626A">
              <w:rPr>
                <w:rFonts w:ascii="Arial" w:eastAsia="宋体" w:hAnsi="Arial" w:cs="Arial" w:hint="eastAsia"/>
              </w:rPr>
              <w:t>插</w:t>
            </w:r>
            <w:proofErr w:type="gramStart"/>
            <w:r w:rsidRPr="00F4626A">
              <w:rPr>
                <w:rFonts w:ascii="Arial" w:eastAsia="宋体" w:hAnsi="Arial" w:cs="Arial" w:hint="eastAsia"/>
              </w:rPr>
              <w:t>电混动</w:t>
            </w:r>
            <w:proofErr w:type="gramEnd"/>
            <w:r w:rsidRPr="00F4626A">
              <w:rPr>
                <w:rFonts w:ascii="Arial" w:eastAsia="宋体" w:hAnsi="Arial" w:cs="Arial" w:hint="eastAsia"/>
              </w:rPr>
              <w:t>）在</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4</w:t>
            </w:r>
            <w:r w:rsidR="00EA4639">
              <w:rPr>
                <w:rFonts w:ascii="Arial" w:eastAsia="宋体" w:hAnsi="Arial" w:cs="Arial"/>
              </w:rPr>
              <w:t>,</w:t>
            </w:r>
            <w:r w:rsidRPr="00F4626A">
              <w:rPr>
                <w:rFonts w:ascii="Arial" w:eastAsia="宋体" w:hAnsi="Arial" w:cs="Arial"/>
              </w:rPr>
              <w:t>100</w:t>
            </w:r>
            <w:r w:rsidRPr="00F4626A">
              <w:rPr>
                <w:rFonts w:ascii="Arial" w:eastAsia="宋体" w:hAnsi="Arial" w:cs="Arial" w:hint="eastAsia"/>
              </w:rPr>
              <w:t>万台。与之相对应的，美国的公共快</w:t>
            </w:r>
            <w:proofErr w:type="gramStart"/>
            <w:r w:rsidRPr="00F4626A">
              <w:rPr>
                <w:rFonts w:ascii="Arial" w:eastAsia="宋体" w:hAnsi="Arial" w:cs="Arial" w:hint="eastAsia"/>
              </w:rPr>
              <w:t>充桩将从</w:t>
            </w:r>
            <w:proofErr w:type="gramEnd"/>
            <w:r w:rsidRPr="00F4626A">
              <w:rPr>
                <w:rFonts w:ascii="Arial" w:eastAsia="宋体" w:hAnsi="Arial" w:cs="Arial"/>
              </w:rPr>
              <w:t>2022</w:t>
            </w:r>
            <w:r w:rsidRPr="00F4626A">
              <w:rPr>
                <w:rFonts w:ascii="Arial" w:eastAsia="宋体" w:hAnsi="Arial" w:cs="Arial" w:hint="eastAsia"/>
              </w:rPr>
              <w:t>年的</w:t>
            </w:r>
            <w:r w:rsidRPr="00F4626A">
              <w:rPr>
                <w:rFonts w:ascii="Arial" w:eastAsia="宋体" w:hAnsi="Arial" w:cs="Arial"/>
              </w:rPr>
              <w:t>2.8</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38</w:t>
            </w:r>
            <w:r w:rsidRPr="00F4626A">
              <w:rPr>
                <w:rFonts w:ascii="Arial" w:eastAsia="宋体" w:hAnsi="Arial" w:cs="Arial" w:hint="eastAsia"/>
              </w:rPr>
              <w:t>万个，年复合增长率为</w:t>
            </w:r>
            <w:r w:rsidRPr="00F4626A">
              <w:rPr>
                <w:rFonts w:ascii="Arial" w:eastAsia="宋体" w:hAnsi="Arial" w:cs="Arial"/>
              </w:rPr>
              <w:t>38.5%</w:t>
            </w:r>
            <w:r w:rsidRPr="00F4626A">
              <w:rPr>
                <w:rFonts w:ascii="Arial" w:eastAsia="宋体" w:hAnsi="Arial" w:cs="Arial" w:hint="eastAsia"/>
              </w:rPr>
              <w:t>；公共慢</w:t>
            </w:r>
            <w:proofErr w:type="gramStart"/>
            <w:r w:rsidRPr="00F4626A">
              <w:rPr>
                <w:rFonts w:ascii="Arial" w:eastAsia="宋体" w:hAnsi="Arial" w:cs="Arial" w:hint="eastAsia"/>
              </w:rPr>
              <w:t>充桩将从</w:t>
            </w:r>
            <w:proofErr w:type="gramEnd"/>
            <w:r w:rsidRPr="00F4626A">
              <w:rPr>
                <w:rFonts w:ascii="Arial" w:eastAsia="宋体" w:hAnsi="Arial" w:cs="Arial"/>
              </w:rPr>
              <w:t>2022</w:t>
            </w:r>
            <w:r w:rsidRPr="00F4626A">
              <w:rPr>
                <w:rFonts w:ascii="Arial" w:eastAsia="宋体" w:hAnsi="Arial" w:cs="Arial" w:hint="eastAsia"/>
              </w:rPr>
              <w:t>年的</w:t>
            </w:r>
            <w:r w:rsidRPr="00F4626A">
              <w:rPr>
                <w:rFonts w:ascii="Arial" w:eastAsia="宋体" w:hAnsi="Arial" w:cs="Arial"/>
              </w:rPr>
              <w:t>10</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100</w:t>
            </w:r>
            <w:r w:rsidRPr="00F4626A">
              <w:rPr>
                <w:rFonts w:ascii="Arial" w:eastAsia="宋体" w:hAnsi="Arial" w:cs="Arial" w:hint="eastAsia"/>
              </w:rPr>
              <w:t>万个，年复合增长率为</w:t>
            </w:r>
            <w:r w:rsidRPr="00F4626A">
              <w:rPr>
                <w:rFonts w:ascii="Arial" w:eastAsia="宋体" w:hAnsi="Arial" w:cs="Arial"/>
              </w:rPr>
              <w:t>33.4%</w:t>
            </w:r>
            <w:r w:rsidRPr="00F4626A">
              <w:rPr>
                <w:rFonts w:ascii="Arial" w:eastAsia="宋体" w:hAnsi="Arial" w:cs="Arial" w:hint="eastAsia"/>
              </w:rPr>
              <w:t>。</w:t>
            </w:r>
          </w:p>
          <w:p w14:paraId="046642F4" w14:textId="021C349D" w:rsidR="000756DA" w:rsidRPr="00F4626A" w:rsidRDefault="000756DA" w:rsidP="000756DA">
            <w:pPr>
              <w:pStyle w:val="af5"/>
              <w:ind w:firstLine="480"/>
              <w:jc w:val="both"/>
              <w:rPr>
                <w:rFonts w:ascii="Arial" w:eastAsia="宋体" w:hAnsi="Arial" w:cs="Arial"/>
              </w:rPr>
            </w:pPr>
            <w:r w:rsidRPr="00F4626A">
              <w:rPr>
                <w:rFonts w:ascii="Arial" w:eastAsia="宋体" w:hAnsi="Arial" w:cs="Arial" w:hint="eastAsia"/>
              </w:rPr>
              <w:t>而根据麦肯锡的预测，为实现美国联邦政府的零排放目标，美国的新能源汽车（含巴士、轿车、卡车、</w:t>
            </w:r>
            <w:r w:rsidRPr="00F4626A">
              <w:rPr>
                <w:rFonts w:ascii="Arial" w:eastAsia="宋体" w:hAnsi="Arial" w:cs="Arial"/>
              </w:rPr>
              <w:t>Van</w:t>
            </w:r>
            <w:r w:rsidRPr="00F4626A">
              <w:rPr>
                <w:rFonts w:ascii="Arial" w:eastAsia="宋体" w:hAnsi="Arial" w:cs="Arial" w:hint="eastAsia"/>
              </w:rPr>
              <w:t>，且</w:t>
            </w:r>
            <w:proofErr w:type="gramStart"/>
            <w:r w:rsidRPr="00F4626A">
              <w:rPr>
                <w:rFonts w:ascii="Arial" w:eastAsia="宋体" w:hAnsi="Arial" w:cs="Arial" w:hint="eastAsia"/>
              </w:rPr>
              <w:t>包含纯电和</w:t>
            </w:r>
            <w:proofErr w:type="gramEnd"/>
            <w:r w:rsidRPr="00F4626A">
              <w:rPr>
                <w:rFonts w:ascii="Arial" w:eastAsia="宋体" w:hAnsi="Arial" w:cs="Arial" w:hint="eastAsia"/>
              </w:rPr>
              <w:t>插</w:t>
            </w:r>
            <w:proofErr w:type="gramStart"/>
            <w:r w:rsidRPr="00F4626A">
              <w:rPr>
                <w:rFonts w:ascii="Arial" w:eastAsia="宋体" w:hAnsi="Arial" w:cs="Arial" w:hint="eastAsia"/>
              </w:rPr>
              <w:t>电混动</w:t>
            </w:r>
            <w:proofErr w:type="gramEnd"/>
            <w:r w:rsidRPr="00F4626A">
              <w:rPr>
                <w:rFonts w:ascii="Arial" w:eastAsia="宋体" w:hAnsi="Arial" w:cs="Arial" w:hint="eastAsia"/>
              </w:rPr>
              <w:t>）将从</w:t>
            </w:r>
            <w:r w:rsidRPr="00F4626A">
              <w:rPr>
                <w:rFonts w:ascii="Arial" w:eastAsia="宋体" w:hAnsi="Arial" w:cs="Arial"/>
              </w:rPr>
              <w:t>2021</w:t>
            </w:r>
            <w:r w:rsidRPr="00F4626A">
              <w:rPr>
                <w:rFonts w:ascii="Arial" w:eastAsia="宋体" w:hAnsi="Arial" w:cs="Arial" w:hint="eastAsia"/>
              </w:rPr>
              <w:t>年的</w:t>
            </w:r>
            <w:r w:rsidRPr="00F4626A">
              <w:rPr>
                <w:rFonts w:ascii="Arial" w:eastAsia="宋体" w:hAnsi="Arial" w:cs="Arial"/>
              </w:rPr>
              <w:t>280</w:t>
            </w:r>
            <w:r w:rsidRPr="00F4626A">
              <w:rPr>
                <w:rFonts w:ascii="Arial" w:eastAsia="宋体" w:hAnsi="Arial" w:cs="Arial" w:hint="eastAsia"/>
              </w:rPr>
              <w:t>万台，增长到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4</w:t>
            </w:r>
            <w:r w:rsidR="00EA4639">
              <w:rPr>
                <w:rFonts w:ascii="Arial" w:eastAsia="宋体" w:hAnsi="Arial" w:cs="Arial"/>
              </w:rPr>
              <w:t>,</w:t>
            </w:r>
            <w:r w:rsidRPr="00F4626A">
              <w:rPr>
                <w:rFonts w:ascii="Arial" w:eastAsia="宋体" w:hAnsi="Arial" w:cs="Arial"/>
              </w:rPr>
              <w:t>800</w:t>
            </w:r>
            <w:r w:rsidRPr="00F4626A">
              <w:rPr>
                <w:rFonts w:ascii="Arial" w:eastAsia="宋体" w:hAnsi="Arial" w:cs="Arial" w:hint="eastAsia"/>
              </w:rPr>
              <w:t>万台，年复合增长率为</w:t>
            </w:r>
            <w:r w:rsidRPr="00F4626A">
              <w:rPr>
                <w:rFonts w:ascii="Arial" w:eastAsia="宋体" w:hAnsi="Arial" w:cs="Arial"/>
              </w:rPr>
              <w:t>37%</w:t>
            </w:r>
            <w:r w:rsidRPr="00F4626A">
              <w:rPr>
                <w:rFonts w:ascii="Arial" w:eastAsia="宋体" w:hAnsi="Arial" w:cs="Arial" w:hint="eastAsia"/>
              </w:rPr>
              <w:t>。与之相对应</w:t>
            </w:r>
            <w:r w:rsidRPr="00F4626A">
              <w:rPr>
                <w:rFonts w:ascii="Arial" w:eastAsia="宋体" w:hAnsi="Arial" w:cs="Arial" w:hint="eastAsia"/>
              </w:rPr>
              <w:lastRenderedPageBreak/>
              <w:t>的，美国的充电</w:t>
            </w:r>
            <w:proofErr w:type="gramStart"/>
            <w:r w:rsidRPr="00F4626A">
              <w:rPr>
                <w:rFonts w:ascii="Arial" w:eastAsia="宋体" w:hAnsi="Arial" w:cs="Arial" w:hint="eastAsia"/>
              </w:rPr>
              <w:t>桩市场</w:t>
            </w:r>
            <w:proofErr w:type="gramEnd"/>
            <w:r w:rsidRPr="00F4626A">
              <w:rPr>
                <w:rFonts w:ascii="Arial" w:eastAsia="宋体" w:hAnsi="Arial" w:cs="Arial" w:hint="eastAsia"/>
              </w:rPr>
              <w:t>规模将从</w:t>
            </w:r>
            <w:r w:rsidRPr="00F4626A">
              <w:rPr>
                <w:rFonts w:ascii="Arial" w:eastAsia="宋体" w:hAnsi="Arial" w:cs="Arial"/>
              </w:rPr>
              <w:t>150</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2</w:t>
            </w:r>
            <w:r w:rsidR="00EA4639">
              <w:rPr>
                <w:rFonts w:ascii="Arial" w:eastAsia="宋体" w:hAnsi="Arial" w:cs="Arial"/>
              </w:rPr>
              <w:t>,</w:t>
            </w:r>
            <w:r w:rsidRPr="00F4626A">
              <w:rPr>
                <w:rFonts w:ascii="Arial" w:eastAsia="宋体" w:hAnsi="Arial" w:cs="Arial"/>
              </w:rPr>
              <w:t>900</w:t>
            </w:r>
            <w:r w:rsidRPr="00F4626A">
              <w:rPr>
                <w:rFonts w:ascii="Arial" w:eastAsia="宋体" w:hAnsi="Arial" w:cs="Arial" w:hint="eastAsia"/>
              </w:rPr>
              <w:t>万个，年复合增长率为</w:t>
            </w:r>
            <w:r w:rsidRPr="00F4626A">
              <w:rPr>
                <w:rFonts w:ascii="Arial" w:eastAsia="宋体" w:hAnsi="Arial" w:cs="Arial"/>
              </w:rPr>
              <w:t>39%</w:t>
            </w:r>
            <w:r w:rsidRPr="00F4626A">
              <w:rPr>
                <w:rFonts w:ascii="Arial" w:eastAsia="宋体" w:hAnsi="Arial" w:cs="Arial" w:hint="eastAsia"/>
              </w:rPr>
              <w:t>。所对应的累计投资规模（含硬件投资与场地安装投资），到</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970</w:t>
            </w:r>
            <w:r w:rsidRPr="00F4626A">
              <w:rPr>
                <w:rFonts w:ascii="Arial" w:eastAsia="宋体" w:hAnsi="Arial" w:cs="Arial" w:hint="eastAsia"/>
              </w:rPr>
              <w:t>亿美元。</w:t>
            </w:r>
          </w:p>
          <w:p w14:paraId="62232FBA" w14:textId="77777777" w:rsidR="000756DA" w:rsidRPr="00F4626A" w:rsidRDefault="000756DA" w:rsidP="000756DA">
            <w:pPr>
              <w:pStyle w:val="af5"/>
              <w:ind w:firstLine="480"/>
              <w:jc w:val="both"/>
              <w:rPr>
                <w:rFonts w:ascii="Arial" w:eastAsia="宋体" w:hAnsi="Arial" w:cs="Arial"/>
              </w:rPr>
            </w:pPr>
            <w:r w:rsidRPr="00F4626A">
              <w:rPr>
                <w:rFonts w:ascii="Arial" w:eastAsia="宋体" w:hAnsi="Arial" w:cs="Arial" w:hint="eastAsia"/>
              </w:rPr>
              <w:t>欧洲新能源汽车市场方面，欧洲作为碳中和的先行者，出台了全球最严的碳排放标准，对汽车的排放标准要求严苛，并且要求到</w:t>
            </w:r>
            <w:r w:rsidRPr="00F4626A">
              <w:rPr>
                <w:rFonts w:ascii="Arial" w:eastAsia="宋体" w:hAnsi="Arial" w:cs="Arial"/>
              </w:rPr>
              <w:t>2030</w:t>
            </w:r>
            <w:r w:rsidRPr="00F4626A">
              <w:rPr>
                <w:rFonts w:ascii="Arial" w:eastAsia="宋体" w:hAnsi="Arial" w:cs="Arial" w:hint="eastAsia"/>
              </w:rPr>
              <w:t>年实现</w:t>
            </w:r>
            <w:proofErr w:type="gramStart"/>
            <w:r w:rsidRPr="00F4626A">
              <w:rPr>
                <w:rFonts w:ascii="Arial" w:eastAsia="宋体" w:hAnsi="Arial" w:cs="Arial" w:hint="eastAsia"/>
              </w:rPr>
              <w:t>燃油轿车</w:t>
            </w:r>
            <w:proofErr w:type="gramEnd"/>
            <w:r w:rsidRPr="00F4626A">
              <w:rPr>
                <w:rFonts w:ascii="Arial" w:eastAsia="宋体" w:hAnsi="Arial" w:cs="Arial" w:hint="eastAsia"/>
              </w:rPr>
              <w:t>碳排放标准再度减少</w:t>
            </w:r>
            <w:r w:rsidRPr="00F4626A">
              <w:rPr>
                <w:rFonts w:ascii="Arial" w:eastAsia="宋体" w:hAnsi="Arial" w:cs="Arial"/>
              </w:rPr>
              <w:t>55%</w:t>
            </w:r>
            <w:r w:rsidRPr="00F4626A">
              <w:rPr>
                <w:rFonts w:ascii="Arial" w:eastAsia="宋体" w:hAnsi="Arial" w:cs="Arial" w:hint="eastAsia"/>
              </w:rPr>
              <w:t>。到</w:t>
            </w:r>
            <w:r w:rsidRPr="00F4626A">
              <w:rPr>
                <w:rFonts w:ascii="Arial" w:eastAsia="宋体" w:hAnsi="Arial" w:cs="Arial"/>
              </w:rPr>
              <w:t>2035</w:t>
            </w:r>
            <w:r w:rsidRPr="00F4626A">
              <w:rPr>
                <w:rFonts w:ascii="Arial" w:eastAsia="宋体" w:hAnsi="Arial" w:cs="Arial" w:hint="eastAsia"/>
              </w:rPr>
              <w:t>年新车销售将实现</w:t>
            </w:r>
            <w:r w:rsidRPr="00F4626A">
              <w:rPr>
                <w:rFonts w:ascii="Arial" w:eastAsia="宋体" w:hAnsi="Arial" w:cs="Arial"/>
              </w:rPr>
              <w:t>100%</w:t>
            </w:r>
            <w:r w:rsidRPr="00F4626A">
              <w:rPr>
                <w:rFonts w:ascii="Arial" w:eastAsia="宋体" w:hAnsi="Arial" w:cs="Arial" w:hint="eastAsia"/>
              </w:rPr>
              <w:t>纯电化。</w:t>
            </w:r>
          </w:p>
          <w:p w14:paraId="7AEAEF66" w14:textId="76657E3C" w:rsidR="000756DA" w:rsidRPr="00F4626A" w:rsidRDefault="000756DA" w:rsidP="000756DA">
            <w:pPr>
              <w:pStyle w:val="af5"/>
              <w:ind w:firstLine="480"/>
              <w:jc w:val="both"/>
              <w:rPr>
                <w:rFonts w:ascii="Arial" w:eastAsia="宋体" w:hAnsi="Arial" w:cs="Arial"/>
              </w:rPr>
            </w:pPr>
            <w:r w:rsidRPr="00F4626A">
              <w:rPr>
                <w:rFonts w:ascii="Arial" w:eastAsia="宋体" w:hAnsi="Arial" w:cs="Arial" w:hint="eastAsia"/>
              </w:rPr>
              <w:t>根据安永的预测，欧洲的新能源汽车在</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6</w:t>
            </w:r>
            <w:r w:rsidR="00EA4639">
              <w:rPr>
                <w:rFonts w:ascii="Arial" w:eastAsia="宋体" w:hAnsi="Arial" w:cs="Arial"/>
              </w:rPr>
              <w:t>,</w:t>
            </w:r>
            <w:r w:rsidRPr="00F4626A">
              <w:rPr>
                <w:rFonts w:ascii="Arial" w:eastAsia="宋体" w:hAnsi="Arial" w:cs="Arial"/>
              </w:rPr>
              <w:t>500</w:t>
            </w:r>
            <w:r w:rsidRPr="00F4626A">
              <w:rPr>
                <w:rFonts w:ascii="Arial" w:eastAsia="宋体" w:hAnsi="Arial" w:cs="Arial" w:hint="eastAsia"/>
              </w:rPr>
              <w:t>万辆，将需要</w:t>
            </w:r>
            <w:r w:rsidRPr="00F4626A">
              <w:rPr>
                <w:rFonts w:ascii="Arial" w:eastAsia="宋体" w:hAnsi="Arial" w:cs="Arial"/>
              </w:rPr>
              <w:t>3</w:t>
            </w:r>
            <w:r w:rsidR="00EA4639">
              <w:rPr>
                <w:rFonts w:ascii="Arial" w:eastAsia="宋体" w:hAnsi="Arial" w:cs="Arial"/>
              </w:rPr>
              <w:t>,</w:t>
            </w:r>
            <w:r w:rsidRPr="00F4626A">
              <w:rPr>
                <w:rFonts w:ascii="Arial" w:eastAsia="宋体" w:hAnsi="Arial" w:cs="Arial"/>
              </w:rPr>
              <w:t>400</w:t>
            </w:r>
            <w:r w:rsidRPr="00F4626A">
              <w:rPr>
                <w:rFonts w:ascii="Arial" w:eastAsia="宋体" w:hAnsi="Arial" w:cs="Arial" w:hint="eastAsia"/>
              </w:rPr>
              <w:t>万个充电桩，其中公共充电桩为</w:t>
            </w:r>
            <w:r w:rsidRPr="00F4626A">
              <w:rPr>
                <w:rFonts w:ascii="Arial" w:eastAsia="宋体" w:hAnsi="Arial" w:cs="Arial"/>
              </w:rPr>
              <w:t>320</w:t>
            </w:r>
            <w:r w:rsidRPr="00F4626A">
              <w:rPr>
                <w:rFonts w:ascii="Arial" w:eastAsia="宋体" w:hAnsi="Arial" w:cs="Arial" w:hint="eastAsia"/>
              </w:rPr>
              <w:t>万个（公共快充</w:t>
            </w:r>
            <w:r w:rsidRPr="00F4626A">
              <w:rPr>
                <w:rFonts w:ascii="Arial" w:eastAsia="宋体" w:hAnsi="Arial" w:cs="Arial"/>
              </w:rPr>
              <w:t>15.6</w:t>
            </w:r>
            <w:r w:rsidRPr="00F4626A">
              <w:rPr>
                <w:rFonts w:ascii="Arial" w:eastAsia="宋体" w:hAnsi="Arial" w:cs="Arial" w:hint="eastAsia"/>
              </w:rPr>
              <w:t>万个，慢充</w:t>
            </w:r>
            <w:r w:rsidRPr="00F4626A">
              <w:rPr>
                <w:rFonts w:ascii="Arial" w:eastAsia="宋体" w:hAnsi="Arial" w:cs="Arial"/>
              </w:rPr>
              <w:t>300</w:t>
            </w:r>
            <w:r w:rsidRPr="00F4626A">
              <w:rPr>
                <w:rFonts w:ascii="Arial" w:eastAsia="宋体" w:hAnsi="Arial" w:cs="Arial" w:hint="eastAsia"/>
              </w:rPr>
              <w:t>万个），非公共充电桩为</w:t>
            </w:r>
            <w:r w:rsidRPr="00F4626A">
              <w:rPr>
                <w:rFonts w:ascii="Arial" w:eastAsia="宋体" w:hAnsi="Arial" w:cs="Arial"/>
              </w:rPr>
              <w:t>3</w:t>
            </w:r>
            <w:r w:rsidR="00EA4639">
              <w:rPr>
                <w:rFonts w:ascii="Arial" w:eastAsia="宋体" w:hAnsi="Arial" w:cs="Arial"/>
              </w:rPr>
              <w:t>,</w:t>
            </w:r>
            <w:r w:rsidRPr="00F4626A">
              <w:rPr>
                <w:rFonts w:ascii="Arial" w:eastAsia="宋体" w:hAnsi="Arial" w:cs="Arial"/>
              </w:rPr>
              <w:t>000</w:t>
            </w:r>
            <w:r w:rsidRPr="00F4626A">
              <w:rPr>
                <w:rFonts w:ascii="Arial" w:eastAsia="宋体" w:hAnsi="Arial" w:cs="Arial" w:hint="eastAsia"/>
              </w:rPr>
              <w:t>万个（非公共快充</w:t>
            </w:r>
            <w:r w:rsidRPr="00F4626A">
              <w:rPr>
                <w:rFonts w:ascii="Arial" w:eastAsia="宋体" w:hAnsi="Arial" w:cs="Arial"/>
              </w:rPr>
              <w:t>25.9</w:t>
            </w:r>
            <w:r w:rsidRPr="00F4626A">
              <w:rPr>
                <w:rFonts w:ascii="Arial" w:eastAsia="宋体" w:hAnsi="Arial" w:cs="Arial" w:hint="eastAsia"/>
              </w:rPr>
              <w:t>万个，慢充</w:t>
            </w:r>
            <w:r w:rsidRPr="00F4626A">
              <w:rPr>
                <w:rFonts w:ascii="Arial" w:eastAsia="宋体" w:hAnsi="Arial" w:cs="Arial"/>
              </w:rPr>
              <w:t>3000</w:t>
            </w:r>
            <w:r w:rsidRPr="00F4626A">
              <w:rPr>
                <w:rFonts w:ascii="Arial" w:eastAsia="宋体" w:hAnsi="Arial" w:cs="Arial" w:hint="eastAsia"/>
              </w:rPr>
              <w:t>万个）。</w:t>
            </w:r>
          </w:p>
          <w:p w14:paraId="21EF0D6C" w14:textId="41CAF6D8" w:rsidR="000756DA" w:rsidRDefault="000756DA" w:rsidP="000756DA">
            <w:pPr>
              <w:pStyle w:val="af5"/>
              <w:ind w:firstLine="480"/>
              <w:jc w:val="both"/>
              <w:rPr>
                <w:rFonts w:ascii="Arial" w:eastAsia="宋体" w:hAnsi="Arial" w:cs="Arial"/>
              </w:rPr>
            </w:pPr>
            <w:r w:rsidRPr="00F4626A">
              <w:rPr>
                <w:rFonts w:ascii="Arial" w:eastAsia="宋体" w:hAnsi="Arial" w:cs="Arial" w:hint="eastAsia"/>
              </w:rPr>
              <w:t>未来，随着全球多个国家和地区相关政策的支持、配套基础设施的完善及消费者对新能源汽车接受程度的提高，新能源汽车渗透率仍有较大提升空间。新能源汽车的快速普及无疑将推动充电基础设施建设的爆发式增长，无论是从未来市场空间还是从需求现状来看，全球都将迎来新能源充电解决方案的巨大发展机遇。</w:t>
            </w:r>
          </w:p>
          <w:p w14:paraId="226C8C45" w14:textId="394DF7B4" w:rsidR="00E43DE2" w:rsidRDefault="00E43DE2" w:rsidP="000756DA">
            <w:pPr>
              <w:pStyle w:val="af5"/>
              <w:ind w:firstLine="480"/>
              <w:jc w:val="both"/>
              <w:rPr>
                <w:rFonts w:ascii="Arial" w:eastAsia="宋体" w:hAnsi="Arial" w:cs="Arial"/>
              </w:rPr>
            </w:pPr>
          </w:p>
          <w:p w14:paraId="34E4E7F9" w14:textId="0997D424" w:rsidR="00E43DE2" w:rsidRDefault="00E43DE2" w:rsidP="00E43DE2">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五</w:t>
            </w:r>
            <w:r w:rsidRPr="00774DC6">
              <w:rPr>
                <w:rFonts w:ascii="Arial" w:eastAsia="宋体" w:hAnsi="Arial" w:cs="Arial"/>
                <w:b/>
                <w:bCs/>
              </w:rPr>
              <w:t>：</w:t>
            </w:r>
            <w:r>
              <w:rPr>
                <w:rFonts w:ascii="Arial" w:eastAsia="宋体" w:hAnsi="Arial" w:cs="Arial" w:hint="eastAsia"/>
                <w:b/>
                <w:bCs/>
              </w:rPr>
              <w:t>新能源充电桩毛利率情况？</w:t>
            </w:r>
          </w:p>
          <w:p w14:paraId="4CA412E6" w14:textId="77777777" w:rsidR="00E43DE2" w:rsidRPr="006C0764" w:rsidRDefault="00E43DE2" w:rsidP="00E43DE2">
            <w:pPr>
              <w:pStyle w:val="af5"/>
              <w:ind w:firstLine="480"/>
              <w:jc w:val="both"/>
              <w:rPr>
                <w:rFonts w:ascii="Arial" w:eastAsia="宋体" w:hAnsi="Arial" w:cs="Arial"/>
              </w:rPr>
            </w:pPr>
            <w:r w:rsidRPr="006C0764">
              <w:rPr>
                <w:rFonts w:ascii="Arial" w:eastAsia="宋体" w:hAnsi="Arial" w:cs="Arial" w:hint="eastAsia"/>
              </w:rPr>
              <w:t>2</w:t>
            </w:r>
            <w:r w:rsidRPr="006C0764">
              <w:rPr>
                <w:rFonts w:ascii="Arial" w:eastAsia="宋体" w:hAnsi="Arial" w:cs="Arial"/>
              </w:rPr>
              <w:t>023</w:t>
            </w:r>
            <w:r w:rsidRPr="006C0764">
              <w:rPr>
                <w:rFonts w:ascii="Arial" w:eastAsia="宋体" w:hAnsi="Arial" w:cs="Arial" w:hint="eastAsia"/>
              </w:rPr>
              <w:t>年，</w:t>
            </w:r>
            <w:r>
              <w:rPr>
                <w:rFonts w:ascii="Arial" w:eastAsia="宋体" w:hAnsi="Arial" w:cs="Arial" w:hint="eastAsia"/>
              </w:rPr>
              <w:t>公司新能源充电桩毛利率为</w:t>
            </w:r>
            <w:r>
              <w:rPr>
                <w:rFonts w:ascii="Arial" w:eastAsia="宋体" w:hAnsi="Arial" w:cs="Arial" w:hint="eastAsia"/>
              </w:rPr>
              <w:t>3</w:t>
            </w:r>
            <w:r>
              <w:rPr>
                <w:rFonts w:ascii="Arial" w:eastAsia="宋体" w:hAnsi="Arial" w:cs="Arial"/>
              </w:rPr>
              <w:t>3.65%</w:t>
            </w:r>
            <w:r>
              <w:rPr>
                <w:rFonts w:ascii="Arial" w:eastAsia="宋体" w:hAnsi="Arial" w:cs="Arial" w:hint="eastAsia"/>
              </w:rPr>
              <w:t>，主要的影响因素包括去年部分产品从国内出货到美国加征了</w:t>
            </w:r>
            <w:r>
              <w:rPr>
                <w:rFonts w:ascii="Arial" w:eastAsia="宋体" w:hAnsi="Arial" w:cs="Arial" w:hint="eastAsia"/>
              </w:rPr>
              <w:t>2</w:t>
            </w:r>
            <w:r>
              <w:rPr>
                <w:rFonts w:ascii="Arial" w:eastAsia="宋体" w:hAnsi="Arial" w:cs="Arial"/>
              </w:rPr>
              <w:t>5%</w:t>
            </w:r>
            <w:r>
              <w:rPr>
                <w:rFonts w:ascii="Arial" w:eastAsia="宋体" w:hAnsi="Arial" w:cs="Arial" w:hint="eastAsia"/>
              </w:rPr>
              <w:t>关税，以及为最大程度保障客户利益，公司部分产品</w:t>
            </w:r>
            <w:proofErr w:type="gramStart"/>
            <w:r>
              <w:rPr>
                <w:rFonts w:ascii="Arial" w:eastAsia="宋体" w:hAnsi="Arial" w:cs="Arial" w:hint="eastAsia"/>
              </w:rPr>
              <w:t>物流走</w:t>
            </w:r>
            <w:proofErr w:type="gramEnd"/>
            <w:r>
              <w:rPr>
                <w:rFonts w:ascii="Arial" w:eastAsia="宋体" w:hAnsi="Arial" w:cs="Arial" w:hint="eastAsia"/>
              </w:rPr>
              <w:t>空运，影响了毛利率。</w:t>
            </w:r>
          </w:p>
          <w:p w14:paraId="4D75DA6B" w14:textId="77777777" w:rsidR="00E43DE2" w:rsidRDefault="00E43DE2" w:rsidP="00E43DE2">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024</w:t>
            </w:r>
            <w:r>
              <w:rPr>
                <w:rFonts w:ascii="Arial" w:eastAsia="宋体" w:hAnsi="Arial" w:cs="Arial" w:hint="eastAsia"/>
              </w:rPr>
              <w:t>年，从产品结构上直流桩占比会逐渐提升，越南、北美工厂投产可以避免加征关税带来的额外成本，以及公司加大对物流成本的精细化管控，预计新能源充电</w:t>
            </w:r>
            <w:proofErr w:type="gramStart"/>
            <w:r>
              <w:rPr>
                <w:rFonts w:ascii="Arial" w:eastAsia="宋体" w:hAnsi="Arial" w:cs="Arial" w:hint="eastAsia"/>
              </w:rPr>
              <w:t>桩业务</w:t>
            </w:r>
            <w:proofErr w:type="gramEnd"/>
            <w:r>
              <w:rPr>
                <w:rFonts w:ascii="Arial" w:eastAsia="宋体" w:hAnsi="Arial" w:cs="Arial" w:hint="eastAsia"/>
              </w:rPr>
              <w:t>毛利率会有更大的提升空间。</w:t>
            </w:r>
          </w:p>
          <w:p w14:paraId="7F24768C" w14:textId="77777777" w:rsidR="00E43DE2" w:rsidRPr="00E43DE2" w:rsidRDefault="00E43DE2" w:rsidP="000756DA">
            <w:pPr>
              <w:pStyle w:val="af5"/>
              <w:ind w:firstLine="480"/>
              <w:jc w:val="both"/>
              <w:rPr>
                <w:rFonts w:ascii="Arial" w:eastAsia="宋体" w:hAnsi="Arial" w:cs="Arial"/>
              </w:rPr>
            </w:pPr>
          </w:p>
          <w:p w14:paraId="56FCBF40" w14:textId="6A532B89" w:rsidR="00E43DE2" w:rsidRPr="00774DC6" w:rsidRDefault="00E43DE2" w:rsidP="00E43DE2">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六</w:t>
            </w:r>
            <w:r w:rsidRPr="00774DC6">
              <w:rPr>
                <w:rFonts w:ascii="Arial" w:eastAsia="宋体" w:hAnsi="Arial" w:cs="Arial"/>
                <w:b/>
                <w:bCs/>
              </w:rPr>
              <w:t>：公司新能源充电桩下游客户主要有哪些类型？</w:t>
            </w:r>
          </w:p>
          <w:p w14:paraId="3941D19E" w14:textId="77777777" w:rsidR="00E43DE2" w:rsidRPr="00774DC6" w:rsidRDefault="00E43DE2" w:rsidP="00E43DE2">
            <w:pPr>
              <w:pStyle w:val="af5"/>
              <w:ind w:firstLine="480"/>
              <w:jc w:val="both"/>
              <w:rPr>
                <w:rFonts w:ascii="Arial" w:eastAsia="宋体" w:hAnsi="Arial" w:cs="Arial"/>
              </w:rPr>
            </w:pPr>
            <w:r w:rsidRPr="00774DC6">
              <w:rPr>
                <w:rFonts w:ascii="Arial" w:eastAsia="宋体" w:hAnsi="Arial" w:cs="Arial"/>
              </w:rPr>
              <w:t>新能源充电桩的下游客户按照销售渠道可以分为线上客户、线下客户两类。</w:t>
            </w:r>
          </w:p>
          <w:p w14:paraId="2D136C4C" w14:textId="77777777" w:rsidR="00E43DE2" w:rsidRPr="00774DC6" w:rsidRDefault="00E43DE2" w:rsidP="00E43DE2">
            <w:pPr>
              <w:pStyle w:val="af5"/>
              <w:ind w:firstLine="480"/>
              <w:jc w:val="both"/>
              <w:rPr>
                <w:rFonts w:ascii="Arial" w:eastAsia="宋体" w:hAnsi="Arial" w:cs="Arial"/>
              </w:rPr>
            </w:pPr>
            <w:r w:rsidRPr="00774DC6">
              <w:rPr>
                <w:rFonts w:ascii="Arial" w:eastAsia="宋体" w:hAnsi="Arial" w:cs="Arial"/>
              </w:rPr>
              <w:lastRenderedPageBreak/>
              <w:t>其中线上是指通过电商平台</w:t>
            </w:r>
            <w:r>
              <w:rPr>
                <w:rFonts w:ascii="Arial" w:eastAsia="宋体" w:hAnsi="Arial" w:cs="Arial" w:hint="eastAsia"/>
              </w:rPr>
              <w:t>购买公司</w:t>
            </w:r>
            <w:r w:rsidRPr="00774DC6">
              <w:rPr>
                <w:rFonts w:ascii="Arial" w:eastAsia="宋体" w:hAnsi="Arial" w:cs="Arial"/>
              </w:rPr>
              <w:t>充电桩</w:t>
            </w:r>
            <w:r>
              <w:rPr>
                <w:rFonts w:ascii="Arial" w:eastAsia="宋体" w:hAnsi="Arial" w:cs="Arial" w:hint="eastAsia"/>
              </w:rPr>
              <w:t>的客户</w:t>
            </w:r>
            <w:r w:rsidRPr="00774DC6">
              <w:rPr>
                <w:rFonts w:ascii="Arial" w:eastAsia="宋体" w:hAnsi="Arial" w:cs="Arial"/>
              </w:rPr>
              <w:t>，</w:t>
            </w:r>
            <w:r>
              <w:rPr>
                <w:rFonts w:ascii="Arial" w:eastAsia="宋体" w:hAnsi="Arial" w:cs="Arial" w:hint="eastAsia"/>
              </w:rPr>
              <w:t>主要应用场景为海外家用，</w:t>
            </w:r>
            <w:r w:rsidRPr="00774DC6">
              <w:rPr>
                <w:rFonts w:ascii="Arial" w:eastAsia="宋体" w:hAnsi="Arial" w:cs="Arial"/>
              </w:rPr>
              <w:t>主要</w:t>
            </w:r>
            <w:r>
              <w:rPr>
                <w:rFonts w:ascii="Arial" w:eastAsia="宋体" w:hAnsi="Arial" w:cs="Arial" w:hint="eastAsia"/>
              </w:rPr>
              <w:t>产品是</w:t>
            </w:r>
            <w:r w:rsidRPr="00774DC6">
              <w:rPr>
                <w:rFonts w:ascii="Arial" w:eastAsia="宋体" w:hAnsi="Arial" w:cs="Arial"/>
              </w:rPr>
              <w:t>交流桩。</w:t>
            </w:r>
            <w:r w:rsidRPr="00774DC6">
              <w:rPr>
                <w:rFonts w:ascii="Arial" w:eastAsia="宋体" w:hAnsi="Arial" w:cs="Arial"/>
              </w:rPr>
              <w:t>2023</w:t>
            </w:r>
            <w:r w:rsidRPr="00774DC6">
              <w:rPr>
                <w:rFonts w:ascii="Arial" w:eastAsia="宋体" w:hAnsi="Arial" w:cs="Arial"/>
              </w:rPr>
              <w:t>年，公司充电</w:t>
            </w:r>
            <w:proofErr w:type="gramStart"/>
            <w:r w:rsidRPr="00774DC6">
              <w:rPr>
                <w:rFonts w:ascii="Arial" w:eastAsia="宋体" w:hAnsi="Arial" w:cs="Arial"/>
              </w:rPr>
              <w:t>桩多次</w:t>
            </w:r>
            <w:proofErr w:type="gramEnd"/>
            <w:r w:rsidRPr="00774DC6">
              <w:rPr>
                <w:rFonts w:ascii="Arial" w:eastAsia="宋体" w:hAnsi="Arial" w:cs="Arial"/>
              </w:rPr>
              <w:t>在重要营销节点拿下亚马逊北美和加拿大类目第一名。全年线上销售充电桩数万台。</w:t>
            </w:r>
          </w:p>
          <w:p w14:paraId="5D2E678A" w14:textId="77777777" w:rsidR="00E43DE2" w:rsidRPr="00774DC6" w:rsidRDefault="00E43DE2" w:rsidP="00E43DE2">
            <w:pPr>
              <w:pStyle w:val="af5"/>
              <w:ind w:firstLine="480"/>
              <w:jc w:val="both"/>
              <w:rPr>
                <w:rFonts w:ascii="Arial" w:eastAsia="宋体" w:hAnsi="Arial" w:cs="Arial"/>
              </w:rPr>
            </w:pPr>
            <w:r>
              <w:rPr>
                <w:rFonts w:ascii="Arial" w:eastAsia="宋体" w:hAnsi="Arial" w:cs="Arial" w:hint="eastAsia"/>
              </w:rPr>
              <w:t>公司新能源充电桩的主要收入来源是</w:t>
            </w:r>
            <w:r w:rsidRPr="00774DC6">
              <w:rPr>
                <w:rFonts w:ascii="Arial" w:eastAsia="宋体" w:hAnsi="Arial" w:cs="Arial"/>
              </w:rPr>
              <w:t>线下</w:t>
            </w:r>
            <w:r>
              <w:rPr>
                <w:rFonts w:ascii="Arial" w:eastAsia="宋体" w:hAnsi="Arial" w:cs="Arial" w:hint="eastAsia"/>
              </w:rPr>
              <w:t>客户，</w:t>
            </w:r>
            <w:r w:rsidRPr="00774DC6">
              <w:rPr>
                <w:rFonts w:ascii="Arial" w:eastAsia="宋体" w:hAnsi="Arial" w:cs="Arial"/>
              </w:rPr>
              <w:t>如新能源充电桩运营商、车队、能源公司等行业客户，主要产品为直流桩及商用交流桩，这类客户的应用场景标准化程度高，项目可复制程度强。</w:t>
            </w:r>
            <w:r w:rsidRPr="00774DC6">
              <w:rPr>
                <w:rFonts w:ascii="Arial" w:eastAsia="宋体" w:hAnsi="Arial" w:cs="Arial"/>
              </w:rPr>
              <w:t>2023</w:t>
            </w:r>
            <w:r w:rsidRPr="00774DC6">
              <w:rPr>
                <w:rFonts w:ascii="Arial" w:eastAsia="宋体" w:hAnsi="Arial" w:cs="Arial"/>
              </w:rPr>
              <w:t>年，公司聚焦欧美市场，突破重点头部客户，通过打造标杆、样板项目，持续提升品牌效应，拓展数字能源品牌影响力。</w:t>
            </w:r>
          </w:p>
          <w:p w14:paraId="764A5F7E" w14:textId="4B8BC6EE" w:rsidR="004F6FFF" w:rsidRPr="00E43DE2" w:rsidRDefault="004F6FFF" w:rsidP="0027236A">
            <w:pPr>
              <w:pStyle w:val="af5"/>
              <w:ind w:firstLine="480"/>
              <w:jc w:val="both"/>
              <w:rPr>
                <w:rFonts w:ascii="Arial" w:eastAsia="宋体" w:hAnsi="Arial" w:cs="Arial"/>
              </w:rPr>
            </w:pPr>
          </w:p>
        </w:tc>
      </w:tr>
      <w:tr w:rsidR="00473A8E" w:rsidRPr="00774DC6" w14:paraId="65006B53" w14:textId="77777777" w:rsidTr="00686285">
        <w:trPr>
          <w:trHeight w:val="81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359"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359"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EC647B">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DBE3" w14:textId="77777777" w:rsidR="00E47AB9" w:rsidRDefault="00E47AB9" w:rsidP="00170410">
      <w:pPr>
        <w:spacing w:after="0" w:line="240" w:lineRule="auto"/>
      </w:pPr>
      <w:r>
        <w:separator/>
      </w:r>
    </w:p>
  </w:endnote>
  <w:endnote w:type="continuationSeparator" w:id="0">
    <w:p w14:paraId="0FC462A0" w14:textId="77777777" w:rsidR="00E47AB9" w:rsidRDefault="00E47AB9"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BC29" w14:textId="77777777" w:rsidR="00E47AB9" w:rsidRDefault="00E47AB9" w:rsidP="00170410">
      <w:pPr>
        <w:spacing w:after="0" w:line="240" w:lineRule="auto"/>
      </w:pPr>
      <w:r>
        <w:separator/>
      </w:r>
    </w:p>
  </w:footnote>
  <w:footnote w:type="continuationSeparator" w:id="0">
    <w:p w14:paraId="6A8AB060" w14:textId="77777777" w:rsidR="00E47AB9" w:rsidRDefault="00E47AB9"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1069" w:hanging="420"/>
      </w:pPr>
      <w:rPr>
        <w:rFonts w:ascii="Wingdings" w:hAnsi="Wingdings" w:hint="default"/>
      </w:rPr>
    </w:lvl>
    <w:lvl w:ilvl="1" w:tplc="04090003" w:tentative="1">
      <w:start w:val="1"/>
      <w:numFmt w:val="bullet"/>
      <w:lvlText w:val=""/>
      <w:lvlJc w:val="left"/>
      <w:pPr>
        <w:ind w:left="1489" w:hanging="420"/>
      </w:pPr>
      <w:rPr>
        <w:rFonts w:ascii="Wingdings" w:hAnsi="Wingdings" w:hint="default"/>
      </w:rPr>
    </w:lvl>
    <w:lvl w:ilvl="2" w:tplc="04090005"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3" w:tentative="1">
      <w:start w:val="1"/>
      <w:numFmt w:val="bullet"/>
      <w:lvlText w:val=""/>
      <w:lvlJc w:val="left"/>
      <w:pPr>
        <w:ind w:left="2749" w:hanging="420"/>
      </w:pPr>
      <w:rPr>
        <w:rFonts w:ascii="Wingdings" w:hAnsi="Wingdings" w:hint="default"/>
      </w:rPr>
    </w:lvl>
    <w:lvl w:ilvl="5" w:tplc="04090005"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3" w:tentative="1">
      <w:start w:val="1"/>
      <w:numFmt w:val="bullet"/>
      <w:lvlText w:val=""/>
      <w:lvlJc w:val="left"/>
      <w:pPr>
        <w:ind w:left="4009" w:hanging="420"/>
      </w:pPr>
      <w:rPr>
        <w:rFonts w:ascii="Wingdings" w:hAnsi="Wingdings" w:hint="default"/>
      </w:rPr>
    </w:lvl>
    <w:lvl w:ilvl="8" w:tplc="04090005" w:tentative="1">
      <w:start w:val="1"/>
      <w:numFmt w:val="bullet"/>
      <w:lvlText w:val=""/>
      <w:lvlJc w:val="left"/>
      <w:pPr>
        <w:ind w:left="4429"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3511EB8"/>
    <w:multiLevelType w:val="hybridMultilevel"/>
    <w:tmpl w:val="E6B40C88"/>
    <w:lvl w:ilvl="0" w:tplc="36F60C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C5830"/>
    <w:multiLevelType w:val="hybridMultilevel"/>
    <w:tmpl w:val="FFF4CC68"/>
    <w:lvl w:ilvl="0" w:tplc="B32C49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82032D"/>
    <w:multiLevelType w:val="hybridMultilevel"/>
    <w:tmpl w:val="4024F4F0"/>
    <w:lvl w:ilvl="0" w:tplc="F998DBD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20"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21"/>
  </w:num>
  <w:num w:numId="2">
    <w:abstractNumId w:val="14"/>
  </w:num>
  <w:num w:numId="3">
    <w:abstractNumId w:val="15"/>
  </w:num>
  <w:num w:numId="4">
    <w:abstractNumId w:val="4"/>
  </w:num>
  <w:num w:numId="5">
    <w:abstractNumId w:val="23"/>
  </w:num>
  <w:num w:numId="6">
    <w:abstractNumId w:val="11"/>
  </w:num>
  <w:num w:numId="7">
    <w:abstractNumId w:val="12"/>
  </w:num>
  <w:num w:numId="8">
    <w:abstractNumId w:val="0"/>
  </w:num>
  <w:num w:numId="9">
    <w:abstractNumId w:val="5"/>
  </w:num>
  <w:num w:numId="10">
    <w:abstractNumId w:val="22"/>
  </w:num>
  <w:num w:numId="11">
    <w:abstractNumId w:val="24"/>
  </w:num>
  <w:num w:numId="12">
    <w:abstractNumId w:val="17"/>
  </w:num>
  <w:num w:numId="13">
    <w:abstractNumId w:val="19"/>
  </w:num>
  <w:num w:numId="14">
    <w:abstractNumId w:val="18"/>
  </w:num>
  <w:num w:numId="15">
    <w:abstractNumId w:val="1"/>
  </w:num>
  <w:num w:numId="16">
    <w:abstractNumId w:val="2"/>
  </w:num>
  <w:num w:numId="17">
    <w:abstractNumId w:val="8"/>
  </w:num>
  <w:num w:numId="18">
    <w:abstractNumId w:val="7"/>
  </w:num>
  <w:num w:numId="19">
    <w:abstractNumId w:val="3"/>
  </w:num>
  <w:num w:numId="20">
    <w:abstractNumId w:val="20"/>
  </w:num>
  <w:num w:numId="21">
    <w:abstractNumId w:val="9"/>
  </w:num>
  <w:num w:numId="22">
    <w:abstractNumId w:val="16"/>
  </w:num>
  <w:num w:numId="23">
    <w:abstractNumId w:val="6"/>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4CEE"/>
    <w:rsid w:val="000279F5"/>
    <w:rsid w:val="00030199"/>
    <w:rsid w:val="00033044"/>
    <w:rsid w:val="0003535E"/>
    <w:rsid w:val="000370AF"/>
    <w:rsid w:val="000453C6"/>
    <w:rsid w:val="00046782"/>
    <w:rsid w:val="000500F7"/>
    <w:rsid w:val="00050CA2"/>
    <w:rsid w:val="000563B8"/>
    <w:rsid w:val="00057518"/>
    <w:rsid w:val="00057A10"/>
    <w:rsid w:val="00063D86"/>
    <w:rsid w:val="000668A8"/>
    <w:rsid w:val="000756DA"/>
    <w:rsid w:val="0007680B"/>
    <w:rsid w:val="000768B1"/>
    <w:rsid w:val="000811E0"/>
    <w:rsid w:val="000828CD"/>
    <w:rsid w:val="0008407C"/>
    <w:rsid w:val="000920EC"/>
    <w:rsid w:val="00092EC9"/>
    <w:rsid w:val="000932F9"/>
    <w:rsid w:val="000A0865"/>
    <w:rsid w:val="000A286C"/>
    <w:rsid w:val="000B0852"/>
    <w:rsid w:val="000B0CB0"/>
    <w:rsid w:val="000B20FC"/>
    <w:rsid w:val="000B43E3"/>
    <w:rsid w:val="000B4B9A"/>
    <w:rsid w:val="000B726B"/>
    <w:rsid w:val="000C1040"/>
    <w:rsid w:val="000C3C75"/>
    <w:rsid w:val="000D0571"/>
    <w:rsid w:val="000D1DCE"/>
    <w:rsid w:val="000D2057"/>
    <w:rsid w:val="000E6E45"/>
    <w:rsid w:val="000F2DBF"/>
    <w:rsid w:val="00100B4C"/>
    <w:rsid w:val="00100C18"/>
    <w:rsid w:val="00106CD3"/>
    <w:rsid w:val="00107532"/>
    <w:rsid w:val="0012569D"/>
    <w:rsid w:val="00130866"/>
    <w:rsid w:val="001341E4"/>
    <w:rsid w:val="00136A90"/>
    <w:rsid w:val="00145CFB"/>
    <w:rsid w:val="00150DB7"/>
    <w:rsid w:val="00154258"/>
    <w:rsid w:val="00157EE6"/>
    <w:rsid w:val="0016199E"/>
    <w:rsid w:val="00166128"/>
    <w:rsid w:val="00170410"/>
    <w:rsid w:val="001733A9"/>
    <w:rsid w:val="00176BF8"/>
    <w:rsid w:val="0018112E"/>
    <w:rsid w:val="001851C7"/>
    <w:rsid w:val="00190ECB"/>
    <w:rsid w:val="001957A7"/>
    <w:rsid w:val="001B0CF5"/>
    <w:rsid w:val="001B6A2A"/>
    <w:rsid w:val="001C2971"/>
    <w:rsid w:val="001C5DD3"/>
    <w:rsid w:val="001D5C37"/>
    <w:rsid w:val="001E1BBB"/>
    <w:rsid w:val="001E26A9"/>
    <w:rsid w:val="001E3318"/>
    <w:rsid w:val="001F0544"/>
    <w:rsid w:val="001F3E61"/>
    <w:rsid w:val="00200E96"/>
    <w:rsid w:val="002054DC"/>
    <w:rsid w:val="00211139"/>
    <w:rsid w:val="002120E3"/>
    <w:rsid w:val="00213C91"/>
    <w:rsid w:val="002215C9"/>
    <w:rsid w:val="0022285C"/>
    <w:rsid w:val="00225292"/>
    <w:rsid w:val="00230CD1"/>
    <w:rsid w:val="002420F8"/>
    <w:rsid w:val="00243A9B"/>
    <w:rsid w:val="0024739E"/>
    <w:rsid w:val="0025015D"/>
    <w:rsid w:val="0027236A"/>
    <w:rsid w:val="00283222"/>
    <w:rsid w:val="00286887"/>
    <w:rsid w:val="00290582"/>
    <w:rsid w:val="00292E48"/>
    <w:rsid w:val="00293727"/>
    <w:rsid w:val="002A3138"/>
    <w:rsid w:val="002A67FF"/>
    <w:rsid w:val="002A7BA0"/>
    <w:rsid w:val="002B75D3"/>
    <w:rsid w:val="002D0456"/>
    <w:rsid w:val="002E50D5"/>
    <w:rsid w:val="00301D5F"/>
    <w:rsid w:val="00301EF4"/>
    <w:rsid w:val="00304F42"/>
    <w:rsid w:val="003065CB"/>
    <w:rsid w:val="00307AFB"/>
    <w:rsid w:val="00310B37"/>
    <w:rsid w:val="003123C5"/>
    <w:rsid w:val="00312BFB"/>
    <w:rsid w:val="003175D2"/>
    <w:rsid w:val="00325820"/>
    <w:rsid w:val="00326A8C"/>
    <w:rsid w:val="00327764"/>
    <w:rsid w:val="00327B25"/>
    <w:rsid w:val="003321C1"/>
    <w:rsid w:val="00333359"/>
    <w:rsid w:val="0033347F"/>
    <w:rsid w:val="003503FF"/>
    <w:rsid w:val="003528FE"/>
    <w:rsid w:val="003548DE"/>
    <w:rsid w:val="00360640"/>
    <w:rsid w:val="00360CA2"/>
    <w:rsid w:val="00363F7D"/>
    <w:rsid w:val="00365953"/>
    <w:rsid w:val="00372B79"/>
    <w:rsid w:val="00372B92"/>
    <w:rsid w:val="00384515"/>
    <w:rsid w:val="0038677B"/>
    <w:rsid w:val="003A2122"/>
    <w:rsid w:val="003A29D1"/>
    <w:rsid w:val="003C0616"/>
    <w:rsid w:val="003C0958"/>
    <w:rsid w:val="003C47D4"/>
    <w:rsid w:val="003D13DF"/>
    <w:rsid w:val="003E77D7"/>
    <w:rsid w:val="003F67E0"/>
    <w:rsid w:val="003F6FA5"/>
    <w:rsid w:val="003F791C"/>
    <w:rsid w:val="004035FD"/>
    <w:rsid w:val="00403D27"/>
    <w:rsid w:val="004070FF"/>
    <w:rsid w:val="004203DD"/>
    <w:rsid w:val="00420FAD"/>
    <w:rsid w:val="0042392C"/>
    <w:rsid w:val="00435558"/>
    <w:rsid w:val="004454BA"/>
    <w:rsid w:val="00451658"/>
    <w:rsid w:val="00457307"/>
    <w:rsid w:val="00473808"/>
    <w:rsid w:val="00473A8E"/>
    <w:rsid w:val="0047432C"/>
    <w:rsid w:val="00476E3C"/>
    <w:rsid w:val="004805BE"/>
    <w:rsid w:val="00480C3F"/>
    <w:rsid w:val="00483FFF"/>
    <w:rsid w:val="0049465C"/>
    <w:rsid w:val="004A34B0"/>
    <w:rsid w:val="004A655D"/>
    <w:rsid w:val="004B0303"/>
    <w:rsid w:val="004B29DC"/>
    <w:rsid w:val="004C21AD"/>
    <w:rsid w:val="004D224A"/>
    <w:rsid w:val="004D29FD"/>
    <w:rsid w:val="004E5DC8"/>
    <w:rsid w:val="004F02A7"/>
    <w:rsid w:val="004F604A"/>
    <w:rsid w:val="004F6FFF"/>
    <w:rsid w:val="00507343"/>
    <w:rsid w:val="00507F47"/>
    <w:rsid w:val="00510ADF"/>
    <w:rsid w:val="005114CC"/>
    <w:rsid w:val="00514934"/>
    <w:rsid w:val="00544DFA"/>
    <w:rsid w:val="00545C77"/>
    <w:rsid w:val="0054726A"/>
    <w:rsid w:val="00552672"/>
    <w:rsid w:val="005528D9"/>
    <w:rsid w:val="0055337C"/>
    <w:rsid w:val="00566653"/>
    <w:rsid w:val="005673FE"/>
    <w:rsid w:val="0057561B"/>
    <w:rsid w:val="00582743"/>
    <w:rsid w:val="00585A12"/>
    <w:rsid w:val="00586C7D"/>
    <w:rsid w:val="0058791A"/>
    <w:rsid w:val="0059299D"/>
    <w:rsid w:val="00595828"/>
    <w:rsid w:val="005A2882"/>
    <w:rsid w:val="005A50F6"/>
    <w:rsid w:val="005B1318"/>
    <w:rsid w:val="005B1A98"/>
    <w:rsid w:val="005B2259"/>
    <w:rsid w:val="005B508E"/>
    <w:rsid w:val="005B618A"/>
    <w:rsid w:val="005C120E"/>
    <w:rsid w:val="005C1FFE"/>
    <w:rsid w:val="005C4E73"/>
    <w:rsid w:val="005D3E4D"/>
    <w:rsid w:val="005D4C9A"/>
    <w:rsid w:val="005D7077"/>
    <w:rsid w:val="005E72D0"/>
    <w:rsid w:val="005F3E7C"/>
    <w:rsid w:val="005F44B1"/>
    <w:rsid w:val="005F44BE"/>
    <w:rsid w:val="00600083"/>
    <w:rsid w:val="00607BC8"/>
    <w:rsid w:val="006106FB"/>
    <w:rsid w:val="00610F67"/>
    <w:rsid w:val="00614B8D"/>
    <w:rsid w:val="0062759D"/>
    <w:rsid w:val="00630BED"/>
    <w:rsid w:val="006357D6"/>
    <w:rsid w:val="00635F5C"/>
    <w:rsid w:val="00646C53"/>
    <w:rsid w:val="0064776A"/>
    <w:rsid w:val="006513A1"/>
    <w:rsid w:val="00657415"/>
    <w:rsid w:val="006621D5"/>
    <w:rsid w:val="00662C58"/>
    <w:rsid w:val="00665E72"/>
    <w:rsid w:val="0066614E"/>
    <w:rsid w:val="00666571"/>
    <w:rsid w:val="00670353"/>
    <w:rsid w:val="00672544"/>
    <w:rsid w:val="00674391"/>
    <w:rsid w:val="00674A2B"/>
    <w:rsid w:val="00681009"/>
    <w:rsid w:val="0068161F"/>
    <w:rsid w:val="00682360"/>
    <w:rsid w:val="006850B2"/>
    <w:rsid w:val="00686285"/>
    <w:rsid w:val="006879D0"/>
    <w:rsid w:val="006A4A79"/>
    <w:rsid w:val="006B1296"/>
    <w:rsid w:val="006B4FC2"/>
    <w:rsid w:val="006B65A8"/>
    <w:rsid w:val="006B6CCA"/>
    <w:rsid w:val="006C0764"/>
    <w:rsid w:val="006C20CB"/>
    <w:rsid w:val="006C3730"/>
    <w:rsid w:val="006D5D76"/>
    <w:rsid w:val="006E526C"/>
    <w:rsid w:val="006F089D"/>
    <w:rsid w:val="006F4C74"/>
    <w:rsid w:val="006F5E05"/>
    <w:rsid w:val="00706E8A"/>
    <w:rsid w:val="0071257D"/>
    <w:rsid w:val="00723AA4"/>
    <w:rsid w:val="00733CCC"/>
    <w:rsid w:val="00733DF0"/>
    <w:rsid w:val="00734DFA"/>
    <w:rsid w:val="007510E0"/>
    <w:rsid w:val="0075465D"/>
    <w:rsid w:val="00774DC6"/>
    <w:rsid w:val="00786864"/>
    <w:rsid w:val="00787620"/>
    <w:rsid w:val="00790665"/>
    <w:rsid w:val="00790E31"/>
    <w:rsid w:val="007A1905"/>
    <w:rsid w:val="007A642A"/>
    <w:rsid w:val="007B27D7"/>
    <w:rsid w:val="007C3603"/>
    <w:rsid w:val="007D44FF"/>
    <w:rsid w:val="007E17A4"/>
    <w:rsid w:val="007E4983"/>
    <w:rsid w:val="007E6CED"/>
    <w:rsid w:val="007F000F"/>
    <w:rsid w:val="007F68CC"/>
    <w:rsid w:val="00802987"/>
    <w:rsid w:val="0082021F"/>
    <w:rsid w:val="00830857"/>
    <w:rsid w:val="00843759"/>
    <w:rsid w:val="00852B7A"/>
    <w:rsid w:val="00866DE4"/>
    <w:rsid w:val="00870D73"/>
    <w:rsid w:val="00872828"/>
    <w:rsid w:val="008734C5"/>
    <w:rsid w:val="00874B01"/>
    <w:rsid w:val="00892B75"/>
    <w:rsid w:val="008951A9"/>
    <w:rsid w:val="008A04D8"/>
    <w:rsid w:val="008A3216"/>
    <w:rsid w:val="008A3340"/>
    <w:rsid w:val="008A42A4"/>
    <w:rsid w:val="008A5B8C"/>
    <w:rsid w:val="008B1006"/>
    <w:rsid w:val="008C1624"/>
    <w:rsid w:val="008C1A60"/>
    <w:rsid w:val="008D787E"/>
    <w:rsid w:val="008F0C04"/>
    <w:rsid w:val="008F4261"/>
    <w:rsid w:val="008F6228"/>
    <w:rsid w:val="008F690A"/>
    <w:rsid w:val="008F6D9F"/>
    <w:rsid w:val="00901DA0"/>
    <w:rsid w:val="00904C62"/>
    <w:rsid w:val="00915239"/>
    <w:rsid w:val="00924238"/>
    <w:rsid w:val="00925DFF"/>
    <w:rsid w:val="00930655"/>
    <w:rsid w:val="00933061"/>
    <w:rsid w:val="00947056"/>
    <w:rsid w:val="0095321C"/>
    <w:rsid w:val="009669AB"/>
    <w:rsid w:val="0097504E"/>
    <w:rsid w:val="009873D9"/>
    <w:rsid w:val="00991BB8"/>
    <w:rsid w:val="00992F84"/>
    <w:rsid w:val="00994158"/>
    <w:rsid w:val="00994C9F"/>
    <w:rsid w:val="00994FE2"/>
    <w:rsid w:val="00995D26"/>
    <w:rsid w:val="009A4980"/>
    <w:rsid w:val="009A4FCD"/>
    <w:rsid w:val="009A73C0"/>
    <w:rsid w:val="009B2394"/>
    <w:rsid w:val="009B444E"/>
    <w:rsid w:val="009C480E"/>
    <w:rsid w:val="009D2880"/>
    <w:rsid w:val="009D579E"/>
    <w:rsid w:val="009D5E61"/>
    <w:rsid w:val="009D7BEB"/>
    <w:rsid w:val="009E54FE"/>
    <w:rsid w:val="009E69E7"/>
    <w:rsid w:val="009E6D3B"/>
    <w:rsid w:val="009F0F58"/>
    <w:rsid w:val="009F6973"/>
    <w:rsid w:val="00A06442"/>
    <w:rsid w:val="00A11FF7"/>
    <w:rsid w:val="00A12C0D"/>
    <w:rsid w:val="00A2287D"/>
    <w:rsid w:val="00A25391"/>
    <w:rsid w:val="00A27E80"/>
    <w:rsid w:val="00A33A6F"/>
    <w:rsid w:val="00A36794"/>
    <w:rsid w:val="00A41908"/>
    <w:rsid w:val="00A445BB"/>
    <w:rsid w:val="00A54DA5"/>
    <w:rsid w:val="00A64460"/>
    <w:rsid w:val="00A6523D"/>
    <w:rsid w:val="00A73806"/>
    <w:rsid w:val="00A74B63"/>
    <w:rsid w:val="00A77305"/>
    <w:rsid w:val="00A81EA4"/>
    <w:rsid w:val="00A90395"/>
    <w:rsid w:val="00A93DD2"/>
    <w:rsid w:val="00A93F81"/>
    <w:rsid w:val="00A94A2C"/>
    <w:rsid w:val="00AA1C63"/>
    <w:rsid w:val="00AA1D59"/>
    <w:rsid w:val="00AA34A9"/>
    <w:rsid w:val="00AB59C1"/>
    <w:rsid w:val="00AB66F9"/>
    <w:rsid w:val="00AC267B"/>
    <w:rsid w:val="00AD0C8B"/>
    <w:rsid w:val="00AD5AEE"/>
    <w:rsid w:val="00AE1AB2"/>
    <w:rsid w:val="00AE73A6"/>
    <w:rsid w:val="00B018BB"/>
    <w:rsid w:val="00B02318"/>
    <w:rsid w:val="00B03206"/>
    <w:rsid w:val="00B03D49"/>
    <w:rsid w:val="00B109BA"/>
    <w:rsid w:val="00B1132E"/>
    <w:rsid w:val="00B11FF7"/>
    <w:rsid w:val="00B17761"/>
    <w:rsid w:val="00B213EF"/>
    <w:rsid w:val="00B21D83"/>
    <w:rsid w:val="00B22BF6"/>
    <w:rsid w:val="00B36232"/>
    <w:rsid w:val="00B5142F"/>
    <w:rsid w:val="00B60BBC"/>
    <w:rsid w:val="00B666CD"/>
    <w:rsid w:val="00B66893"/>
    <w:rsid w:val="00B7075C"/>
    <w:rsid w:val="00B71C85"/>
    <w:rsid w:val="00B77B15"/>
    <w:rsid w:val="00B8319B"/>
    <w:rsid w:val="00B91BAC"/>
    <w:rsid w:val="00B9316B"/>
    <w:rsid w:val="00B9343A"/>
    <w:rsid w:val="00B96335"/>
    <w:rsid w:val="00B97E66"/>
    <w:rsid w:val="00BA24AB"/>
    <w:rsid w:val="00BA7DEC"/>
    <w:rsid w:val="00BB27AF"/>
    <w:rsid w:val="00BB3B86"/>
    <w:rsid w:val="00BC370E"/>
    <w:rsid w:val="00BC62ED"/>
    <w:rsid w:val="00BD0B84"/>
    <w:rsid w:val="00BD3A66"/>
    <w:rsid w:val="00BD55BE"/>
    <w:rsid w:val="00BD6320"/>
    <w:rsid w:val="00BD6941"/>
    <w:rsid w:val="00BE16E1"/>
    <w:rsid w:val="00BE6EB3"/>
    <w:rsid w:val="00C054FC"/>
    <w:rsid w:val="00C065C4"/>
    <w:rsid w:val="00C16653"/>
    <w:rsid w:val="00C216E8"/>
    <w:rsid w:val="00C22940"/>
    <w:rsid w:val="00C26B08"/>
    <w:rsid w:val="00C41A34"/>
    <w:rsid w:val="00C47EC7"/>
    <w:rsid w:val="00C6035E"/>
    <w:rsid w:val="00C61A57"/>
    <w:rsid w:val="00C62759"/>
    <w:rsid w:val="00C67057"/>
    <w:rsid w:val="00C85263"/>
    <w:rsid w:val="00C87766"/>
    <w:rsid w:val="00C91B7B"/>
    <w:rsid w:val="00CA660D"/>
    <w:rsid w:val="00CB6F70"/>
    <w:rsid w:val="00CC30BE"/>
    <w:rsid w:val="00CD22F7"/>
    <w:rsid w:val="00CD232D"/>
    <w:rsid w:val="00CD5112"/>
    <w:rsid w:val="00CF5936"/>
    <w:rsid w:val="00CF7A0F"/>
    <w:rsid w:val="00D0223C"/>
    <w:rsid w:val="00D12528"/>
    <w:rsid w:val="00D1606E"/>
    <w:rsid w:val="00D21BBB"/>
    <w:rsid w:val="00D23F59"/>
    <w:rsid w:val="00D502CE"/>
    <w:rsid w:val="00D54493"/>
    <w:rsid w:val="00D725D5"/>
    <w:rsid w:val="00D74440"/>
    <w:rsid w:val="00D83547"/>
    <w:rsid w:val="00D845EC"/>
    <w:rsid w:val="00D85F53"/>
    <w:rsid w:val="00D91D41"/>
    <w:rsid w:val="00D929A6"/>
    <w:rsid w:val="00D941FF"/>
    <w:rsid w:val="00D9540D"/>
    <w:rsid w:val="00D95939"/>
    <w:rsid w:val="00D97FAD"/>
    <w:rsid w:val="00DA7CDD"/>
    <w:rsid w:val="00DB429D"/>
    <w:rsid w:val="00DB5EC0"/>
    <w:rsid w:val="00DC4443"/>
    <w:rsid w:val="00DC466E"/>
    <w:rsid w:val="00DC7E96"/>
    <w:rsid w:val="00DD0280"/>
    <w:rsid w:val="00DD24F3"/>
    <w:rsid w:val="00DD3035"/>
    <w:rsid w:val="00DD4D31"/>
    <w:rsid w:val="00DE28C5"/>
    <w:rsid w:val="00DF1872"/>
    <w:rsid w:val="00DF6947"/>
    <w:rsid w:val="00E0201F"/>
    <w:rsid w:val="00E05E1F"/>
    <w:rsid w:val="00E105E4"/>
    <w:rsid w:val="00E12AAD"/>
    <w:rsid w:val="00E1715E"/>
    <w:rsid w:val="00E20558"/>
    <w:rsid w:val="00E23D6C"/>
    <w:rsid w:val="00E27CD9"/>
    <w:rsid w:val="00E304D2"/>
    <w:rsid w:val="00E31F32"/>
    <w:rsid w:val="00E3485F"/>
    <w:rsid w:val="00E43DE2"/>
    <w:rsid w:val="00E47AB9"/>
    <w:rsid w:val="00E558D6"/>
    <w:rsid w:val="00E55E8D"/>
    <w:rsid w:val="00E560FE"/>
    <w:rsid w:val="00E65A07"/>
    <w:rsid w:val="00E6672A"/>
    <w:rsid w:val="00E7202C"/>
    <w:rsid w:val="00E80E28"/>
    <w:rsid w:val="00E81365"/>
    <w:rsid w:val="00E83FFC"/>
    <w:rsid w:val="00E91B4A"/>
    <w:rsid w:val="00E948F1"/>
    <w:rsid w:val="00E960A3"/>
    <w:rsid w:val="00EA4639"/>
    <w:rsid w:val="00EC2C6E"/>
    <w:rsid w:val="00EC5643"/>
    <w:rsid w:val="00EC647B"/>
    <w:rsid w:val="00ED1640"/>
    <w:rsid w:val="00ED1EAE"/>
    <w:rsid w:val="00ED4B89"/>
    <w:rsid w:val="00EE6A9E"/>
    <w:rsid w:val="00F018F1"/>
    <w:rsid w:val="00F01A6D"/>
    <w:rsid w:val="00F101F5"/>
    <w:rsid w:val="00F13A00"/>
    <w:rsid w:val="00F14E77"/>
    <w:rsid w:val="00F17442"/>
    <w:rsid w:val="00F3544D"/>
    <w:rsid w:val="00F41814"/>
    <w:rsid w:val="00F42F3B"/>
    <w:rsid w:val="00F4717D"/>
    <w:rsid w:val="00F63867"/>
    <w:rsid w:val="00F665D9"/>
    <w:rsid w:val="00F67E16"/>
    <w:rsid w:val="00F67F43"/>
    <w:rsid w:val="00F70D2F"/>
    <w:rsid w:val="00F73601"/>
    <w:rsid w:val="00F7445C"/>
    <w:rsid w:val="00F74676"/>
    <w:rsid w:val="00F764D2"/>
    <w:rsid w:val="00F80218"/>
    <w:rsid w:val="00F845E4"/>
    <w:rsid w:val="00FA3F92"/>
    <w:rsid w:val="00FA70B6"/>
    <w:rsid w:val="00FB21FC"/>
    <w:rsid w:val="00FC5A8B"/>
    <w:rsid w:val="00FC7505"/>
    <w:rsid w:val="00FE221D"/>
    <w:rsid w:val="00FE29EA"/>
    <w:rsid w:val="00FE67CB"/>
    <w:rsid w:val="00FF1CC0"/>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776026874">
      <w:bodyDiv w:val="1"/>
      <w:marLeft w:val="0"/>
      <w:marRight w:val="0"/>
      <w:marTop w:val="0"/>
      <w:marBottom w:val="0"/>
      <w:divBdr>
        <w:top w:val="none" w:sz="0" w:space="0" w:color="auto"/>
        <w:left w:val="none" w:sz="0" w:space="0" w:color="auto"/>
        <w:bottom w:val="none" w:sz="0" w:space="0" w:color="auto"/>
        <w:right w:val="none" w:sz="0" w:space="0" w:color="auto"/>
      </w:divBdr>
      <w:divsChild>
        <w:div w:id="926036156">
          <w:marLeft w:val="0"/>
          <w:marRight w:val="0"/>
          <w:marTop w:val="0"/>
          <w:marBottom w:val="0"/>
          <w:divBdr>
            <w:top w:val="none" w:sz="0" w:space="0" w:color="auto"/>
            <w:left w:val="none" w:sz="0" w:space="0" w:color="auto"/>
            <w:bottom w:val="none" w:sz="0" w:space="0" w:color="auto"/>
            <w:right w:val="none" w:sz="0" w:space="0" w:color="auto"/>
          </w:divBdr>
        </w:div>
      </w:divsChild>
    </w:div>
    <w:div w:id="915169642">
      <w:bodyDiv w:val="1"/>
      <w:marLeft w:val="0"/>
      <w:marRight w:val="0"/>
      <w:marTop w:val="0"/>
      <w:marBottom w:val="0"/>
      <w:divBdr>
        <w:top w:val="none" w:sz="0" w:space="0" w:color="auto"/>
        <w:left w:val="none" w:sz="0" w:space="0" w:color="auto"/>
        <w:bottom w:val="none" w:sz="0" w:space="0" w:color="auto"/>
        <w:right w:val="none" w:sz="0" w:space="0" w:color="auto"/>
      </w:divBdr>
      <w:divsChild>
        <w:div w:id="360279653">
          <w:marLeft w:val="0"/>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882353414">
      <w:bodyDiv w:val="1"/>
      <w:marLeft w:val="0"/>
      <w:marRight w:val="0"/>
      <w:marTop w:val="0"/>
      <w:marBottom w:val="0"/>
      <w:divBdr>
        <w:top w:val="none" w:sz="0" w:space="0" w:color="auto"/>
        <w:left w:val="none" w:sz="0" w:space="0" w:color="auto"/>
        <w:bottom w:val="none" w:sz="0" w:space="0" w:color="auto"/>
        <w:right w:val="none" w:sz="0" w:space="0" w:color="auto"/>
      </w:divBdr>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480</Words>
  <Characters>2736</Characters>
  <Application>Microsoft Office Word</Application>
  <DocSecurity>0</DocSecurity>
  <Lines>22</Lines>
  <Paragraphs>6</Paragraphs>
  <ScaleCrop>false</ScaleCrop>
  <Company>QN</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陈偲</cp:lastModifiedBy>
  <cp:revision>41</cp:revision>
  <cp:lastPrinted>2023-10-25T11:35:00Z</cp:lastPrinted>
  <dcterms:created xsi:type="dcterms:W3CDTF">2024-04-07T05:27:00Z</dcterms:created>
  <dcterms:modified xsi:type="dcterms:W3CDTF">2024-04-09T09:41:00Z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