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20" w:lineRule="exact"/>
        <w:rPr>
          <w:rFonts w:ascii="方正小标宋简体" w:hAnsi="宋体" w:eastAsia="方正小标宋简体"/>
          <w:bCs/>
          <w:iCs/>
          <w:szCs w:val="21"/>
        </w:rPr>
      </w:pPr>
      <w:r>
        <w:rPr>
          <w:rFonts w:hint="eastAsia" w:ascii="方正小标宋简体" w:hAnsi="宋体" w:eastAsia="方正小标宋简体"/>
          <w:bCs/>
          <w:iCs/>
          <w:szCs w:val="21"/>
        </w:rPr>
        <w:t xml:space="preserve">证券代码：600880                                             </w:t>
      </w:r>
      <w:r>
        <w:rPr>
          <w:rFonts w:hint="eastAsia" w:ascii="方正小标宋简体" w:hAnsi="宋体" w:eastAsia="方正小标宋简体"/>
          <w:bCs/>
          <w:iCs/>
          <w:szCs w:val="21"/>
          <w:lang w:val="en-US" w:eastAsia="zh-CN"/>
        </w:rPr>
        <w:t xml:space="preserve">                                                                      </w:t>
      </w:r>
      <w:r>
        <w:rPr>
          <w:rFonts w:hint="eastAsia" w:ascii="方正小标宋简体" w:hAnsi="宋体" w:eastAsia="方正小标宋简体"/>
          <w:bCs/>
          <w:iCs/>
          <w:szCs w:val="21"/>
        </w:rPr>
        <w:t xml:space="preserve"> 证券简称：博瑞传播</w:t>
      </w:r>
    </w:p>
    <w:p>
      <w:pPr>
        <w:spacing w:beforeLines="50" w:afterLines="50" w:line="520" w:lineRule="exact"/>
        <w:jc w:val="center"/>
        <w:rPr>
          <w:rFonts w:ascii="方正小标宋简体" w:hAnsi="宋体" w:eastAsia="方正小标宋简体"/>
          <w:bCs/>
          <w:iCs/>
          <w:sz w:val="32"/>
        </w:rPr>
      </w:pPr>
      <w:r>
        <w:rPr>
          <w:rFonts w:hint="eastAsia" w:ascii="方正小标宋简体" w:hAnsi="宋体" w:eastAsia="方正小标宋简体"/>
          <w:bCs/>
          <w:iCs/>
          <w:sz w:val="32"/>
        </w:rPr>
        <w:t>成都博瑞传播股份有限公司投资者关系活动记录表</w:t>
      </w:r>
    </w:p>
    <w:p>
      <w:pPr>
        <w:spacing w:line="520" w:lineRule="exact"/>
        <w:rPr>
          <w:rFonts w:hint="default" w:ascii="宋体" w:hAnsi="宋体" w:eastAsia="宋体"/>
          <w:bCs/>
          <w:iCs/>
          <w:szCs w:val="21"/>
          <w:lang w:val="en-US" w:eastAsia="zh-CN"/>
        </w:rPr>
      </w:pPr>
      <w:r>
        <w:rPr>
          <w:rFonts w:ascii="宋体" w:hAnsi="宋体"/>
          <w:bCs/>
          <w:iCs/>
          <w:sz w:val="24"/>
        </w:rPr>
        <w:t xml:space="preserve">                                                             </w:t>
      </w:r>
      <w:r>
        <w:rPr>
          <w:rFonts w:hint="eastAsia" w:ascii="宋体" w:hAnsi="宋体"/>
          <w:bCs/>
          <w:iCs/>
          <w:sz w:val="24"/>
        </w:rPr>
        <w:t xml:space="preserve">  </w:t>
      </w:r>
      <w:r>
        <w:rPr>
          <w:rFonts w:ascii="宋体" w:hAnsi="宋体"/>
          <w:bCs/>
          <w:iCs/>
          <w:szCs w:val="21"/>
        </w:rPr>
        <w:t xml:space="preserve"> </w:t>
      </w:r>
      <w:r>
        <w:rPr>
          <w:rFonts w:hint="eastAsia" w:ascii="宋体" w:hAnsi="宋体"/>
          <w:bCs/>
          <w:iCs/>
          <w:szCs w:val="21"/>
        </w:rPr>
        <w:t>编号：</w:t>
      </w:r>
      <w:r>
        <w:rPr>
          <w:rFonts w:hint="eastAsia" w:ascii="宋体" w:hAnsi="宋体"/>
          <w:bCs/>
          <w:iCs/>
          <w:szCs w:val="21"/>
          <w:lang w:val="en-US" w:eastAsia="zh-CN"/>
        </w:rPr>
        <w:t>2024-001</w:t>
      </w:r>
      <w:bookmarkStart w:id="0" w:name="_GoBack"/>
      <w:bookmarkEnd w:id="0"/>
    </w:p>
    <w:tbl>
      <w:tblPr>
        <w:tblStyle w:val="5"/>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7"/>
        <w:gridCol w:w="7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7" w:type="dxa"/>
            <w:shd w:val="clear" w:color="auto" w:fill="auto"/>
            <w:vAlign w:val="center"/>
          </w:tcPr>
          <w:p>
            <w:pPr>
              <w:spacing w:line="520" w:lineRule="exact"/>
              <w:jc w:val="center"/>
              <w:rPr>
                <w:rFonts w:ascii="宋体" w:hAnsi="宋体"/>
                <w:b/>
                <w:bCs/>
                <w:iCs/>
                <w:szCs w:val="21"/>
              </w:rPr>
            </w:pPr>
            <w:r>
              <w:rPr>
                <w:rFonts w:hint="eastAsia" w:ascii="宋体" w:hAnsi="宋体"/>
                <w:b/>
                <w:bCs/>
                <w:iCs/>
                <w:szCs w:val="21"/>
              </w:rPr>
              <w:t>投资者关系活动类别</w:t>
            </w:r>
          </w:p>
        </w:tc>
        <w:tc>
          <w:tcPr>
            <w:tcW w:w="7748" w:type="dxa"/>
            <w:shd w:val="clear" w:color="auto" w:fill="auto"/>
          </w:tcPr>
          <w:p>
            <w:pPr>
              <w:spacing w:line="520" w:lineRule="exact"/>
              <w:rPr>
                <w:szCs w:val="21"/>
              </w:rPr>
            </w:pPr>
            <w:r>
              <w:rPr>
                <w:rFonts w:hint="eastAsia"/>
                <w:szCs w:val="21"/>
              </w:rPr>
              <w:sym w:font="Wingdings 2" w:char="0052"/>
            </w:r>
            <w:r>
              <w:rPr>
                <w:rFonts w:hint="eastAsia" w:ascii="宋体" w:hAnsi="宋体"/>
                <w:szCs w:val="21"/>
              </w:rPr>
              <w:t xml:space="preserve">特定对象调研   </w:t>
            </w:r>
            <w:r>
              <w:rPr>
                <w:rFonts w:hint="eastAsia" w:ascii="宋体" w:hAnsi="宋体"/>
                <w:szCs w:val="21"/>
              </w:rPr>
              <w:sym w:font="Wingdings 2" w:char="00A3"/>
            </w:r>
            <w:r>
              <w:rPr>
                <w:rFonts w:hint="eastAsia" w:ascii="宋体" w:hAnsi="宋体"/>
                <w:szCs w:val="21"/>
              </w:rPr>
              <w:t>分析师会议</w:t>
            </w:r>
            <w:r>
              <w:rPr>
                <w:rFonts w:hint="eastAsia"/>
                <w:szCs w:val="21"/>
              </w:rPr>
              <w:t xml:space="preserve"> </w:t>
            </w:r>
            <w:r>
              <w:rPr>
                <w:szCs w:val="21"/>
              </w:rPr>
              <w:t xml:space="preserve">    </w:t>
            </w:r>
            <w:r>
              <w:rPr>
                <w:rFonts w:hint="eastAsia"/>
                <w:szCs w:val="21"/>
              </w:rPr>
              <w:t>□媒体采访      □</w:t>
            </w:r>
            <w:r>
              <w:rPr>
                <w:rFonts w:hint="eastAsia"/>
                <w:szCs w:val="21"/>
                <w:lang w:val="en-US" w:eastAsia="zh-CN"/>
              </w:rPr>
              <w:t>投资者</w:t>
            </w:r>
            <w:r>
              <w:rPr>
                <w:rFonts w:hint="eastAsia"/>
                <w:szCs w:val="21"/>
              </w:rPr>
              <w:t>说明会</w:t>
            </w:r>
          </w:p>
          <w:p>
            <w:pPr>
              <w:spacing w:line="520" w:lineRule="exact"/>
              <w:rPr>
                <w:rFonts w:ascii="宋体" w:hAnsi="宋体"/>
                <w:bCs/>
                <w:iCs/>
                <w:szCs w:val="21"/>
              </w:rPr>
            </w:pPr>
            <w:r>
              <w:rPr>
                <w:rFonts w:hint="eastAsia"/>
                <w:szCs w:val="21"/>
              </w:rPr>
              <w:t xml:space="preserve">□新闻发布会          □路演活动 </w:t>
            </w:r>
            <w:r>
              <w:rPr>
                <w:szCs w:val="21"/>
              </w:rPr>
              <w:t xml:space="preserve">      </w:t>
            </w:r>
            <w:r>
              <w:rPr>
                <w:rFonts w:hint="eastAsia"/>
                <w:szCs w:val="21"/>
              </w:rPr>
              <w:t>□现场参观</w:t>
            </w:r>
            <w:r>
              <w:rPr>
                <w:szCs w:val="21"/>
              </w:rPr>
              <w:t xml:space="preserve">    </w:t>
            </w:r>
            <w:r>
              <w:rPr>
                <w:rFonts w:hint="eastAsia"/>
                <w:szCs w:val="21"/>
              </w:rPr>
              <w:t xml:space="preserve"> □其他 （电话会议）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367" w:type="dxa"/>
            <w:shd w:val="clear" w:color="auto" w:fill="auto"/>
            <w:vAlign w:val="center"/>
          </w:tcPr>
          <w:p>
            <w:pPr>
              <w:spacing w:line="520" w:lineRule="exact"/>
              <w:jc w:val="center"/>
              <w:rPr>
                <w:rFonts w:ascii="宋体" w:hAnsi="宋体"/>
                <w:b/>
                <w:bCs/>
                <w:iCs/>
                <w:szCs w:val="21"/>
              </w:rPr>
            </w:pPr>
            <w:r>
              <w:rPr>
                <w:rFonts w:hint="eastAsia" w:ascii="宋体" w:hAnsi="宋体"/>
                <w:b/>
                <w:bCs/>
                <w:iCs/>
                <w:szCs w:val="21"/>
              </w:rPr>
              <w:t>参与单位名称及</w:t>
            </w:r>
          </w:p>
          <w:p>
            <w:pPr>
              <w:spacing w:line="520" w:lineRule="exact"/>
              <w:jc w:val="center"/>
              <w:rPr>
                <w:rFonts w:ascii="宋体" w:hAnsi="宋体"/>
                <w:b/>
                <w:bCs/>
                <w:iCs/>
                <w:szCs w:val="21"/>
              </w:rPr>
            </w:pPr>
            <w:r>
              <w:rPr>
                <w:rFonts w:hint="eastAsia" w:ascii="宋体" w:hAnsi="宋体"/>
                <w:b/>
                <w:bCs/>
                <w:iCs/>
                <w:szCs w:val="21"/>
              </w:rPr>
              <w:t>人员姓名</w:t>
            </w:r>
          </w:p>
        </w:tc>
        <w:tc>
          <w:tcPr>
            <w:tcW w:w="7748" w:type="dxa"/>
            <w:shd w:val="clear" w:color="auto" w:fill="auto"/>
          </w:tcPr>
          <w:p>
            <w:pPr>
              <w:spacing w:line="520" w:lineRule="exact"/>
              <w:rPr>
                <w:rFonts w:hint="eastAsia"/>
              </w:rPr>
            </w:pPr>
            <w:r>
              <w:rPr>
                <w:rFonts w:hint="eastAsia"/>
              </w:rPr>
              <w:t>国泰君安 陈</w:t>
            </w:r>
            <w:r>
              <w:rPr>
                <w:rFonts w:hint="eastAsia"/>
                <w:lang w:val="en-US" w:eastAsia="zh-CN"/>
              </w:rPr>
              <w:t xml:space="preserve">    </w:t>
            </w:r>
            <w:r>
              <w:rPr>
                <w:rFonts w:hint="eastAsia"/>
              </w:rPr>
              <w:t>筱</w:t>
            </w:r>
            <w:r>
              <w:rPr>
                <w:rFonts w:hint="eastAsia"/>
                <w:lang w:val="en-US" w:eastAsia="zh-CN"/>
              </w:rPr>
              <w:t xml:space="preserve">      </w:t>
            </w:r>
            <w:r>
              <w:rPr>
                <w:rFonts w:hint="eastAsia"/>
              </w:rPr>
              <w:t>泰康基金 翟一柠</w:t>
            </w:r>
            <w:r>
              <w:rPr>
                <w:rFonts w:hint="eastAsia"/>
                <w:lang w:val="en-US" w:eastAsia="zh-CN"/>
              </w:rPr>
              <w:t xml:space="preserve">      </w:t>
            </w:r>
            <w:r>
              <w:rPr>
                <w:rFonts w:hint="eastAsia"/>
              </w:rPr>
              <w:t>泰康资产 韩东方</w:t>
            </w:r>
            <w:r>
              <w:rPr>
                <w:rFonts w:hint="eastAsia"/>
                <w:lang w:val="en-US" w:eastAsia="zh-CN"/>
              </w:rPr>
              <w:t xml:space="preserve">      </w:t>
            </w:r>
            <w:r>
              <w:rPr>
                <w:rFonts w:hint="eastAsia"/>
              </w:rPr>
              <w:t>华夏基金 贾静雯</w:t>
            </w:r>
          </w:p>
          <w:p>
            <w:pPr>
              <w:spacing w:line="520" w:lineRule="exact"/>
              <w:rPr>
                <w:rFonts w:hint="eastAsia"/>
                <w:lang w:val="en-US" w:eastAsia="zh-CN"/>
              </w:rPr>
            </w:pPr>
            <w:r>
              <w:rPr>
                <w:rFonts w:hint="eastAsia"/>
              </w:rPr>
              <w:t>华安基金 张杰伟</w:t>
            </w:r>
            <w:r>
              <w:rPr>
                <w:rFonts w:hint="eastAsia"/>
                <w:lang w:val="en-US" w:eastAsia="zh-CN"/>
              </w:rPr>
              <w:t xml:space="preserve">      </w:t>
            </w:r>
            <w:r>
              <w:rPr>
                <w:rFonts w:hint="eastAsia"/>
              </w:rPr>
              <w:t>国寿安保</w:t>
            </w:r>
            <w:r>
              <w:rPr>
                <w:rFonts w:hint="eastAsia"/>
                <w:lang w:val="en-US" w:eastAsia="zh-CN"/>
              </w:rPr>
              <w:t>基金</w:t>
            </w:r>
            <w:r>
              <w:rPr>
                <w:rFonts w:hint="eastAsia"/>
              </w:rPr>
              <w:t xml:space="preserve"> 余舒嘉铭</w:t>
            </w:r>
            <w:r>
              <w:rPr>
                <w:rFonts w:hint="eastAsia"/>
                <w:lang w:val="en-US" w:eastAsia="zh-CN"/>
              </w:rPr>
              <w:t xml:space="preserve">      </w:t>
            </w:r>
            <w:r>
              <w:rPr>
                <w:rFonts w:hint="eastAsia"/>
              </w:rPr>
              <w:t>华宝基金 蓝</w:t>
            </w:r>
            <w:r>
              <w:rPr>
                <w:rFonts w:hint="eastAsia"/>
                <w:lang w:val="en-US" w:eastAsia="zh-CN"/>
              </w:rPr>
              <w:t xml:space="preserve">  </w:t>
            </w:r>
            <w:r>
              <w:rPr>
                <w:rFonts w:hint="eastAsia"/>
              </w:rPr>
              <w:t>仝</w:t>
            </w:r>
            <w:r>
              <w:rPr>
                <w:rFonts w:hint="eastAsia"/>
                <w:lang w:val="en-US" w:eastAsia="zh-CN"/>
              </w:rPr>
              <w:t xml:space="preserve">  </w:t>
            </w:r>
          </w:p>
          <w:p>
            <w:pPr>
              <w:spacing w:line="520" w:lineRule="exact"/>
              <w:rPr>
                <w:rFonts w:hint="default" w:eastAsia="仿宋"/>
                <w:lang w:val="en-US" w:eastAsia="zh-CN"/>
              </w:rPr>
            </w:pPr>
            <w:r>
              <w:rPr>
                <w:rFonts w:hint="eastAsia"/>
                <w:lang w:val="en-US" w:eastAsia="zh-CN"/>
              </w:rPr>
              <w:t>东证资管</w:t>
            </w:r>
            <w:r>
              <w:rPr>
                <w:rFonts w:hint="eastAsia"/>
              </w:rPr>
              <w:t xml:space="preserve"> 秦瑜瞳</w:t>
            </w:r>
            <w:r>
              <w:rPr>
                <w:rFonts w:hint="eastAsia"/>
                <w:lang w:val="en-US" w:eastAsia="zh-CN"/>
              </w:rPr>
              <w:t xml:space="preserve">      明世伙伴基金 彭    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7" w:type="dxa"/>
            <w:shd w:val="clear" w:color="auto" w:fill="auto"/>
            <w:vAlign w:val="center"/>
          </w:tcPr>
          <w:p>
            <w:pPr>
              <w:spacing w:line="520" w:lineRule="exact"/>
              <w:jc w:val="center"/>
              <w:rPr>
                <w:rFonts w:ascii="宋体" w:hAnsi="宋体"/>
                <w:b/>
                <w:bCs/>
                <w:iCs/>
                <w:szCs w:val="21"/>
              </w:rPr>
            </w:pPr>
            <w:r>
              <w:rPr>
                <w:rFonts w:hint="eastAsia" w:ascii="宋体" w:hAnsi="宋体"/>
                <w:b/>
                <w:bCs/>
                <w:iCs/>
                <w:szCs w:val="21"/>
              </w:rPr>
              <w:t>时间</w:t>
            </w:r>
          </w:p>
        </w:tc>
        <w:tc>
          <w:tcPr>
            <w:tcW w:w="7748" w:type="dxa"/>
            <w:shd w:val="clear" w:color="auto" w:fill="auto"/>
          </w:tcPr>
          <w:p>
            <w:pPr>
              <w:spacing w:line="520" w:lineRule="exact"/>
              <w:rPr>
                <w:rFonts w:hint="default" w:ascii="宋体" w:hAnsi="宋体" w:eastAsia="宋体"/>
                <w:bCs/>
                <w:iCs/>
                <w:szCs w:val="21"/>
                <w:lang w:val="en-US" w:eastAsia="zh-CN"/>
              </w:rPr>
            </w:pPr>
            <w:r>
              <w:rPr>
                <w:rFonts w:hint="eastAsia" w:ascii="宋体" w:hAnsi="宋体"/>
                <w:bCs/>
                <w:iCs/>
                <w:szCs w:val="21"/>
                <w:lang w:val="en-US" w:eastAsia="zh-CN"/>
              </w:rPr>
              <w:t>2024年4月10日上午十点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7" w:type="dxa"/>
            <w:shd w:val="clear" w:color="auto" w:fill="auto"/>
            <w:vAlign w:val="center"/>
          </w:tcPr>
          <w:p>
            <w:pPr>
              <w:spacing w:line="520" w:lineRule="exact"/>
              <w:jc w:val="center"/>
              <w:rPr>
                <w:rFonts w:ascii="宋体" w:hAnsi="宋体"/>
                <w:b/>
                <w:bCs/>
                <w:iCs/>
                <w:szCs w:val="21"/>
              </w:rPr>
            </w:pPr>
            <w:r>
              <w:rPr>
                <w:rFonts w:hint="eastAsia" w:ascii="宋体" w:hAnsi="宋体"/>
                <w:b/>
                <w:bCs/>
                <w:iCs/>
                <w:szCs w:val="21"/>
              </w:rPr>
              <w:t>地点</w:t>
            </w:r>
          </w:p>
        </w:tc>
        <w:tc>
          <w:tcPr>
            <w:tcW w:w="7748" w:type="dxa"/>
            <w:shd w:val="clear" w:color="auto" w:fill="auto"/>
          </w:tcPr>
          <w:p>
            <w:pPr>
              <w:spacing w:line="520" w:lineRule="exact"/>
              <w:rPr>
                <w:rFonts w:hint="default" w:ascii="宋体" w:hAnsi="宋体" w:eastAsia="宋体"/>
                <w:bCs/>
                <w:iCs/>
                <w:szCs w:val="21"/>
                <w:lang w:val="en-US" w:eastAsia="zh-CN"/>
              </w:rPr>
            </w:pPr>
            <w:r>
              <w:rPr>
                <w:rFonts w:hint="eastAsia" w:ascii="宋体" w:hAnsi="宋体"/>
                <w:bCs/>
                <w:iCs/>
                <w:szCs w:val="21"/>
                <w:lang w:val="en-US" w:eastAsia="zh-CN"/>
              </w:rPr>
              <w:t>博瑞传播公司会议室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7" w:type="dxa"/>
            <w:shd w:val="clear" w:color="auto" w:fill="auto"/>
            <w:vAlign w:val="center"/>
          </w:tcPr>
          <w:p>
            <w:pPr>
              <w:spacing w:line="520" w:lineRule="exact"/>
              <w:jc w:val="center"/>
              <w:rPr>
                <w:rFonts w:ascii="宋体" w:hAnsi="宋体"/>
                <w:b/>
                <w:bCs/>
                <w:iCs/>
                <w:szCs w:val="21"/>
              </w:rPr>
            </w:pPr>
            <w:r>
              <w:rPr>
                <w:rFonts w:hint="eastAsia" w:ascii="宋体" w:hAnsi="宋体"/>
                <w:b/>
                <w:bCs/>
                <w:iCs/>
                <w:szCs w:val="21"/>
              </w:rPr>
              <w:t>上市公司接待人员姓名</w:t>
            </w:r>
          </w:p>
        </w:tc>
        <w:tc>
          <w:tcPr>
            <w:tcW w:w="7748" w:type="dxa"/>
            <w:shd w:val="clear" w:color="auto" w:fill="auto"/>
          </w:tcPr>
          <w:p>
            <w:pPr>
              <w:spacing w:line="520" w:lineRule="exact"/>
              <w:rPr>
                <w:rFonts w:hint="default" w:ascii="宋体" w:hAnsi="宋体" w:eastAsia="宋体"/>
                <w:bCs/>
                <w:iCs/>
                <w:szCs w:val="21"/>
                <w:lang w:val="en-US" w:eastAsia="zh-CN"/>
              </w:rPr>
            </w:pPr>
            <w:r>
              <w:rPr>
                <w:rFonts w:hint="eastAsia" w:ascii="宋体" w:hAnsi="宋体"/>
                <w:bCs/>
                <w:iCs/>
                <w:szCs w:val="21"/>
                <w:lang w:val="en-US" w:eastAsia="zh-CN"/>
              </w:rPr>
              <w:t>副总经理、</w:t>
            </w:r>
            <w:r>
              <w:rPr>
                <w:rFonts w:hint="eastAsia" w:ascii="宋体" w:hAnsi="宋体" w:eastAsia="宋体"/>
                <w:bCs/>
                <w:iCs/>
                <w:szCs w:val="21"/>
                <w:lang w:val="en-US" w:eastAsia="zh-CN"/>
              </w:rPr>
              <w:t>董事会秘书  苟  军、副总经理  沈丁丁、证券事务代表  王  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67" w:type="dxa"/>
            <w:shd w:val="clear" w:color="auto" w:fill="auto"/>
            <w:vAlign w:val="center"/>
          </w:tcPr>
          <w:p>
            <w:pPr>
              <w:spacing w:line="520" w:lineRule="exact"/>
              <w:jc w:val="center"/>
              <w:rPr>
                <w:rFonts w:ascii="宋体" w:hAnsi="宋体"/>
                <w:b/>
                <w:bCs/>
                <w:iCs/>
                <w:szCs w:val="21"/>
              </w:rPr>
            </w:pPr>
            <w:r>
              <w:rPr>
                <w:rFonts w:hint="eastAsia" w:ascii="宋体" w:hAnsi="宋体"/>
                <w:b/>
                <w:bCs/>
                <w:iCs/>
                <w:szCs w:val="21"/>
              </w:rPr>
              <w:t>交流主题</w:t>
            </w:r>
          </w:p>
        </w:tc>
        <w:tc>
          <w:tcPr>
            <w:tcW w:w="7748" w:type="dxa"/>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2" w:firstLineChars="200"/>
              <w:textAlignment w:val="auto"/>
              <w:rPr>
                <w:rFonts w:hint="eastAsia" w:ascii="宋体" w:hAnsi="宋体" w:eastAsia="宋体" w:cs="Times New Roman"/>
                <w:b/>
                <w:bCs/>
                <w:kern w:val="2"/>
                <w:szCs w:val="20"/>
                <w:lang w:val="en-US" w:eastAsia="zh-CN" w:bidi="ar-SA"/>
              </w:rPr>
            </w:pPr>
            <w:r>
              <w:rPr>
                <w:rFonts w:hint="eastAsia" w:ascii="宋体" w:hAnsi="宋体" w:eastAsia="宋体" w:cs="Times New Roman"/>
                <w:b/>
                <w:bCs/>
                <w:kern w:val="2"/>
                <w:szCs w:val="20"/>
                <w:lang w:val="en-US" w:eastAsia="zh-CN" w:bidi="ar-SA"/>
              </w:rPr>
              <w:t>一、公司及重点业务介绍</w:t>
            </w:r>
          </w:p>
          <w:p>
            <w:pPr>
              <w:pStyle w:val="2"/>
              <w:keepNext w:val="0"/>
              <w:keepLines w:val="0"/>
              <w:pageBreakBefore w:val="0"/>
              <w:widowControl w:val="0"/>
              <w:kinsoku/>
              <w:wordWrap/>
              <w:overflowPunct/>
              <w:topLinePunct w:val="0"/>
              <w:autoSpaceDE/>
              <w:autoSpaceDN/>
              <w:bidi w:val="0"/>
              <w:adjustRightInd/>
              <w:snapToGrid/>
              <w:spacing w:line="240" w:lineRule="atLeast"/>
              <w:ind w:firstLine="420" w:firstLineChars="200"/>
              <w:textAlignment w:val="auto"/>
              <w:rPr>
                <w:rFonts w:hint="eastAsia"/>
                <w:lang w:val="en-US" w:eastAsia="zh-CN"/>
              </w:rPr>
            </w:pPr>
            <w:r>
              <w:rPr>
                <w:rFonts w:hint="eastAsia" w:ascii="宋体" w:hAnsi="宋体" w:eastAsia="宋体" w:cs="Times New Roman"/>
                <w:bCs/>
                <w:iCs/>
                <w:sz w:val="21"/>
                <w:szCs w:val="21"/>
                <w:lang w:val="en-US" w:eastAsia="zh-CN"/>
              </w:rPr>
              <w:t>博瑞传播公司系成都市属国有传媒类上市公司，经多年的转型发展，公司以“打造成都文创数字新经济重要资本平台”为战略定位，主营业务涵盖智慧管理、现代传播、文化产权交易、游戏研运、文创金融等领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2" w:firstLineChars="200"/>
              <w:textAlignment w:val="auto"/>
              <w:rPr>
                <w:rFonts w:hint="eastAsia" w:ascii="宋体" w:hAnsi="宋体" w:eastAsia="宋体" w:cs="Times New Roman"/>
                <w:b/>
                <w:bCs/>
                <w:kern w:val="2"/>
                <w:szCs w:val="20"/>
                <w:lang w:val="en-US" w:eastAsia="zh-CN" w:bidi="ar-SA"/>
              </w:rPr>
            </w:pPr>
            <w:r>
              <w:rPr>
                <w:rFonts w:hint="eastAsia" w:ascii="宋体" w:hAnsi="宋体" w:eastAsia="宋体" w:cs="Times New Roman"/>
                <w:b/>
                <w:bCs/>
                <w:kern w:val="2"/>
                <w:szCs w:val="20"/>
                <w:lang w:val="en-US" w:eastAsia="zh-CN" w:bidi="ar-SA"/>
              </w:rPr>
              <w:t>二、请详细介绍一下游戏业务的运营现状和未来计划</w:t>
            </w:r>
          </w:p>
          <w:p>
            <w:pPr>
              <w:pStyle w:val="2"/>
              <w:keepNext w:val="0"/>
              <w:keepLines w:val="0"/>
              <w:pageBreakBefore w:val="0"/>
              <w:widowControl w:val="0"/>
              <w:kinsoku/>
              <w:wordWrap/>
              <w:overflowPunct/>
              <w:topLinePunct w:val="0"/>
              <w:autoSpaceDE/>
              <w:autoSpaceDN/>
              <w:bidi w:val="0"/>
              <w:adjustRightInd/>
              <w:snapToGrid/>
              <w:spacing w:line="240" w:lineRule="atLeast"/>
              <w:ind w:firstLine="420" w:firstLineChars="200"/>
              <w:textAlignment w:val="auto"/>
              <w:rPr>
                <w:rFonts w:hint="eastAsia"/>
                <w:lang w:val="en-US" w:eastAsia="zh-CN"/>
              </w:rPr>
            </w:pPr>
            <w:r>
              <w:rPr>
                <w:rFonts w:hint="eastAsia" w:ascii="宋体" w:hAnsi="宋体" w:eastAsia="宋体" w:cs="Times New Roman"/>
                <w:bCs/>
                <w:iCs/>
                <w:sz w:val="21"/>
                <w:szCs w:val="21"/>
                <w:lang w:val="en-US" w:eastAsia="zh-CN"/>
              </w:rPr>
              <w:t>公司游戏板块目前发展势头良好，下一步游戏业务将继续深化研发、运营、管理，深入贯彻并执行游戏出海战略，通过国内、海外两条线一起发力，推动公司的游戏业务高质量发展。目前公司游戏业务国内基本盘发展稳健，《全民主公》IP系列游戏市场热度不减，受众较多，2024年初，公司还取得了新游戏《漫游五千年》的版号，为下一步发展提供了坚实的基础。游戏出海工作也推进地较为顺利，公司已通过整合北京漫游谷和成都梦工厂，实现游戏业务的一体化经营管理，并统一提出“漫游宇宙”，强化品牌意识；另一方面正在推进在香港设立SPV的相关工作，将对公司游戏出海业务进行统筹管理，有效降低整体的管理成本。后续，公司计划针对东南亚市场开发一些比较有特色的游戏。近期已取得了B站《十万个冷笑话》IP（该系列之漫画、动画作品）改编开发移动端网络游戏的授权，未来也会进一步加强与其它游戏行业头部机构进行合作，努力提升游戏板块的发展潜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2" w:firstLineChars="200"/>
              <w:textAlignment w:val="auto"/>
              <w:rPr>
                <w:rFonts w:hint="eastAsia" w:ascii="宋体" w:hAnsi="宋体" w:eastAsia="宋体" w:cs="Times New Roman"/>
                <w:b/>
                <w:bCs/>
                <w:kern w:val="2"/>
                <w:szCs w:val="20"/>
                <w:lang w:val="en-US" w:eastAsia="zh-CN" w:bidi="ar-SA"/>
              </w:rPr>
            </w:pPr>
            <w:r>
              <w:rPr>
                <w:rFonts w:hint="eastAsia" w:ascii="宋体" w:hAnsi="宋体" w:eastAsia="宋体" w:cs="Times New Roman"/>
                <w:b/>
                <w:bCs/>
                <w:kern w:val="2"/>
                <w:szCs w:val="20"/>
                <w:lang w:val="en-US" w:eastAsia="zh-CN" w:bidi="ar-SA"/>
              </w:rPr>
              <w:t>三、请介绍一下公司的跨界电商业务，公司是否会涉及供应链</w:t>
            </w:r>
          </w:p>
          <w:p>
            <w:pPr>
              <w:pStyle w:val="2"/>
              <w:keepNext w:val="0"/>
              <w:keepLines w:val="0"/>
              <w:pageBreakBefore w:val="0"/>
              <w:widowControl w:val="0"/>
              <w:kinsoku/>
              <w:wordWrap/>
              <w:overflowPunct/>
              <w:topLinePunct w:val="0"/>
              <w:autoSpaceDE/>
              <w:autoSpaceDN/>
              <w:bidi w:val="0"/>
              <w:adjustRightInd/>
              <w:snapToGrid/>
              <w:spacing w:line="240" w:lineRule="atLeast"/>
              <w:ind w:firstLine="420" w:firstLineChars="200"/>
              <w:textAlignment w:val="auto"/>
              <w:rPr>
                <w:rFonts w:hint="eastAsia"/>
                <w:lang w:val="en-US" w:eastAsia="zh-CN"/>
              </w:rPr>
            </w:pPr>
            <w:r>
              <w:rPr>
                <w:rFonts w:hint="eastAsia" w:ascii="宋体" w:hAnsi="宋体" w:eastAsia="宋体" w:cs="Times New Roman"/>
                <w:bCs/>
                <w:iCs/>
                <w:sz w:val="21"/>
                <w:szCs w:val="21"/>
                <w:lang w:val="en-US" w:eastAsia="zh-CN"/>
              </w:rPr>
              <w:t>公司已取得了TikTok跨境电商资质认证，成为TikTok跨境TSP服务商，并拥有英国、菲律宾、泰国、马来西亚、新加坡以及越南六国TSP资质，并联合深圳季风投资管理公司通过共同投资成立合资公司、建设跨境电商产业园、为入驻商家提供设备租赁、传播、营销等相关配套服务，打造西南较具影响力的跨境电商平台。合作双方将充分发挥自身优势共同为新公司赋能。深圳季风投资深耕电商行业，对供应链、物流体系等具有较强的资源及优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2" w:firstLineChars="200"/>
              <w:textAlignment w:val="auto"/>
              <w:rPr>
                <w:rFonts w:hint="default" w:ascii="宋体" w:hAnsi="宋体" w:eastAsia="宋体" w:cs="Times New Roman"/>
                <w:b/>
                <w:bCs/>
                <w:kern w:val="2"/>
                <w:szCs w:val="20"/>
                <w:lang w:val="en-US" w:eastAsia="zh-CN" w:bidi="ar-SA"/>
              </w:rPr>
            </w:pPr>
            <w:r>
              <w:rPr>
                <w:rFonts w:hint="eastAsia" w:ascii="宋体" w:hAnsi="宋体" w:eastAsia="宋体" w:cs="Times New Roman"/>
                <w:b/>
                <w:bCs/>
                <w:kern w:val="2"/>
                <w:szCs w:val="20"/>
                <w:lang w:val="en-US" w:eastAsia="zh-CN" w:bidi="ar-SA"/>
              </w:rPr>
              <w:t>四、有看到前期的新闻里提到，博瑞传播将和华为在媒体融合、人工智能内容审核、文化大数据体系、5G新技术、区块链、微服务、云安全、自主创新等领域开展全方位合作，请问公司未来布局算力或者大模型业务吗？</w:t>
            </w:r>
          </w:p>
          <w:p>
            <w:pPr>
              <w:pStyle w:val="2"/>
              <w:keepNext w:val="0"/>
              <w:keepLines w:val="0"/>
              <w:pageBreakBefore w:val="0"/>
              <w:widowControl w:val="0"/>
              <w:kinsoku/>
              <w:wordWrap/>
              <w:overflowPunct/>
              <w:topLinePunct w:val="0"/>
              <w:autoSpaceDE/>
              <w:autoSpaceDN/>
              <w:bidi w:val="0"/>
              <w:adjustRightInd/>
              <w:snapToGrid/>
              <w:spacing w:line="240" w:lineRule="atLeast"/>
              <w:ind w:firstLine="420" w:firstLineChars="200"/>
              <w:textAlignment w:val="auto"/>
              <w:rPr>
                <w:rFonts w:hint="eastAsia"/>
                <w:lang w:val="en-US" w:eastAsia="zh-CN"/>
              </w:rPr>
            </w:pPr>
            <w:r>
              <w:rPr>
                <w:rFonts w:hint="eastAsia" w:ascii="宋体" w:hAnsi="宋体" w:eastAsia="宋体" w:cs="Times New Roman"/>
                <w:bCs/>
                <w:iCs/>
                <w:sz w:val="21"/>
                <w:szCs w:val="21"/>
                <w:lang w:val="en-US" w:eastAsia="zh-CN"/>
              </w:rPr>
              <w:t>近两年，公司围绕“打造成都文创数字新经济重要资本平台”的战略定位，将数字新经济作为未来的发展方向积极谋篇布局，算力作为数字经济时代的新生产力得到了广泛关注。公司日前与华为签订全面合作协议，一方面是基于与华为的良好合作关系（双方已在生学教育的相关业务中推进了多项合作），另一方面也是希望通过向华为的进一步学习交流，探索符合公司包括算力在内的相关业务新方向。截至目前，公司正在对算力业务进行论证，暂未取得实质性进展。后续希望能在算力和一些垂直领域上有所突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2" w:firstLineChars="200"/>
              <w:textAlignment w:val="auto"/>
              <w:rPr>
                <w:rFonts w:hint="eastAsia" w:ascii="宋体" w:hAnsi="宋体" w:eastAsia="宋体" w:cs="Times New Roman"/>
                <w:b/>
                <w:bCs/>
                <w:kern w:val="2"/>
                <w:szCs w:val="20"/>
                <w:lang w:val="en-US" w:eastAsia="zh-CN" w:bidi="ar-SA"/>
              </w:rPr>
            </w:pPr>
            <w:r>
              <w:rPr>
                <w:rFonts w:hint="eastAsia" w:ascii="宋体" w:hAnsi="宋体" w:eastAsia="宋体" w:cs="Times New Roman"/>
                <w:b/>
                <w:bCs/>
                <w:kern w:val="2"/>
                <w:szCs w:val="20"/>
                <w:lang w:val="en-US" w:eastAsia="zh-CN" w:bidi="ar-SA"/>
              </w:rPr>
              <w:t>五、请问公司作为国企，目前有没有收到市值考核的相关要求</w:t>
            </w:r>
          </w:p>
          <w:p>
            <w:pPr>
              <w:pStyle w:val="2"/>
              <w:keepNext w:val="0"/>
              <w:keepLines w:val="0"/>
              <w:pageBreakBefore w:val="0"/>
              <w:widowControl w:val="0"/>
              <w:kinsoku/>
              <w:wordWrap/>
              <w:overflowPunct/>
              <w:topLinePunct w:val="0"/>
              <w:autoSpaceDE/>
              <w:autoSpaceDN/>
              <w:bidi w:val="0"/>
              <w:adjustRightInd/>
              <w:snapToGrid/>
              <w:spacing w:line="240" w:lineRule="atLeast"/>
              <w:ind w:firstLine="420" w:firstLineChars="200"/>
              <w:textAlignment w:val="auto"/>
              <w:rPr>
                <w:rFonts w:hint="eastAsia"/>
                <w:lang w:val="en-US" w:eastAsia="zh-CN"/>
              </w:rPr>
            </w:pPr>
            <w:r>
              <w:rPr>
                <w:rFonts w:hint="eastAsia" w:ascii="宋体" w:hAnsi="宋体" w:eastAsia="宋体" w:cs="Times New Roman"/>
                <w:bCs/>
                <w:iCs/>
                <w:sz w:val="21"/>
                <w:szCs w:val="21"/>
                <w:lang w:val="en-US" w:eastAsia="zh-CN"/>
              </w:rPr>
              <w:t>国务院国资委今年年初表示进一步研究将市值管理纳入央企负责人业绩考核，公司也将积极关注地方国资的相关部署。公司对市值管理历来高度重视，我们秉承“创造内在价值、提高公司质量”核心理念，通过规范治理、提升公司核心竞争力等方式，力求为投资者创造更多价值，提供合理回报，并在资本市场实现合理估值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2" w:firstLineChars="200"/>
              <w:textAlignment w:val="auto"/>
              <w:rPr>
                <w:rFonts w:hint="eastAsia" w:ascii="宋体" w:hAnsi="宋体" w:eastAsia="宋体" w:cs="Times New Roman"/>
                <w:b/>
                <w:bCs/>
                <w:kern w:val="2"/>
                <w:szCs w:val="20"/>
                <w:lang w:val="en-US" w:eastAsia="zh-CN" w:bidi="ar-SA"/>
              </w:rPr>
            </w:pPr>
            <w:r>
              <w:rPr>
                <w:rFonts w:hint="eastAsia" w:ascii="宋体" w:hAnsi="宋体" w:eastAsia="宋体" w:cs="Times New Roman"/>
                <w:b/>
                <w:bCs/>
                <w:kern w:val="2"/>
                <w:szCs w:val="20"/>
                <w:lang w:val="en-US" w:eastAsia="zh-CN" w:bidi="ar-SA"/>
              </w:rPr>
              <w:t>六、公司今年哪些板块会有新突破？</w:t>
            </w:r>
          </w:p>
          <w:p>
            <w:pPr>
              <w:pStyle w:val="2"/>
              <w:keepNext w:val="0"/>
              <w:keepLines w:val="0"/>
              <w:pageBreakBefore w:val="0"/>
              <w:widowControl w:val="0"/>
              <w:kinsoku/>
              <w:wordWrap/>
              <w:overflowPunct/>
              <w:topLinePunct w:val="0"/>
              <w:autoSpaceDE/>
              <w:autoSpaceDN/>
              <w:bidi w:val="0"/>
              <w:adjustRightInd/>
              <w:snapToGrid/>
              <w:spacing w:line="240" w:lineRule="atLeast"/>
              <w:ind w:firstLine="420" w:firstLineChars="200"/>
              <w:textAlignment w:val="auto"/>
              <w:rPr>
                <w:rFonts w:hint="eastAsia" w:ascii="宋体" w:hAnsi="宋体" w:eastAsia="宋体" w:cs="Times New Roman"/>
                <w:bCs/>
                <w:iCs/>
                <w:sz w:val="21"/>
                <w:szCs w:val="21"/>
                <w:lang w:val="en-US" w:eastAsia="zh-CN"/>
              </w:rPr>
            </w:pPr>
            <w:r>
              <w:rPr>
                <w:rFonts w:hint="eastAsia" w:ascii="宋体" w:hAnsi="宋体" w:eastAsia="宋体" w:cs="Times New Roman"/>
                <w:bCs/>
                <w:iCs/>
                <w:sz w:val="21"/>
                <w:szCs w:val="21"/>
                <w:lang w:val="en-US" w:eastAsia="zh-CN"/>
              </w:rPr>
              <w:t>今年公司将继续按照既定战略，推动前期的优质项目，包括坚持推动生学教育由智慧教育向智慧城市，智慧交通等其它智慧管理赛道拓展；坚持游戏板块的出海战略，把优质IP积极转化成游戏，增强游戏板块的竞争力；坚持做大做强成都文交所蛟龙出海平台，利用自身在资金、运力等方面的优势，积极抢占市场份额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2367" w:type="dxa"/>
            <w:shd w:val="clear" w:color="auto" w:fill="auto"/>
            <w:vAlign w:val="center"/>
          </w:tcPr>
          <w:p>
            <w:pPr>
              <w:spacing w:line="520" w:lineRule="exact"/>
              <w:jc w:val="center"/>
              <w:rPr>
                <w:rFonts w:hint="default" w:ascii="宋体" w:hAnsi="宋体" w:eastAsia="宋体"/>
                <w:b/>
                <w:bCs/>
                <w:iCs/>
                <w:szCs w:val="21"/>
                <w:lang w:val="en-US" w:eastAsia="zh-CN"/>
              </w:rPr>
            </w:pPr>
            <w:r>
              <w:rPr>
                <w:rFonts w:hint="eastAsia" w:ascii="宋体" w:hAnsi="宋体"/>
                <w:b/>
                <w:bCs/>
                <w:iCs/>
                <w:szCs w:val="21"/>
                <w:lang w:val="en-US" w:eastAsia="zh-CN"/>
              </w:rPr>
              <w:t>附件清单（如有）</w:t>
            </w:r>
          </w:p>
        </w:tc>
        <w:tc>
          <w:tcPr>
            <w:tcW w:w="7748" w:type="dxa"/>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ascii="宋体" w:hAnsi="宋体"/>
                <w:bCs/>
                <w:iCs/>
                <w:szCs w:val="21"/>
              </w:rPr>
            </w:pPr>
            <w:r>
              <w:rPr>
                <w:rFonts w:hint="eastAsia" w:ascii="宋体" w:hAnsi="宋体" w:eastAsia="宋体" w:cs="Times New Roman"/>
                <w:b w:val="0"/>
                <w:bCs w:val="0"/>
                <w:kern w:val="2"/>
                <w:szCs w:val="20"/>
                <w:lang w:val="en-US" w:eastAsia="zh-CN" w:bidi="ar-SA"/>
              </w:rPr>
              <w:t xml:space="preserve">  </w:t>
            </w:r>
            <w:r>
              <w:rPr>
                <w:rFonts w:hint="eastAsia" w:ascii="仿宋_GB2312" w:hAnsi="微软雅黑" w:eastAsia="仿宋_GB2312" w:cs="宋体"/>
                <w:kern w:val="0"/>
                <w:szCs w:val="21"/>
              </w:rPr>
              <w:t xml:space="preserve">      </w:t>
            </w:r>
            <w:r>
              <w:rPr>
                <w:rFonts w:ascii="宋体" w:hAnsi="宋体"/>
                <w:bCs/>
                <w:iCs/>
                <w:szCs w:val="21"/>
              </w:rPr>
              <w:t xml:space="preserve"> </w:t>
            </w:r>
          </w:p>
        </w:tc>
      </w:tr>
    </w:tbl>
    <w:p>
      <w:pPr>
        <w:rPr>
          <w:rFonts w:hint="eastAsia" w:ascii="仿宋" w:hAnsi="仿宋" w:eastAsia="仿宋" w:cs="仿宋"/>
          <w:sz w:val="24"/>
          <w:szCs w:val="24"/>
          <w:lang w:val="en-US" w:eastAsia="zh-CN"/>
        </w:rPr>
      </w:pPr>
    </w:p>
    <w:sectPr>
      <w:pgSz w:w="12240" w:h="15840"/>
      <w:pgMar w:top="1134" w:right="1134" w:bottom="1134" w:left="1134" w:header="0" w:footer="0" w:gutter="0"/>
      <w:cols w:space="720" w:num="1"/>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isplayHorizontalDrawingGridEvery w:val="1"/>
  <w:displayVerticalDrawingGridEvery w:val="1"/>
  <w:noPunctuationKerning w:val="1"/>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01DED"/>
    <w:rsid w:val="0F0F2A10"/>
    <w:rsid w:val="11D03FFB"/>
    <w:rsid w:val="16EF268F"/>
    <w:rsid w:val="23546D35"/>
    <w:rsid w:val="3E554742"/>
    <w:rsid w:val="6C186766"/>
    <w:rsid w:val="6E6A15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 w:hAnsi="仿宋" w:eastAsia="仿宋" w:cs="仿宋"/>
      <w:sz w:val="28"/>
      <w:szCs w:val="28"/>
      <w:lang w:val="zh-CN" w:eastAsia="zh-CN" w:bidi="zh-CN"/>
    </w:rPr>
  </w:style>
  <w:style w:type="paragraph" w:styleId="3">
    <w:name w:val="annotation text"/>
    <w:basedOn w:val="1"/>
    <w:qFormat/>
    <w:uiPriority w:val="0"/>
    <w:pPr>
      <w:jc w:val="left"/>
    </w:pPr>
  </w:style>
  <w:style w:type="paragraph" w:styleId="4">
    <w:name w:val="Body Text First Indent"/>
    <w:basedOn w:val="2"/>
    <w:unhideWhenUsed/>
    <w:qFormat/>
    <w:uiPriority w:val="99"/>
    <w:pPr>
      <w:ind w:firstLine="420" w:firstLineChars="100"/>
    </w:pPr>
  </w:style>
  <w:style w:type="paragraph" w:customStyle="1" w:styleId="7">
    <w:name w:val="目录 61"/>
    <w:next w:val="1"/>
    <w:qFormat/>
    <w:uiPriority w:val="0"/>
    <w:pPr>
      <w:wordWrap w:val="0"/>
      <w:ind w:left="212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赵成伟</dc:creator>
  <dc:description>lybjson_version=1.0.0, encoding=UTF-8, export_type=0, custom=1227609327443902464</dc:description>
  <cp:lastModifiedBy>飞天猪</cp:lastModifiedBy>
  <dcterms:modified xsi:type="dcterms:W3CDTF">2024-04-10T11:02:54Z</dcterms:modified>
  <dc:subject>audio</dc:subject>
  <dc:title>04月10日_1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F4A7BA5B482748DF99001CE06C2E696A</vt:lpwstr>
  </property>
</Properties>
</file>