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B812F" w14:textId="77777777" w:rsidR="00C803A7" w:rsidRDefault="00A9001B">
      <w:pPr>
        <w:autoSpaceDE w:val="0"/>
        <w:autoSpaceDN w:val="0"/>
        <w:adjustRightInd w:val="0"/>
        <w:spacing w:line="60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证券代码：</w:t>
      </w:r>
      <w:r>
        <w:rPr>
          <w:rFonts w:ascii="宋体" w:eastAsia="宋体" w:hAnsi="宋体"/>
          <w:b/>
          <w:sz w:val="24"/>
        </w:rPr>
        <w:t>688503                                   证券简称：</w:t>
      </w:r>
      <w:proofErr w:type="gramStart"/>
      <w:r>
        <w:rPr>
          <w:rFonts w:ascii="宋体" w:eastAsia="宋体" w:hAnsi="宋体" w:hint="eastAsia"/>
          <w:b/>
          <w:sz w:val="24"/>
        </w:rPr>
        <w:t>聚和材料</w:t>
      </w:r>
      <w:proofErr w:type="gramEnd"/>
    </w:p>
    <w:p w14:paraId="5857E308" w14:textId="77777777" w:rsidR="00C803A7" w:rsidRDefault="00A9001B">
      <w:pPr>
        <w:widowControl/>
        <w:tabs>
          <w:tab w:val="center" w:pos="4512"/>
          <w:tab w:val="left" w:pos="787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常州聚和新材料</w:t>
      </w:r>
      <w:proofErr w:type="gramEnd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股份有限公司</w:t>
      </w:r>
    </w:p>
    <w:p w14:paraId="3EAD8698" w14:textId="77777777" w:rsidR="00C803A7" w:rsidRDefault="00A9001B">
      <w:pPr>
        <w:widowControl/>
        <w:tabs>
          <w:tab w:val="center" w:pos="4512"/>
          <w:tab w:val="left" w:pos="7870"/>
        </w:tabs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投资者关系活动记录表</w:t>
      </w:r>
    </w:p>
    <w:p w14:paraId="22114325" w14:textId="77777777" w:rsidR="00C803A7" w:rsidRDefault="00A9001B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编号：2</w:t>
      </w:r>
      <w:r>
        <w:rPr>
          <w:rFonts w:ascii="宋体" w:eastAsia="宋体" w:hAnsi="宋体"/>
        </w:rPr>
        <w:t>024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001</w:t>
      </w:r>
    </w:p>
    <w:tbl>
      <w:tblPr>
        <w:tblW w:w="564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796"/>
      </w:tblGrid>
      <w:tr w:rsidR="00C803A7" w14:paraId="573EAEA7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B49B8B0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投资者关系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活动类别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63EEE0A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□特定对象调研       □分析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师会议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 xml:space="preserve">□媒体采访        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业绩说明会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□新闻发布会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     □路演活动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br/>
              <w:t>□现场参观           □其他（电话会议）</w:t>
            </w:r>
          </w:p>
        </w:tc>
      </w:tr>
      <w:tr w:rsidR="00C803A7" w14:paraId="4C84E3DD" w14:textId="77777777">
        <w:trPr>
          <w:trHeight w:val="1048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ABF1F47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参与单位名称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311F9BC5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线上参与公司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2023年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业绩说明会的全体投资者</w:t>
            </w:r>
          </w:p>
          <w:p w14:paraId="24A79827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（具体名单见附件）</w:t>
            </w:r>
          </w:p>
        </w:tc>
      </w:tr>
      <w:tr w:rsidR="00C803A7" w14:paraId="14CBAD04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1266B01" w14:textId="77777777" w:rsidR="00C803A7" w:rsidRDefault="00A9001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9E3D769" w14:textId="77777777" w:rsidR="00C803A7" w:rsidRDefault="00A9001B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</w:tr>
      <w:tr w:rsidR="00C803A7" w14:paraId="6153F5C6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4B92C12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地点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2EDCA288" w14:textId="77777777" w:rsidR="00C803A7" w:rsidRDefault="00A9001B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聚和材料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会议室</w:t>
            </w:r>
          </w:p>
        </w:tc>
      </w:tr>
      <w:tr w:rsidR="00C803A7" w14:paraId="51603A55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0899DF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上市公司接待</w:t>
            </w:r>
          </w:p>
          <w:p w14:paraId="7E040442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B2448BE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董事长、总经理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刘海东</w:t>
            </w:r>
          </w:p>
          <w:p w14:paraId="3A078919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财务总监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浩</w:t>
            </w:r>
            <w:proofErr w:type="gramEnd"/>
          </w:p>
          <w:p w14:paraId="4E236976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独立董事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罗英梅</w:t>
            </w:r>
          </w:p>
          <w:p w14:paraId="3F91A47E" w14:textId="77777777" w:rsidR="00C803A7" w:rsidRDefault="00A9001B">
            <w:pPr>
              <w:widowControl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董事会秘书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林椿楠</w:t>
            </w:r>
            <w:proofErr w:type="gramEnd"/>
          </w:p>
        </w:tc>
      </w:tr>
      <w:tr w:rsidR="00C803A7" w14:paraId="5D4FDC11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3AAB06F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投资者关系活动主要内容介绍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63F7F31" w14:textId="77777777" w:rsidR="00C803A7" w:rsidRDefault="00A9001B">
            <w:pPr>
              <w:widowControl/>
              <w:spacing w:before="150" w:after="150"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公司于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2024年4月10日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召开了2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023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年年度业绩说明会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，现将互动交流中的主要内容总结如下：</w:t>
            </w:r>
          </w:p>
          <w:p w14:paraId="7CFF7827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一、2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023年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年度公司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经营情况</w:t>
            </w:r>
          </w:p>
          <w:p w14:paraId="6FB16C06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2023年全球光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伏市场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继续保持强劲增长，其中中国光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伏行业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发展尤为突出。随着全球对可再生能源需求的持续增长，光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伏产业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技术创新和市场扩张不断加速。据中国光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伏行业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协会统计，2023年全球光伏新增装机达到 390GW，创历史新高，同比增长 69.56%。其中，我国光伏新增装机为216.88GW，同比增长148.10%，表现出强劲的发展势头。</w:t>
            </w:r>
          </w:p>
          <w:p w14:paraId="048A05C3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公司是国内领先的专业从事新型电子浆料研发、生产和销售的高新技术企业，目前主要产品为太阳能电池用导电银浆。</w:t>
            </w:r>
          </w:p>
          <w:p w14:paraId="3E0BCCC0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鉴于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 2023年光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伏市场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技术路径发生深刻变革，迭代速度持续加快，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lastRenderedPageBreak/>
              <w:t>公司全体员工齐心协力，积极致力于产品研发及市场拓展，确保年度目标稳健达成。</w:t>
            </w:r>
          </w:p>
          <w:p w14:paraId="65BAC374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1、 主营业务快速增长，为行业降本增效做出巨大贡献</w:t>
            </w:r>
          </w:p>
          <w:p w14:paraId="48E933F3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报告期内公司收入净利持续双增长，实现营业收入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102.90亿元，较上年同期增长 58.21%；实现归属于上市公司股东的净利润 4.42亿元，较上年同期增长 13.00%；实现归属于上市公司股东的扣除非经常性损益的净利润 3.96亿元，较上年同期增长 10.10%。</w:t>
            </w:r>
          </w:p>
          <w:p w14:paraId="357ABFF4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报告期内公司光伏导电银浆出货量为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 2,002.96 吨，成为行业历史上首家年光伏导电银浆出货量超过2,000吨的企业，继续保持太阳能电池用导电银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浆行业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的领先地位。其中全年N型占比达到30%，完成P型电池用光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伏银浆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和N型电池用光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伏银浆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的全面布局。</w:t>
            </w:r>
          </w:p>
          <w:p w14:paraId="4122C2D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全年非经常性损益，主要包含政府补助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2800万，参与东方日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升定增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浮亏-2450万，理财收益4300万，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聚科基金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产业投资收益1000万，以上所得税影响-1000万，合计4600万；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同时，计提资产减值损失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4700万，其中银粉工厂的商誉减值损失3100万元；计提信用减值损失4600万，主要是根据会计准则谨慎性原则对应收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帐款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的增加做了信用减值的计提。</w:t>
            </w:r>
          </w:p>
          <w:p w14:paraId="6D998BB8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2023年主要子公司银粉、泛半导体电子浆料和胶黏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剂板块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合计亏损5200万元，我们坚持集团的战略布局不动摇，加大研发投入，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做难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而正确的事情，务必实现高端电子银粉、电子浆料和胶黏剂的进口替代。</w:t>
            </w:r>
          </w:p>
          <w:p w14:paraId="3691F4FA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报告期末，公司账上现金约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20亿，票据约14亿，超过10亿的银粉储备，20亿以上的优质客户的应收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帐款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。光伏导电银浆是一个轻资产、重运营资金的行业，面对未来确定的新技术迭代、装机量不断增加、银浆需求量不断增大的时代，同时再融资大环境的收紧的背景下，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聚和材料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通过高效的资产运营能力，提高资产周转率，目前的资金储备足够支撑200亿甚至更高产值的未来。</w:t>
            </w:r>
          </w:p>
          <w:p w14:paraId="186FDA4A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2、产能扩产，全球布局</w:t>
            </w:r>
          </w:p>
          <w:p w14:paraId="1615F698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公司“年产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3,000 吨导电银浆建设项目（二期）”于2023年9 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月顺利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竣工。此项目的成功落地使得公司在国内的总体产能攀升至3,000吨，充分彰显了公司的技术实力与市场竞争力。该项目的建设与实施不仅优化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lastRenderedPageBreak/>
              <w:t>了资金配置，提高了资金使用效率，而且大幅提升了公司的产能规模，有效满足了市场的旺盛需求，为公司未来的稳健发展奠定了坚实基础。</w:t>
            </w:r>
          </w:p>
          <w:p w14:paraId="63A1D10D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报告期内，公司已在泰国完成了子公司聚和（泰国）的注册，并已完成年产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600 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吨银浆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的项目建设，以满足国际客户的交付需求，提升海外区域市场份额；同时已在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日本完成子公司聚和科技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的注册，成立全球研发中心，吸引全球优秀人才，继续加大研发投入，积极拓展新能源新材料领域，为公司全球战略布局的稳步发展奠定基础。</w:t>
            </w:r>
          </w:p>
          <w:p w14:paraId="51DDC38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3、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收购聚有银，向上游全面布局</w:t>
            </w:r>
          </w:p>
          <w:p w14:paraId="5BEF9265" w14:textId="1390A226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公司作为光伏导电银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浆行业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的领军企业，始终专注于光伏导电银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浆产品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的优化与发展，同时亦积极拓展其原材料领域的业务。在报告期间，公司成功收购了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江苏连银的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全部股权，并将其更名为聚有银。通过向聚有银派驻专业的管理团队，我们实现了对其的全面整合、工艺优化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及产线改造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，已在第四季度实现了吨级的月出货量。此外，公司计划投资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 12亿元在常州市建立“高端光伏电子材料基地项目”。该项目完成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后，将具备年产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3,000 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吨电子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级银粉的能力，并设立全球领先的粉体研发中心，旨在研发MLCC、锂离子电池、半导体等领域所需的纳米级粉体材料。</w:t>
            </w:r>
          </w:p>
          <w:p w14:paraId="10D00662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鉴于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N型电池在光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伏行业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的市场占有率日益提升，公司深知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光伏用玻璃粉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的自主研发与大规模生产对于保障原材料的稳定供给、加强在光伏导电银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浆领域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的科技优势和市场竞争力至关重要。为此，公司计划投资3 亿元，推进“专用电子功能材料工厂及研发中心建设项目”的落地实施。待项目完成后，公司将具备年产300吨玻璃粉的生产能力，并建立起与之配套的材料研发与工艺改进中心，为公司的持续创新与发展奠定坚实基础。</w:t>
            </w:r>
          </w:p>
          <w:p w14:paraId="1791A15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通过外部收购与内部发展并举的策略，公司在上下游市场实现了深度协同，这不仅有利于公司新业务的开发与合作，更有助于增厚收益，建立护城河。公司将继续秉持严谨、稳重、理性的态度，推动业务持续、健康发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。</w:t>
            </w:r>
          </w:p>
          <w:p w14:paraId="48E741E0" w14:textId="77777777" w:rsidR="00C803A7" w:rsidRDefault="00A9001B">
            <w:pPr>
              <w:spacing w:line="360" w:lineRule="auto"/>
              <w:ind w:firstLineChars="175" w:firstLine="42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4、持续加大研发投入，加快技术创新、产品升级</w:t>
            </w:r>
          </w:p>
          <w:p w14:paraId="6AD6FBD9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报告期内，公司的研发投入达到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6.43亿元，占其营业收入的比例为6.24%。这表明公司在持续加大对其核心技术研发的投入，并致力于技术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lastRenderedPageBreak/>
              <w:t>创新和产品升级，以提升其市场竞争力和可持续发展能力。</w:t>
            </w:r>
          </w:p>
          <w:p w14:paraId="5488ACFD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报告期内，公司围绕分散、导电及接触等核心技术不断创新，产品全面覆盖光伏导电银浆主流技术路线需求，包括单晶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 P-PERC，N-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，HJT 和X-BC等热门电池技术领域，持续围绕“超窄线宽快速印刷技术”，“高醋酸可靠性烧结体系技术”，“硼扩激光 SE 匹配银浆技术”，“高铜含低电阻低温浆料技术”, “LECO烧结高性能银浆”， “P-Poly 低接触低复合银浆技术”, “0BB高效低成本银浆技术”等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多项光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伏金属化关键技术进行突破创新。同时公司与国内多个科研院所、海外研究机构建立深入合作关系，积极布局下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一代印刷技术、金属化技术和新电池应用结构的技术。</w:t>
            </w:r>
          </w:p>
          <w:p w14:paraId="1A615B2D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在非光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伏银浆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领域，公司紧密围绕新能源行业对功能材料的需求，成功研发出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 xml:space="preserve"> ECA导电胶、动力储能用聚氨酯导热胶与结构胶，以及新一代组件封装所需的新型定位胶、阻水胶和绝缘胶。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此外，公司还成功将导电技术与粘接界面技术拓展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至消费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电子、汽车电子和光学器件行业，开发出射频器件、被动元器件端浆及内浆、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EC低温导电浆料、LTCC导电浆料以及光学模组用功能胶水体系。报告期内，公司完成积累持续突破，已成功进入电子元器件行业龙头企业供应链。</w:t>
            </w:r>
          </w:p>
          <w:p w14:paraId="23F38B1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5、未来的发展布局</w:t>
            </w:r>
          </w:p>
          <w:p w14:paraId="512BBE9B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以“成为全球领先材料科技集团”为愿景，以“持续为光伏行业增效降本，助力太阳能早日成为人类的主力能源”为使命，秉承“分享、宽容、进取、廉洁”的核心价值观，始终以市场趋势、客户需求为导向，以研发平台、生产经验为依托，不断迭代升级现有技术和产品，逐步渗透电子浆料、胶粘剂等应用领域，“立足浆料、匠心精修”，持续为国家战略性新材料行业做出积极贡献。</w:t>
            </w:r>
          </w:p>
          <w:p w14:paraId="163C2491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未来公司将继续巩固在光伏导电银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浆行业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的市场地位，通过扩充生产能力、招聘核心人才、优化研发环境、扩充产品品类等措施，持续提升客户体验，以加速提升公司产品在国际市场及国内市场的份额。在光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伏领域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外，公司以市场需求为导向，加快拓展射频、片式元器件、电致变色玻璃、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LTCC、光伏、动力储能、消费电子等领域用电子浆料和胶粘剂的研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lastRenderedPageBreak/>
              <w:t>发、推广。不断向上游延伸，建立全球领先的粉体研发中心，具备电子级粉体的研发和生产能力。</w:t>
            </w:r>
          </w:p>
          <w:p w14:paraId="1C538381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未来三到五年，公司将继续围绕研发能力、生产能力、人才结构、产品结构等进行持续优化，公司经营规模、行业地位预计也将进一步得到提升。</w:t>
            </w:r>
          </w:p>
          <w:p w14:paraId="4AE8A183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二、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公司就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会议前所征集的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问题</w:t>
            </w:r>
            <w:proofErr w:type="gramStart"/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做相关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回答</w:t>
            </w:r>
          </w:p>
          <w:p w14:paraId="5988FA87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1.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行业</w:t>
            </w:r>
            <w:proofErr w:type="spell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T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OPC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on</w:t>
            </w:r>
            <w:proofErr w:type="spellEnd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占比提升以及0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BB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导入后对光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伏银浆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耗量的影响？</w:t>
            </w:r>
          </w:p>
          <w:p w14:paraId="76FFE202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答：0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BB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HJT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方面的导入较为积极，采用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0BB，HJT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银耗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会相应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大幅下降，叠加银包铜方案，预计HJT银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浆成本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将低于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并接近PERC水平，因此在银价上涨过程中会助力HJT起量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；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主栅单耗较少，约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7-8mg/片，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0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BB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导入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对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降本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不会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特别明显。0BB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的导入带来的变化不止是银浆，还有对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焊带、胶膜及封装工艺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等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都有变化，对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整个光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伏行业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降本提效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有帮助，0BB是行业趋势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，其主要方式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是点胶和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覆膜两种路线，现在主要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以点胶为主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；目前公司控股子公司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德朗聚已有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开发0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BB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胶水产品，公司一直助力推动0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BB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的趋势发展，如顺利推行，将对H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JT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体量会有重大提升。</w:t>
            </w:r>
          </w:p>
          <w:p w14:paraId="518E662E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 xml:space="preserve">2.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银价上涨趋势下加工费水平变化趋势？</w:t>
            </w:r>
          </w:p>
          <w:p w14:paraId="5EF2CB80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答：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加工费不会跟随银价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上涨而变动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，但随着银价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上涨，毛利率表现为下降，但绝对值原则上不受影响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。电池企业已进入微利阶段，因此会将压力传导回银浆企业，公司也会积极降低银浆成本。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目前来看，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技术竞争进入白热化，银浆等非标品/定制化辅材是需要帮助客户提效及降低良率，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自2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019年至今以来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每个季度的加工费都会降低，PERC银浆加工费下降空间已经有限。对于公司来说，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和HJT银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技术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竞争对手较少，特别是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LECO导入，能提供LECO银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浆方案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的供应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商较为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有限，当下还是享受了较好的红利。目前加工费平稳，出货量量快速增长，电池开工率快速提升，部分PERC电池厂在转产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，部分外协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也在导入，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且聚和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材料与头部的电池厂商都有密切的合作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，未来一段时间的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加工费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保持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比较稳定的状态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。</w:t>
            </w:r>
          </w:p>
          <w:p w14:paraId="2375D0B5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 xml:space="preserve">3.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银粉布局进度规划及业绩影响？</w:t>
            </w:r>
          </w:p>
          <w:p w14:paraId="79D4761C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lastRenderedPageBreak/>
              <w:t>答：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银锭-硝酸银-银粉-银浆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供应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链相对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较长，只保银粉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这道链条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对于公司千吨级使用规模而言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有一定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风险，因此公司深入的涉猎银粉、硝酸银乃至银锭的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相关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布局。公司常备的库存会保证每月的出货量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对应的供应安全。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公司对银粉、玻璃粉等原材料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深度把控，有利于技术升级和稳定。客户降本压力传导至加工费，公司为谋求降本布局银粉，目前银粉加工费和银浆加工费差不多，公司为保障良性生态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行业发展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，会控制在50%自供比例。</w:t>
            </w:r>
          </w:p>
          <w:p w14:paraId="66C3FF83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公司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023年四季度已实现吨级供货，目前月出货量20-30吨。公司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024年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公司主要以技术通关为首要任务，将会继续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追求质量和技术升级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预计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024年出货量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300-400吨，子公司有望实现盈亏平衡，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025年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有望实现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大规模自供。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同时公司新建的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募投项目—高端光伏电子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材料基地项目已启动，该项目的建设与实施不仅优化了资金配置，提高了资金使用效率，而且大幅提升了公司的产能规模，有效满足了市场的旺盛需求，为公司未来的稳健发展奠定了坚实基础。</w:t>
            </w:r>
          </w:p>
          <w:p w14:paraId="082E41CC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4.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ab/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银价走势的判断以及“背靠背”采购模式是否会维持？</w:t>
            </w:r>
          </w:p>
          <w:p w14:paraId="719EF69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答：银价既有工业属性，也有金融属性，目前为止银价没有表现出工业属性，只表现出金融属性，银价与金价高度相关。当前金价不断走高，无法判断高点，其走势很难预测，全球银供应量每年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3万多吨，整体盈亏平衡。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随着铁以外的金属价格的大幅上涨，伴生矿大幅增长，银的供应量也随之大幅增加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银的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供应量也会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随之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大幅上升。银的消耗量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主要在于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工业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用银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（主要是光伏）与金融行业（储备）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，其占比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各50%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公司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备有一定的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库存，不是出于银价的高低，而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因为客户的需求量增长迅速，在市场紧缺时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公司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为了保证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30-45天的库存供应能力，“背靠背”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模式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会继续维持。</w:t>
            </w:r>
          </w:p>
          <w:p w14:paraId="7A66E3A1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5. 2024年银浆出货量目标以及N型占比情况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？</w:t>
            </w:r>
          </w:p>
          <w:p w14:paraId="5837A387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答：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2024年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光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伏银浆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出货量保守预测在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3000吨，预计仍会增长，目前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公司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月出货250吨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以上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022年、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023年出货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主要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以P型为主。预计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024年P型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出货占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比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20%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左右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，N型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出货占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比在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80%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左右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。</w:t>
            </w:r>
          </w:p>
          <w:p w14:paraId="69895E9D" w14:textId="77777777" w:rsidR="00C803A7" w:rsidRDefault="00A9001B">
            <w:pPr>
              <w:spacing w:line="360" w:lineRule="auto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6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. 2024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年非光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</w:rPr>
              <w:t>伏业务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</w:rPr>
              <w:t>规划情况？</w:t>
            </w:r>
          </w:p>
          <w:p w14:paraId="55FF8E71" w14:textId="2EA93C23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lastRenderedPageBreak/>
              <w:t>答：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非光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伏业务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成为公司第二增长极，现已成立非光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伏事业群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，并对非光伏团队制定激励促进非光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事业群</w:t>
            </w:r>
            <w:proofErr w:type="gramEnd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发展。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2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024年目标为子公司实现盈亏平衡。</w:t>
            </w:r>
          </w:p>
          <w:p w14:paraId="480863FC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 xml:space="preserve">7.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各产品的加工费情况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？</w:t>
            </w:r>
          </w:p>
          <w:p w14:paraId="04F099B6" w14:textId="77777777" w:rsidR="00C803A7" w:rsidRDefault="00A9001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答：加工费方面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PERC银浆加工费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已经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比较稳定，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已到历史最低，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没有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可以再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下降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空间。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目前由于</w:t>
            </w: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TOPCon</w:t>
            </w:r>
            <w:proofErr w:type="spellEnd"/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正面LECO快速增长，处于供不应求的状态，因此LECO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降本压力不大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，定制的银浆加工费会比常规的有明显溢价，且目前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核心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提高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产品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效率而不是降本。</w:t>
            </w:r>
          </w:p>
          <w:p w14:paraId="1D458275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8. 2024年泰国地区的出货目标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以及其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加工费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与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国内是否有区别？</w:t>
            </w:r>
          </w:p>
          <w:p w14:paraId="0EAA83D8" w14:textId="77777777" w:rsidR="00C803A7" w:rsidRDefault="00A9001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答：公司注册泰国是为了就近供应东南亚产能，以满足国际客户的交付需求，提升海外区域市场份额；走出去是与客户达成的共识，公司跟随客户的战略。泰国设计产能是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600吨，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会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视海外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需要进行相应的扩产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国外加工费有所不同，成本也有所不同，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原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材料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主要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是进口粉，按照美元计价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由于技术研发基本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在国内完成，泰国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工厂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原则上只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负责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物理搅拌和包装，加工费会有明显较好的表现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</w:t>
            </w:r>
          </w:p>
          <w:p w14:paraId="3E90B7EE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 xml:space="preserve">9.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公司3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00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吨玻璃粉项目主要是出于那些方面的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考量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？</w:t>
            </w:r>
          </w:p>
          <w:p w14:paraId="50ED03B8" w14:textId="77777777" w:rsidR="00C803A7" w:rsidRDefault="00A9001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答：目前公司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做两种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粉，一是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3000吨银粉，包括球粉、片粉、纳米粉等；二是玻璃粉，玻璃粉是各种氧化物的有机混合，工艺较为复杂，需要粉体和银粉配合，氧化物与客户膜层配合。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公司玻璃粉有一部分是外购。玻璃粉的产能不是关键，关键是是核心技术。随着公司玻璃粉产能扩张，公司可以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做基粉和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高端粉，成本大幅下降。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300吨玻璃粉不会全部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用于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自供，玻璃粉有较高科技含量，公司目前主要依靠日韩技术，同时让日韩为公司做OEM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公司会检验配方并逐步升级工艺以</w:t>
            </w:r>
            <w:proofErr w:type="gramStart"/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对标日韩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</w:rPr>
              <w:t>银浆不只是物理混合，技术需要无机材料、有机材料、高分子材料技术等等，公司几年前一直在进行玻璃粉设计，同时银粉设计过程能够帮助公司理解银浆分散。公司技术护城河不断扩大，同时成本控制能力提升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。</w:t>
            </w:r>
          </w:p>
          <w:p w14:paraId="2FB49704" w14:textId="77777777" w:rsidR="00C803A7" w:rsidRDefault="00A9001B">
            <w:pPr>
              <w:pStyle w:val="aa"/>
              <w:spacing w:line="360" w:lineRule="auto"/>
              <w:ind w:firstLineChars="0" w:firstLine="0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 xml:space="preserve">10.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银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浆竞争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2"/>
              </w:rPr>
              <w:t>优势与策略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2"/>
              </w:rPr>
              <w:t>？</w:t>
            </w:r>
          </w:p>
          <w:p w14:paraId="3E1240E1" w14:textId="77777777" w:rsidR="00C803A7" w:rsidRDefault="00A9001B">
            <w:pPr>
              <w:pStyle w:val="aa"/>
              <w:spacing w:line="360" w:lineRule="auto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答：目前公司客户结构优良，公司对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应收账款严格管控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，通过账期和信用额度进行信用风险管理，二三线的客户我们给予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t>15-30天的账期，个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2"/>
              </w:rPr>
              <w:lastRenderedPageBreak/>
              <w:t>别客户会要求现款现货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。公司的核心是培养核心竞争力，随着竞争力的提升，市场份额也会逐步提升。作为拥有十年以上经验的银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浆专业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研发团队，公司持续培养年轻力量，并积极向上游探索。未来市场份额会向头部集中，一是由于银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浆行业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进入门槛低但规模很难提升，因为技术强度大；二是资金要求高，目前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有友商通过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2"/>
              </w:rPr>
              <w:t>第三方金融机构获得资金，但当前从市场获取资金难度较大且资金成本高，在行业利润不高的情况下不利于持续经营。</w:t>
            </w:r>
          </w:p>
        </w:tc>
      </w:tr>
      <w:tr w:rsidR="00C803A7" w14:paraId="7F2FCFE0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5BBA5A55" w14:textId="77777777" w:rsidR="00C803A7" w:rsidRDefault="00A9001B">
            <w:pPr>
              <w:widowControl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172846C6" w14:textId="77777777" w:rsidR="00C803A7" w:rsidRDefault="00A9001B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见附件</w:t>
            </w:r>
          </w:p>
        </w:tc>
      </w:tr>
      <w:tr w:rsidR="00C803A7" w14:paraId="4426B532" w14:textId="77777777">
        <w:trPr>
          <w:trHeight w:val="540"/>
        </w:trPr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846BC2F" w14:textId="77777777" w:rsidR="00C803A7" w:rsidRDefault="00A9001B">
            <w:pPr>
              <w:widowControl/>
              <w:wordWrap w:val="0"/>
              <w:spacing w:before="150" w:after="15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779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CAE41FE" w14:textId="77777777" w:rsidR="00C803A7" w:rsidRDefault="00A9001B">
            <w:pPr>
              <w:widowControl/>
              <w:wordWrap w:val="0"/>
              <w:spacing w:before="150" w:after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2024年4月10日</w:t>
            </w:r>
          </w:p>
        </w:tc>
      </w:tr>
    </w:tbl>
    <w:p w14:paraId="1C0205D3" w14:textId="77777777" w:rsidR="00C803A7" w:rsidRDefault="00A9001B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br w:type="page"/>
      </w:r>
    </w:p>
    <w:p w14:paraId="14A62E25" w14:textId="77777777" w:rsidR="00C803A7" w:rsidRDefault="00A9001B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2"/>
        <w:gridCol w:w="1654"/>
        <w:gridCol w:w="5490"/>
      </w:tblGrid>
      <w:tr w:rsidR="00A9001B" w:rsidRPr="00A9001B" w14:paraId="67526F2E" w14:textId="77777777" w:rsidTr="00A9001B">
        <w:trPr>
          <w:trHeight w:val="28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92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0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75F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0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BB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9001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公司</w:t>
            </w:r>
          </w:p>
        </w:tc>
      </w:tr>
      <w:tr w:rsidR="00A9001B" w:rsidRPr="00A9001B" w14:paraId="0A47FDD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E4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9E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BEF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财通证券股份有限公司</w:t>
            </w:r>
          </w:p>
        </w:tc>
      </w:tr>
      <w:tr w:rsidR="00A9001B" w:rsidRPr="00A9001B" w14:paraId="7DC4F5E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628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2E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韩琛琛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94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中国东方资产管理股份有限公司</w:t>
            </w:r>
          </w:p>
        </w:tc>
      </w:tr>
      <w:tr w:rsidR="00A9001B" w:rsidRPr="00A9001B" w14:paraId="6DA4ED8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5FB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676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刘清馨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4F9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甬兴证券</w:t>
            </w:r>
            <w:proofErr w:type="gramEnd"/>
          </w:p>
        </w:tc>
      </w:tr>
      <w:tr w:rsidR="00A9001B" w:rsidRPr="00A9001B" w14:paraId="0B90CAD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460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C56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李冲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C2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上海申银万国证券研究所有限公司</w:t>
            </w:r>
          </w:p>
        </w:tc>
      </w:tr>
      <w:tr w:rsidR="00A9001B" w:rsidRPr="00A9001B" w14:paraId="19831FE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4D2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4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孙义丽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3E2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东兴基金管理有限公司</w:t>
            </w:r>
          </w:p>
        </w:tc>
      </w:tr>
      <w:tr w:rsidR="00A9001B" w:rsidRPr="00A9001B" w14:paraId="10861D0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99D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D52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冯圣阳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CD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A9001B" w:rsidRPr="00A9001B" w14:paraId="03B2456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69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F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陶明利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71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北京远惟投资管理有限公司</w:t>
            </w:r>
          </w:p>
        </w:tc>
      </w:tr>
      <w:tr w:rsidR="00A9001B" w:rsidRPr="00A9001B" w14:paraId="53B7F8E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49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88B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徐纯波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5B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Amundi</w:t>
            </w:r>
            <w:proofErr w:type="spell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BOCWealth</w:t>
            </w:r>
            <w:proofErr w:type="spell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Management </w:t>
            </w:r>
            <w:proofErr w:type="spell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Co.Ltd</w:t>
            </w:r>
            <w:proofErr w:type="spell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</w:tr>
      <w:tr w:rsidR="00A9001B" w:rsidRPr="00A9001B" w14:paraId="42B27EB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2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660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白鹭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4E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中国国际金融股份有限公司</w:t>
            </w:r>
          </w:p>
        </w:tc>
      </w:tr>
      <w:tr w:rsidR="00A9001B" w:rsidRPr="00A9001B" w14:paraId="6A62CB3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8AF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16A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黄福淦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D3F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海南谦信私募基金管理有限公司</w:t>
            </w:r>
          </w:p>
        </w:tc>
      </w:tr>
      <w:tr w:rsidR="00A9001B" w:rsidRPr="00A9001B" w14:paraId="13D29CD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4CC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7C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51A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78CFCF9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5CF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6C2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Haiwen</w:t>
            </w:r>
            <w:proofErr w:type="spell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Luo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15D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Jarislowsky,Fraser</w:t>
            </w:r>
            <w:proofErr w:type="spellEnd"/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Limited</w:t>
            </w:r>
          </w:p>
        </w:tc>
      </w:tr>
      <w:tr w:rsidR="00A9001B" w:rsidRPr="00A9001B" w14:paraId="3D7638F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F44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1D9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唐硕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DC8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东方财富证券</w:t>
            </w:r>
          </w:p>
        </w:tc>
      </w:tr>
      <w:tr w:rsidR="00A9001B" w:rsidRPr="00A9001B" w14:paraId="5C2478A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88E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63E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周涛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5D1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华金证券股份有限公司</w:t>
            </w:r>
          </w:p>
        </w:tc>
      </w:tr>
      <w:tr w:rsidR="00A9001B" w:rsidRPr="00A9001B" w14:paraId="1EE448C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EF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058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徐铖嵘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E0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东吴证券股份有限公司</w:t>
            </w:r>
          </w:p>
        </w:tc>
      </w:tr>
      <w:tr w:rsidR="00A9001B" w:rsidRPr="00A9001B" w14:paraId="0EA3ED0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49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385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沙海丽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0CA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上海宽远资产管理有限公司</w:t>
            </w:r>
          </w:p>
        </w:tc>
      </w:tr>
      <w:tr w:rsidR="00A9001B" w:rsidRPr="00A9001B" w14:paraId="37FE08B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424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AB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卢晓冬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66C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深圳前海君安资产管理有限公司</w:t>
            </w:r>
          </w:p>
        </w:tc>
      </w:tr>
      <w:tr w:rsidR="00A9001B" w:rsidRPr="00A9001B" w14:paraId="1AAF748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D45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B2E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徐峥嵘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2F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东吴证券股份有限公司</w:t>
            </w:r>
          </w:p>
        </w:tc>
      </w:tr>
      <w:tr w:rsidR="00A9001B" w:rsidRPr="00A9001B" w14:paraId="622525C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675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79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罗静茹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848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华西证券股份有限公司</w:t>
            </w:r>
          </w:p>
        </w:tc>
      </w:tr>
      <w:tr w:rsidR="00A9001B" w:rsidRPr="00A9001B" w14:paraId="62E839A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5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0A1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周春林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E64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天风(上海)证券资产管理有限公司</w:t>
            </w:r>
          </w:p>
        </w:tc>
      </w:tr>
      <w:tr w:rsidR="00A9001B" w:rsidRPr="00A9001B" w14:paraId="17789F8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081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41F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刘然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624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方正证券股份有限公司</w:t>
            </w:r>
          </w:p>
        </w:tc>
      </w:tr>
      <w:tr w:rsidR="00A9001B" w:rsidRPr="00A9001B" w14:paraId="76CE338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A2D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65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甘晓瑶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0CB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工银安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2B633AE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BAD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9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韩家宝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02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财通证券股份有限公司</w:t>
            </w:r>
          </w:p>
        </w:tc>
      </w:tr>
      <w:tr w:rsidR="00A9001B" w:rsidRPr="00A9001B" w14:paraId="7F5A5CE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B35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16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王润川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1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阳光资产管理股份有限公司</w:t>
            </w:r>
          </w:p>
        </w:tc>
      </w:tr>
      <w:tr w:rsidR="00A9001B" w:rsidRPr="00A9001B" w14:paraId="71AA109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BDD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02D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罗项天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71A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6675104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96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96E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何文斌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DC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民生通惠资产管理有限公司</w:t>
            </w:r>
          </w:p>
        </w:tc>
      </w:tr>
      <w:tr w:rsidR="00A9001B" w:rsidRPr="00A9001B" w14:paraId="1A7E6CE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3EF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D0F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郝骞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6CE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光大证券</w:t>
            </w:r>
          </w:p>
        </w:tc>
      </w:tr>
      <w:tr w:rsidR="00A9001B" w:rsidRPr="00A9001B" w14:paraId="4A48933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59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D8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7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中意资产管理有限责任公司</w:t>
            </w:r>
          </w:p>
        </w:tc>
      </w:tr>
      <w:tr w:rsidR="00A9001B" w:rsidRPr="00A9001B" w14:paraId="3F9E019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1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6F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俞淼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893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深圳市纵贯资本管理有限公司</w:t>
            </w:r>
          </w:p>
        </w:tc>
      </w:tr>
      <w:tr w:rsidR="00A9001B" w:rsidRPr="00A9001B" w14:paraId="7DCB265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67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101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6F4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合未来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私募基金管理(青岛)有限公司</w:t>
            </w:r>
          </w:p>
        </w:tc>
      </w:tr>
      <w:tr w:rsidR="00A9001B" w:rsidRPr="00A9001B" w14:paraId="7E1BDCF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EE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C4A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徐瀚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A1D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中国国际金融股份有限公司</w:t>
            </w:r>
          </w:p>
        </w:tc>
      </w:tr>
      <w:tr w:rsidR="00A9001B" w:rsidRPr="00A9001B" w14:paraId="0A80BCC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BEB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10A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郭琳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E4A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中泰证券股份有限公司</w:t>
            </w:r>
          </w:p>
        </w:tc>
      </w:tr>
      <w:tr w:rsidR="00A9001B" w:rsidRPr="00A9001B" w14:paraId="4BFBB11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9C7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C66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曹越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3C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广发基金管理有限公司</w:t>
            </w:r>
          </w:p>
        </w:tc>
      </w:tr>
      <w:tr w:rsidR="00A9001B" w:rsidRPr="00A9001B" w14:paraId="66AF094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40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E1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侯嘉敏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6B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盈基金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74290AD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925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AC0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滕兆杰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90F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上海晨燕资产管理中心</w:t>
            </w:r>
          </w:p>
        </w:tc>
      </w:tr>
      <w:tr w:rsidR="00A9001B" w:rsidRPr="00A9001B" w14:paraId="2E51FB6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6DC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5B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谢民争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361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北银理财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A9001B" w:rsidRPr="00A9001B" w14:paraId="6D7C6EA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742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5AD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袁程悦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71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瑞银证券有限责任公司</w:t>
            </w:r>
          </w:p>
        </w:tc>
      </w:tr>
      <w:tr w:rsidR="00A9001B" w:rsidRPr="00A9001B" w14:paraId="320DEAD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10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E2F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彭焱民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A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优谷资本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管理(深圳)有限公司</w:t>
            </w:r>
          </w:p>
        </w:tc>
      </w:tr>
      <w:tr w:rsidR="00A9001B" w:rsidRPr="00A9001B" w14:paraId="604A355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C7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C2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谢泽林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80F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A9001B" w:rsidRPr="00A9001B" w14:paraId="6C8CABB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E12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F3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张芷菡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29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广发证券股份有限公司</w:t>
            </w:r>
          </w:p>
        </w:tc>
      </w:tr>
      <w:tr w:rsidR="00A9001B" w:rsidRPr="00A9001B" w14:paraId="44F00D9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74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B8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蒋雨凯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C9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华创证券有限责任公司</w:t>
            </w:r>
          </w:p>
        </w:tc>
      </w:tr>
      <w:tr w:rsidR="00A9001B" w:rsidRPr="00A9001B" w14:paraId="4BB5B1F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83C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4F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王珏人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56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东海证券股份有限公司</w:t>
            </w:r>
          </w:p>
        </w:tc>
      </w:tr>
      <w:tr w:rsidR="00A9001B" w:rsidRPr="00A9001B" w14:paraId="58E0518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A9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07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曹海花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49F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61CE8D2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CA1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65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徐泽铭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1A6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民生证券股份有限公司</w:t>
            </w:r>
          </w:p>
        </w:tc>
      </w:tr>
      <w:tr w:rsidR="00A9001B" w:rsidRPr="00A9001B" w14:paraId="7EB62E2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1A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57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盛心懿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FBD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华能贵诚信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托有限公司</w:t>
            </w:r>
          </w:p>
        </w:tc>
      </w:tr>
      <w:tr w:rsidR="00A9001B" w:rsidRPr="00A9001B" w14:paraId="1D13F2B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D60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626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邹赫威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CD4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6CD8EC4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37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44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姜雨瑶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86D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29B0FA4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725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A59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1C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山证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(上海)资产管理有限公司</w:t>
            </w:r>
          </w:p>
        </w:tc>
      </w:tr>
      <w:tr w:rsidR="00A9001B" w:rsidRPr="00A9001B" w14:paraId="1DE70CB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1F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648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范晓鹏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ED8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国金证券</w:t>
            </w:r>
          </w:p>
        </w:tc>
      </w:tr>
      <w:tr w:rsidR="00A9001B" w:rsidRPr="00A9001B" w14:paraId="037BADC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C82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942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方伟宁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6C0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光大理财有限责任公司</w:t>
            </w:r>
          </w:p>
        </w:tc>
      </w:tr>
      <w:tr w:rsidR="00A9001B" w:rsidRPr="00A9001B" w14:paraId="5BD9E93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6AC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225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蔡硕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9A8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北京柏治投资管理有限公司</w:t>
            </w:r>
          </w:p>
        </w:tc>
      </w:tr>
      <w:tr w:rsidR="00A9001B" w:rsidRPr="00A9001B" w14:paraId="239560F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71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660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629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杭州弈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私募基金管理有限公司</w:t>
            </w:r>
          </w:p>
        </w:tc>
      </w:tr>
      <w:tr w:rsidR="00A9001B" w:rsidRPr="00A9001B" w14:paraId="122C93C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D89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E6E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周紫光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CA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建投基金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6238836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D93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FB1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黄逸凡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37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金信基金管理有限公司</w:t>
            </w:r>
          </w:p>
        </w:tc>
      </w:tr>
      <w:tr w:rsidR="00A9001B" w:rsidRPr="00A9001B" w14:paraId="258535E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F7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81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黄春逢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1EF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A9001B" w:rsidRPr="00A9001B" w14:paraId="0961EF2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E4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B54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李全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AE0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国信证券股份有限公司</w:t>
            </w:r>
          </w:p>
        </w:tc>
      </w:tr>
      <w:tr w:rsidR="00A9001B" w:rsidRPr="00A9001B" w14:paraId="0C9CC5D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B6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59D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1F0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A9001B" w:rsidRPr="00A9001B" w14:paraId="5D98000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83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08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范昭楠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1F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银华基金管理股份有限公司</w:t>
            </w:r>
          </w:p>
        </w:tc>
      </w:tr>
      <w:tr w:rsidR="00A9001B" w:rsidRPr="00A9001B" w14:paraId="5E5607D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B4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458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俞海海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F4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434A117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A5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BC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李灵雪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18C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国联证券</w:t>
            </w:r>
          </w:p>
        </w:tc>
      </w:tr>
      <w:tr w:rsidR="00A9001B" w:rsidRPr="00A9001B" w14:paraId="6969377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CA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168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高博禹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7C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东北证券股份有限公司</w:t>
            </w:r>
          </w:p>
        </w:tc>
      </w:tr>
      <w:tr w:rsidR="00A9001B" w:rsidRPr="00A9001B" w14:paraId="4970708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19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0C0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朱攀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02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</w:tr>
      <w:tr w:rsidR="00A9001B" w:rsidRPr="00A9001B" w14:paraId="58A1A3A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FA0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E8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邵沙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锞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0E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财通证券资产管理有限公司</w:t>
            </w:r>
          </w:p>
        </w:tc>
      </w:tr>
      <w:tr w:rsidR="00A9001B" w:rsidRPr="00A9001B" w14:paraId="151F3F5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BB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F1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刘军洁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E73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北京中泽控股集团有限公司</w:t>
            </w:r>
          </w:p>
        </w:tc>
      </w:tr>
      <w:tr w:rsidR="00A9001B" w:rsidRPr="00A9001B" w14:paraId="26A6306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755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10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白鹭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F8A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中国国际金融股份有限公司</w:t>
            </w:r>
          </w:p>
        </w:tc>
      </w:tr>
      <w:tr w:rsidR="00A9001B" w:rsidRPr="00A9001B" w14:paraId="57CDC3F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EA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BC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黄向前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E2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深圳市尚诚资产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管理有限责任公司</w:t>
            </w:r>
          </w:p>
        </w:tc>
      </w:tr>
      <w:tr w:rsidR="00A9001B" w:rsidRPr="00A9001B" w14:paraId="3F57A68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80D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FF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顾圣英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4F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磐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厚动量(上海)资本管理有限公司</w:t>
            </w:r>
          </w:p>
        </w:tc>
      </w:tr>
      <w:tr w:rsidR="00A9001B" w:rsidRPr="00A9001B" w14:paraId="7316F67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B4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02B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柘雨函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5FE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华创证券有限责任公司</w:t>
            </w:r>
          </w:p>
        </w:tc>
      </w:tr>
      <w:tr w:rsidR="00A9001B" w:rsidRPr="00A9001B" w14:paraId="3D1A5F6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23B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100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EA5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证券股份有限公司</w:t>
            </w:r>
          </w:p>
        </w:tc>
      </w:tr>
      <w:tr w:rsidR="00A9001B" w:rsidRPr="00A9001B" w14:paraId="2BE31B7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C58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436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D0E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汇添富基金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管理股份有限公司</w:t>
            </w:r>
          </w:p>
        </w:tc>
      </w:tr>
      <w:tr w:rsidR="00A9001B" w:rsidRPr="00A9001B" w14:paraId="36539FF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33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0BD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魏征宇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C9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HUAFU SECURITIES 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CO.,LTD.</w:t>
            </w:r>
            <w:proofErr w:type="gramEnd"/>
          </w:p>
        </w:tc>
      </w:tr>
      <w:tr w:rsidR="00A9001B" w:rsidRPr="00A9001B" w14:paraId="2596AD7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634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A29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朱碧野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735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民生证券股份有限公司</w:t>
            </w:r>
          </w:p>
        </w:tc>
      </w:tr>
      <w:tr w:rsidR="00A9001B" w:rsidRPr="00A9001B" w14:paraId="2F4AFA8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A3E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60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尹仕昕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27F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浙商证券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0FC20E0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ECC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538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徐铖嵘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5BA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东吴证券股份有限公司</w:t>
            </w:r>
          </w:p>
        </w:tc>
      </w:tr>
      <w:tr w:rsidR="00A9001B" w:rsidRPr="00A9001B" w14:paraId="010638E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31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1D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陈蕾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808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进门财经</w:t>
            </w:r>
          </w:p>
        </w:tc>
      </w:tr>
      <w:tr w:rsidR="00A9001B" w:rsidRPr="00A9001B" w14:paraId="10097C4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29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A9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06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百川财富(北京)投资管理有限公司</w:t>
            </w:r>
          </w:p>
        </w:tc>
      </w:tr>
      <w:tr w:rsidR="00A9001B" w:rsidRPr="00A9001B" w14:paraId="28DEC38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6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3A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杨森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BD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兴业证券股份有限公司</w:t>
            </w:r>
          </w:p>
        </w:tc>
      </w:tr>
      <w:tr w:rsidR="00A9001B" w:rsidRPr="00A9001B" w14:paraId="61BEFB6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6D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52B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7FA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深圳量度资本投资管理有限公司</w:t>
            </w:r>
          </w:p>
        </w:tc>
      </w:tr>
      <w:tr w:rsidR="00A9001B" w:rsidRPr="00A9001B" w14:paraId="4C0AF21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CBC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37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826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东兴证券股份有限公司</w:t>
            </w:r>
          </w:p>
        </w:tc>
      </w:tr>
      <w:tr w:rsidR="00A9001B" w:rsidRPr="00A9001B" w14:paraId="69CC73D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672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1F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陈鹏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832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安信基金管理有限责任公司</w:t>
            </w:r>
          </w:p>
        </w:tc>
      </w:tr>
      <w:tr w:rsidR="00A9001B" w:rsidRPr="00A9001B" w14:paraId="4113429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3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8E8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平开明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7C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上海胤胜资产管理有限公司</w:t>
            </w:r>
          </w:p>
        </w:tc>
      </w:tr>
      <w:tr w:rsidR="00A9001B" w:rsidRPr="00A9001B" w14:paraId="13AC673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56E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BBE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黄楷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A8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325EF4D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090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BC5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周家禾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1FF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中信证券股份有限公司</w:t>
            </w:r>
          </w:p>
        </w:tc>
      </w:tr>
      <w:tr w:rsidR="00A9001B" w:rsidRPr="00A9001B" w14:paraId="26757C6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58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5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王润川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3BB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阳光资产管理股份有限公司</w:t>
            </w:r>
          </w:p>
        </w:tc>
      </w:tr>
      <w:tr w:rsidR="00A9001B" w:rsidRPr="00A9001B" w14:paraId="2DB91FB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F88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CD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877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郑州云杉投资管理有限公司</w:t>
            </w:r>
          </w:p>
        </w:tc>
      </w:tr>
      <w:tr w:rsidR="00A9001B" w:rsidRPr="00A9001B" w14:paraId="53CD694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A0A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D83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刘亦民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8C4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长安汇通(深圳)投资有限公司</w:t>
            </w:r>
          </w:p>
        </w:tc>
      </w:tr>
      <w:tr w:rsidR="00A9001B" w:rsidRPr="00A9001B" w14:paraId="3ADD226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0C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75B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EB2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上海厚坡私募基金管理有限公司</w:t>
            </w:r>
          </w:p>
        </w:tc>
      </w:tr>
      <w:tr w:rsidR="00A9001B" w:rsidRPr="00A9001B" w14:paraId="04B3D8C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37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C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闫慧辰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548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红杉中国</w:t>
            </w:r>
          </w:p>
        </w:tc>
      </w:tr>
      <w:tr w:rsidR="00A9001B" w:rsidRPr="00A9001B" w14:paraId="0CA4C1F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97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50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张希坤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04F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泉果基金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3EE9D96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81B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55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王华溢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1D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西安清善企业管理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咨询有限公司</w:t>
            </w:r>
          </w:p>
        </w:tc>
      </w:tr>
      <w:tr w:rsidR="00A9001B" w:rsidRPr="00A9001B" w14:paraId="41183C6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9FB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6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丁亚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75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上海证券有限责任公司</w:t>
            </w:r>
          </w:p>
        </w:tc>
      </w:tr>
      <w:tr w:rsidR="00A9001B" w:rsidRPr="00A9001B" w14:paraId="179B23B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A25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032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罗贵文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7D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南京睿澜私募基金管理有限责任公司</w:t>
            </w:r>
          </w:p>
        </w:tc>
      </w:tr>
      <w:tr w:rsidR="00A9001B" w:rsidRPr="00A9001B" w14:paraId="54A4270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66D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082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许耀文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7C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北京诺昌投资管理有限公司</w:t>
            </w:r>
          </w:p>
        </w:tc>
      </w:tr>
      <w:tr w:rsidR="00A9001B" w:rsidRPr="00A9001B" w14:paraId="7315E58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CF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5C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胡佳怡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2F1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朱雀基金管理有限公司</w:t>
            </w:r>
          </w:p>
        </w:tc>
      </w:tr>
      <w:tr w:rsidR="00A9001B" w:rsidRPr="00A9001B" w14:paraId="381EFB0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CAF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DB2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C30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工银安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1AEA0E8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B9B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A07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08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中国东方资产管理股份有限公司</w:t>
            </w:r>
          </w:p>
        </w:tc>
      </w:tr>
      <w:tr w:rsidR="00A9001B" w:rsidRPr="00A9001B" w14:paraId="5CD95FB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D8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60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赖正健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2BC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上海贵源投资有限公司</w:t>
            </w:r>
          </w:p>
        </w:tc>
      </w:tr>
      <w:tr w:rsidR="00A9001B" w:rsidRPr="00A9001B" w14:paraId="2FFE22D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BD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1EC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严语韬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737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67CD467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D1E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FE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张春卫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8A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天津华北集团有限公司</w:t>
            </w:r>
          </w:p>
        </w:tc>
      </w:tr>
      <w:tr w:rsidR="00A9001B" w:rsidRPr="00A9001B" w14:paraId="4FCAEC5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1E9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446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F55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独立董事</w:t>
            </w:r>
          </w:p>
        </w:tc>
      </w:tr>
      <w:tr w:rsidR="00A9001B" w:rsidRPr="00A9001B" w14:paraId="0BB22F1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474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886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郝彪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27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誉辉资本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管理(北京)有限责任公司</w:t>
            </w:r>
          </w:p>
        </w:tc>
      </w:tr>
      <w:tr w:rsidR="00A9001B" w:rsidRPr="00A9001B" w14:paraId="4CC85AE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B33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21D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罗英梅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E49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独立董事</w:t>
            </w:r>
          </w:p>
        </w:tc>
      </w:tr>
      <w:tr w:rsidR="00A9001B" w:rsidRPr="00A9001B" w14:paraId="7171F18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393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A84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徐海丽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B2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TONGWEI 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CO.,LTD.</w:t>
            </w:r>
            <w:proofErr w:type="gramEnd"/>
          </w:p>
        </w:tc>
      </w:tr>
      <w:tr w:rsidR="00A9001B" w:rsidRPr="00A9001B" w14:paraId="0972970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D9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240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肖佳琪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C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国寿安保基金管理有限公司</w:t>
            </w:r>
          </w:p>
        </w:tc>
      </w:tr>
      <w:tr w:rsidR="00A9001B" w:rsidRPr="00A9001B" w14:paraId="6782ED5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49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8B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许汪洋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E2E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百达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瑞(上海)私募基金管理有限公司</w:t>
            </w:r>
          </w:p>
        </w:tc>
      </w:tr>
      <w:tr w:rsidR="00A9001B" w:rsidRPr="00A9001B" w14:paraId="1796692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331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E9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刘宾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7C2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新国证基金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3548C97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7D0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F4B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刘清馨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10C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甬兴证券</w:t>
            </w:r>
            <w:proofErr w:type="gramEnd"/>
          </w:p>
        </w:tc>
      </w:tr>
      <w:tr w:rsidR="00A9001B" w:rsidRPr="00A9001B" w14:paraId="1CD992F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26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1FB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张炜兵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DB4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阿天私寨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证券投资基金管理(广州)有限公司</w:t>
            </w:r>
          </w:p>
        </w:tc>
      </w:tr>
      <w:tr w:rsidR="00A9001B" w:rsidRPr="00A9001B" w14:paraId="0361399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6CA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B80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杨森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C6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兴业证券股份有限公司</w:t>
            </w:r>
          </w:p>
        </w:tc>
      </w:tr>
      <w:tr w:rsidR="00A9001B" w:rsidRPr="00A9001B" w14:paraId="5A2BE1D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3A3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B9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蒋国峰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7D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招商证券</w:t>
            </w:r>
          </w:p>
        </w:tc>
      </w:tr>
      <w:tr w:rsidR="00A9001B" w:rsidRPr="00A9001B" w14:paraId="4E5A24E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03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A34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56A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上海国泰君安证券资产管理有限公司</w:t>
            </w:r>
          </w:p>
        </w:tc>
      </w:tr>
      <w:tr w:rsidR="00A9001B" w:rsidRPr="00A9001B" w14:paraId="4471F27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41A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92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胡智敏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0D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美阳投资</w:t>
            </w:r>
          </w:p>
        </w:tc>
      </w:tr>
      <w:tr w:rsidR="00A9001B" w:rsidRPr="00A9001B" w14:paraId="0053196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DC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00D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化永帅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73F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048152E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6D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6E8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付天赋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84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东海证券股份有限公司</w:t>
            </w:r>
          </w:p>
        </w:tc>
      </w:tr>
      <w:tr w:rsidR="00A9001B" w:rsidRPr="00A9001B" w14:paraId="7BD4F6C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037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A68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章启耀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48C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西部证券股份有限公司</w:t>
            </w:r>
          </w:p>
        </w:tc>
      </w:tr>
      <w:tr w:rsidR="00A9001B" w:rsidRPr="00A9001B" w14:paraId="1543EEA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185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B38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李灵雪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12A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国联证券</w:t>
            </w:r>
          </w:p>
        </w:tc>
      </w:tr>
      <w:tr w:rsidR="00A9001B" w:rsidRPr="00A9001B" w14:paraId="09C497B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6AC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CE1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谢金翰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5D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浙商证券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549FE38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E5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F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邬博华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946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3AA9C2E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CC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AEF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Peter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1C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盛宇投资</w:t>
            </w:r>
            <w:proofErr w:type="gramEnd"/>
          </w:p>
        </w:tc>
      </w:tr>
      <w:tr w:rsidR="00A9001B" w:rsidRPr="00A9001B" w14:paraId="210B10B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2B8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D7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周淼顺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81E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</w:tr>
      <w:tr w:rsidR="00A9001B" w:rsidRPr="00A9001B" w14:paraId="5072AC0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D9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BE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夏晶晶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FB4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时创</w:t>
            </w:r>
            <w:proofErr w:type="gramEnd"/>
          </w:p>
        </w:tc>
      </w:tr>
      <w:tr w:rsidR="00A9001B" w:rsidRPr="00A9001B" w14:paraId="51A1B20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958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2F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92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信建投证券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A9001B" w:rsidRPr="00A9001B" w14:paraId="273CD7E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A7B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2D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张星梅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ED4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首创证券</w:t>
            </w:r>
          </w:p>
        </w:tc>
      </w:tr>
      <w:tr w:rsidR="00A9001B" w:rsidRPr="00A9001B" w14:paraId="7CECE53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6BF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73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严东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223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东方证券股份有限公司</w:t>
            </w:r>
          </w:p>
        </w:tc>
      </w:tr>
      <w:tr w:rsidR="00A9001B" w:rsidRPr="00A9001B" w14:paraId="4E85212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0FC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48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BC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常州泰珅私募投资基金有限公司</w:t>
            </w:r>
          </w:p>
        </w:tc>
      </w:tr>
      <w:tr w:rsidR="00A9001B" w:rsidRPr="00A9001B" w14:paraId="0715BAB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8D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423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张芷菡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7EE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GF SECURITIES</w:t>
            </w:r>
          </w:p>
        </w:tc>
      </w:tr>
      <w:tr w:rsidR="00A9001B" w:rsidRPr="00A9001B" w14:paraId="6DC00B9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56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35D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陈思雨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29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财通证券股份有限公司</w:t>
            </w:r>
          </w:p>
        </w:tc>
      </w:tr>
      <w:tr w:rsidR="00A9001B" w:rsidRPr="00A9001B" w14:paraId="5ECD45D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898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B1F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8FE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川流投資</w:t>
            </w:r>
          </w:p>
        </w:tc>
      </w:tr>
      <w:tr w:rsidR="00A9001B" w:rsidRPr="00A9001B" w14:paraId="0585EC1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FFB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C99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罗青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B11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海通证券股份有限公司</w:t>
            </w:r>
          </w:p>
        </w:tc>
      </w:tr>
      <w:tr w:rsidR="00A9001B" w:rsidRPr="00A9001B" w14:paraId="6AC6000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CF9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3F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辛植钧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95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凯读投资</w:t>
            </w:r>
            <w:proofErr w:type="gramEnd"/>
          </w:p>
        </w:tc>
      </w:tr>
      <w:tr w:rsidR="00A9001B" w:rsidRPr="00A9001B" w14:paraId="3059091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307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C95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姚万宁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B2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A9001B" w:rsidRPr="00A9001B" w14:paraId="081B004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7EF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7C4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刘林轩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F3B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上海森锦投资管理有限公司</w:t>
            </w:r>
          </w:p>
        </w:tc>
      </w:tr>
      <w:tr w:rsidR="00A9001B" w:rsidRPr="00A9001B" w14:paraId="1D7F603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87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960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刘龙威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709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景顺长城基金管理有限公司</w:t>
            </w:r>
          </w:p>
        </w:tc>
      </w:tr>
      <w:tr w:rsidR="00A9001B" w:rsidRPr="00A9001B" w14:paraId="3B2C757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23F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D29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吴飞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D1D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上海南土资产管理有限公司</w:t>
            </w:r>
          </w:p>
        </w:tc>
      </w:tr>
      <w:tr w:rsidR="00A9001B" w:rsidRPr="00A9001B" w14:paraId="23520A3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CF1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A1C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贾佳宇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50F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A9001B" w:rsidRPr="00A9001B" w14:paraId="0D180BB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00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452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高岗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21C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上海景富投资管理有限公</w:t>
            </w:r>
          </w:p>
        </w:tc>
      </w:tr>
      <w:tr w:rsidR="00A9001B" w:rsidRPr="00A9001B" w14:paraId="3CBB873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EB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64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DF4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中银国际证券股份有限公司</w:t>
            </w:r>
          </w:p>
        </w:tc>
      </w:tr>
      <w:tr w:rsidR="00A9001B" w:rsidRPr="00A9001B" w14:paraId="71A9E90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670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8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鱼翔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BC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英大基金管理有限公司</w:t>
            </w:r>
          </w:p>
        </w:tc>
      </w:tr>
      <w:tr w:rsidR="00A9001B" w:rsidRPr="00A9001B" w14:paraId="0617A09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C3A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BF4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李雪铭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BA7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HUAFU SECURITIES 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CO.,LTD.</w:t>
            </w:r>
            <w:proofErr w:type="gramEnd"/>
          </w:p>
        </w:tc>
      </w:tr>
      <w:tr w:rsidR="00A9001B" w:rsidRPr="00A9001B" w14:paraId="41C5A40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63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EC3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杨烽/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7EA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深圳市裕晋私募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证券投资基金管理有限公司</w:t>
            </w:r>
          </w:p>
        </w:tc>
      </w:tr>
      <w:tr w:rsidR="00A9001B" w:rsidRPr="00A9001B" w14:paraId="2E2A1DC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91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382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309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逐光私募基金管理（海南）有限公司</w:t>
            </w:r>
          </w:p>
        </w:tc>
      </w:tr>
      <w:tr w:rsidR="00A9001B" w:rsidRPr="00A9001B" w14:paraId="35B849A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E82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61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8B5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国泰财产保险有限责任公司</w:t>
            </w:r>
          </w:p>
        </w:tc>
      </w:tr>
      <w:tr w:rsidR="00A9001B" w:rsidRPr="00A9001B" w14:paraId="61CEA05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31F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CF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李霂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09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上海信鱼投资管理有限公司</w:t>
            </w:r>
          </w:p>
        </w:tc>
      </w:tr>
      <w:tr w:rsidR="00A9001B" w:rsidRPr="00A9001B" w14:paraId="7152451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C3B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23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黄昊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CED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方正证券股份有限公司</w:t>
            </w:r>
          </w:p>
        </w:tc>
      </w:tr>
      <w:tr w:rsidR="00A9001B" w:rsidRPr="00A9001B" w14:paraId="529B363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B99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F8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刘嘉庆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EAA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上海泉汐投资管理有限公司</w:t>
            </w:r>
          </w:p>
        </w:tc>
      </w:tr>
      <w:tr w:rsidR="00A9001B" w:rsidRPr="00A9001B" w14:paraId="0EF5400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67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66D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范谦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2AA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大家资产管理有限责任公司</w:t>
            </w:r>
          </w:p>
        </w:tc>
      </w:tr>
      <w:tr w:rsidR="00A9001B" w:rsidRPr="00A9001B" w14:paraId="5B1F541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0DD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337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李今韵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35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圓方資本管理有限公司</w:t>
            </w:r>
          </w:p>
        </w:tc>
      </w:tr>
      <w:tr w:rsidR="00A9001B" w:rsidRPr="00A9001B" w14:paraId="5F66139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20F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AB6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张正阳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C9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厦门象屿金象控股集团有限公司</w:t>
            </w:r>
          </w:p>
        </w:tc>
      </w:tr>
      <w:tr w:rsidR="00A9001B" w:rsidRPr="00A9001B" w14:paraId="54424A0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B8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6EB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彭子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姮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5FE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北京宏道投资管理有限公司</w:t>
            </w:r>
          </w:p>
        </w:tc>
      </w:tr>
      <w:tr w:rsidR="00A9001B" w:rsidRPr="00A9001B" w14:paraId="4410297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D5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9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汪聪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7E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厚新健投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(北京)私募基金管理有限公司</w:t>
            </w:r>
          </w:p>
        </w:tc>
      </w:tr>
      <w:tr w:rsidR="00A9001B" w:rsidRPr="00A9001B" w14:paraId="75C92EB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15B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28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熊小铭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AF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广东正圆私募基金管理有限公司</w:t>
            </w:r>
          </w:p>
        </w:tc>
      </w:tr>
      <w:tr w:rsidR="00A9001B" w:rsidRPr="00A9001B" w14:paraId="5671DFB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BC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65E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891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上海慧琛私募基金管理有限公司</w:t>
            </w:r>
          </w:p>
        </w:tc>
      </w:tr>
      <w:tr w:rsidR="00A9001B" w:rsidRPr="00A9001B" w14:paraId="70F436F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523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F74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李泓桦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BC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鹫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资本管理(广州)有限公司</w:t>
            </w:r>
          </w:p>
        </w:tc>
      </w:tr>
      <w:tr w:rsidR="00A9001B" w:rsidRPr="00A9001B" w14:paraId="1FB8261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A0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F05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F30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长盛基金管理有限公司</w:t>
            </w:r>
          </w:p>
        </w:tc>
      </w:tr>
      <w:tr w:rsidR="00A9001B" w:rsidRPr="00A9001B" w14:paraId="193B62E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E0B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050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陈英其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C61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厦门财富管理顾问有限公司</w:t>
            </w:r>
          </w:p>
        </w:tc>
      </w:tr>
      <w:tr w:rsidR="00A9001B" w:rsidRPr="00A9001B" w14:paraId="2218EC7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F56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84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李巍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80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东亚联丰投资管理(深圳)有限公司</w:t>
            </w:r>
          </w:p>
        </w:tc>
      </w:tr>
      <w:tr w:rsidR="00A9001B" w:rsidRPr="00A9001B" w14:paraId="0379741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EF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454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林烈雄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9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上海同犇投资管理中心(有限合伙)</w:t>
            </w:r>
          </w:p>
        </w:tc>
      </w:tr>
      <w:tr w:rsidR="00A9001B" w:rsidRPr="00A9001B" w14:paraId="6D9C120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02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7CD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A6F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张家港高竹私募基金管理有限公司</w:t>
            </w:r>
          </w:p>
        </w:tc>
      </w:tr>
      <w:tr w:rsidR="00A9001B" w:rsidRPr="00A9001B" w14:paraId="76F33DB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43E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45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王东华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94E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A9001B" w:rsidRPr="00A9001B" w14:paraId="4F8BE58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0FC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735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杨润泽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1BB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上海涌乐私募基金管理有限公司</w:t>
            </w:r>
          </w:p>
        </w:tc>
      </w:tr>
      <w:tr w:rsidR="00A9001B" w:rsidRPr="00A9001B" w14:paraId="7DB6A31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F51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26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江山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59B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常州泰珅私募投资基金有限公司</w:t>
            </w:r>
          </w:p>
        </w:tc>
      </w:tr>
      <w:tr w:rsidR="00A9001B" w:rsidRPr="00A9001B" w14:paraId="0CBB570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6E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AA9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杨廉昊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444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上海鹞璞实业有限公司</w:t>
            </w:r>
          </w:p>
        </w:tc>
      </w:tr>
      <w:tr w:rsidR="00A9001B" w:rsidRPr="00A9001B" w14:paraId="07ED7AF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6B1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AE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顧松華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9DC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蘇州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正源信毅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資產管理有限公司</w:t>
            </w:r>
          </w:p>
        </w:tc>
      </w:tr>
      <w:tr w:rsidR="00A9001B" w:rsidRPr="00A9001B" w14:paraId="349BC9C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559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96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曹瑞元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A8C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广发证券</w:t>
            </w:r>
          </w:p>
        </w:tc>
      </w:tr>
      <w:tr w:rsidR="00A9001B" w:rsidRPr="00A9001B" w14:paraId="68B5823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E28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3B9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石竟成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560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4B4EE63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2D2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5C6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蔡骏男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8AB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上海理成资产管理有限公司</w:t>
            </w:r>
          </w:p>
        </w:tc>
      </w:tr>
      <w:tr w:rsidR="00A9001B" w:rsidRPr="00A9001B" w14:paraId="0A15D38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0A3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E79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高岗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A9D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上海景富投资管理有限公</w:t>
            </w:r>
          </w:p>
        </w:tc>
      </w:tr>
      <w:tr w:rsidR="00A9001B" w:rsidRPr="00A9001B" w14:paraId="0685B36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D3B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DBB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吴广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D8F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建投基金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24115E6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B9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6B1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吴鹏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00A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中泰证券股份有限公司</w:t>
            </w:r>
          </w:p>
        </w:tc>
      </w:tr>
      <w:tr w:rsidR="00A9001B" w:rsidRPr="00A9001B" w14:paraId="5D3542B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D3A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54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吕鸣春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2C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国新证券股份有限公司</w:t>
            </w:r>
          </w:p>
        </w:tc>
      </w:tr>
      <w:tr w:rsidR="00A9001B" w:rsidRPr="00A9001B" w14:paraId="455CAEF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82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F6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崔洋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D2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东方证券股份有限公司</w:t>
            </w:r>
          </w:p>
        </w:tc>
      </w:tr>
      <w:tr w:rsidR="00A9001B" w:rsidRPr="00A9001B" w14:paraId="08B61D5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311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6C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D6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工银安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79A0FA1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E4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444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余帆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4E5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南京双安资产管理有限公司</w:t>
            </w:r>
          </w:p>
        </w:tc>
      </w:tr>
      <w:tr w:rsidR="00A9001B" w:rsidRPr="00A9001B" w14:paraId="7A196E5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EF9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465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樊孝林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C4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上海东方证券资产管理有限公司</w:t>
            </w:r>
          </w:p>
        </w:tc>
      </w:tr>
      <w:tr w:rsidR="00A9001B" w:rsidRPr="00A9001B" w14:paraId="6782834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1C3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9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贾惠淋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BDB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山西证券股份有限公司</w:t>
            </w:r>
          </w:p>
        </w:tc>
      </w:tr>
      <w:tr w:rsidR="00A9001B" w:rsidRPr="00A9001B" w14:paraId="3DC68C8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8F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87E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王笑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3D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浦银安盛基金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678C0E8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DCD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88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李可伦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20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富国基金管理有限公司</w:t>
            </w:r>
          </w:p>
        </w:tc>
      </w:tr>
      <w:tr w:rsidR="00A9001B" w:rsidRPr="00A9001B" w14:paraId="47E8DBC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1A2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E9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D4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东吴基金管理有限公司</w:t>
            </w:r>
          </w:p>
        </w:tc>
      </w:tr>
      <w:tr w:rsidR="00A9001B" w:rsidRPr="00A9001B" w14:paraId="42C8584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E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23A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刘颖飞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7F0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平安银行股份有限公司</w:t>
            </w:r>
          </w:p>
        </w:tc>
      </w:tr>
      <w:tr w:rsidR="00A9001B" w:rsidRPr="00A9001B" w14:paraId="7240455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E1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D3A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杨如丰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00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厦门市乾行资产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13936B8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11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F5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李乐群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C8A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福证券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有限责任公司</w:t>
            </w:r>
          </w:p>
        </w:tc>
      </w:tr>
      <w:tr w:rsidR="00A9001B" w:rsidRPr="00A9001B" w14:paraId="04D7270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6D0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05A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BC8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华能投资管理有限公司</w:t>
            </w:r>
          </w:p>
        </w:tc>
      </w:tr>
      <w:tr w:rsidR="00A9001B" w:rsidRPr="00A9001B" w14:paraId="7C5BDC5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739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24B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石炯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3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博时基金管理有限公司</w:t>
            </w:r>
          </w:p>
        </w:tc>
      </w:tr>
      <w:tr w:rsidR="00A9001B" w:rsidRPr="00A9001B" w14:paraId="243A1A4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A7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73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袁绍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251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上海展向资产管理有限公司</w:t>
            </w:r>
          </w:p>
        </w:tc>
      </w:tr>
      <w:tr w:rsidR="00A9001B" w:rsidRPr="00A9001B" w14:paraId="1DCE0F1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3E7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E37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韩保倩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72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国都证券股份有限公司</w:t>
            </w:r>
          </w:p>
        </w:tc>
      </w:tr>
      <w:tr w:rsidR="00A9001B" w:rsidRPr="00A9001B" w14:paraId="62876ED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282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78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B18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信弘盛创业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投资有限公司</w:t>
            </w:r>
          </w:p>
        </w:tc>
      </w:tr>
      <w:tr w:rsidR="00A9001B" w:rsidRPr="00A9001B" w14:paraId="7584B89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5C9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14A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曾雨成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D6D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宁市若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汐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投资管理有限公司</w:t>
            </w:r>
          </w:p>
        </w:tc>
      </w:tr>
      <w:tr w:rsidR="00A9001B" w:rsidRPr="00A9001B" w14:paraId="7135A9C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70E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6E2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树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5BE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7AC5D7C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AF8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5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王卓然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674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摩根資產管理(亞太)有限公司</w:t>
            </w:r>
          </w:p>
        </w:tc>
      </w:tr>
      <w:tr w:rsidR="00A9001B" w:rsidRPr="00A9001B" w14:paraId="2BF99E9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3B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213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李远剑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1DB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西部证券股份有限公司</w:t>
            </w:r>
          </w:p>
        </w:tc>
      </w:tr>
      <w:tr w:rsidR="00A9001B" w:rsidRPr="00A9001B" w14:paraId="02F68D4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28B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FBD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E9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上海瀛赐私募基金管理有限公司</w:t>
            </w:r>
          </w:p>
        </w:tc>
      </w:tr>
      <w:tr w:rsidR="00A9001B" w:rsidRPr="00A9001B" w14:paraId="486E044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033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F25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5F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上海理臻投资管理有限公司</w:t>
            </w:r>
          </w:p>
        </w:tc>
      </w:tr>
      <w:tr w:rsidR="00A9001B" w:rsidRPr="00A9001B" w14:paraId="7D2C0A9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E9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297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C1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北京易知基金管理有限公司</w:t>
            </w:r>
          </w:p>
        </w:tc>
      </w:tr>
      <w:tr w:rsidR="00A9001B" w:rsidRPr="00A9001B" w14:paraId="1B818DC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FC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A20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甘晓瑶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18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工银安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盛资产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2398C13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E98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36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胡佳怡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61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朱雀基金管理有限公司</w:t>
            </w:r>
          </w:p>
        </w:tc>
      </w:tr>
      <w:tr w:rsidR="00A9001B" w:rsidRPr="00A9001B" w14:paraId="2F9D51A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B03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78F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卜乐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51A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深圳市东方马拉松投资管理有限公司</w:t>
            </w:r>
          </w:p>
        </w:tc>
      </w:tr>
      <w:tr w:rsidR="00A9001B" w:rsidRPr="00A9001B" w14:paraId="68C7D4F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84E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6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韩保倩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F2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国都证券股份有限公司</w:t>
            </w:r>
          </w:p>
        </w:tc>
      </w:tr>
      <w:tr w:rsidR="00A9001B" w:rsidRPr="00A9001B" w14:paraId="5CDBD53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9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23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曹海花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EC1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2B49EA7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8FC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A0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毅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AC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上海邦客资产管理有限公司</w:t>
            </w:r>
          </w:p>
        </w:tc>
      </w:tr>
      <w:tr w:rsidR="00A9001B" w:rsidRPr="00A9001B" w14:paraId="745BF840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F4C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C4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李巍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B2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东亚联丰投资管理(深圳)有限公司</w:t>
            </w:r>
          </w:p>
        </w:tc>
      </w:tr>
      <w:tr w:rsidR="00A9001B" w:rsidRPr="00A9001B" w14:paraId="65084E4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A1F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E2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陆文博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5E8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FOUNTAINBRIDGE</w:t>
            </w:r>
          </w:p>
        </w:tc>
      </w:tr>
      <w:tr w:rsidR="00A9001B" w:rsidRPr="00A9001B" w14:paraId="0CAD881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1A3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5F9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任佳惠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91A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</w:t>
            </w:r>
          </w:p>
        </w:tc>
      </w:tr>
      <w:tr w:rsidR="00A9001B" w:rsidRPr="00A9001B" w14:paraId="1FB275B3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58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43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乐梦琦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9F3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基石资产管理股份有限公司</w:t>
            </w:r>
          </w:p>
        </w:tc>
      </w:tr>
      <w:tr w:rsidR="00A9001B" w:rsidRPr="00A9001B" w14:paraId="077D61D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10A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1C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曹志平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24D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金股证券投资咨询广东有限公司</w:t>
            </w:r>
          </w:p>
        </w:tc>
      </w:tr>
      <w:tr w:rsidR="00A9001B" w:rsidRPr="00A9001B" w14:paraId="249C029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F90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860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向正富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6A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中航证券有限公司</w:t>
            </w:r>
          </w:p>
        </w:tc>
      </w:tr>
      <w:tr w:rsidR="00A9001B" w:rsidRPr="00A9001B" w14:paraId="0C764D1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D80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C86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梁荣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104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景顺长城基金管理有限公司</w:t>
            </w:r>
          </w:p>
        </w:tc>
      </w:tr>
      <w:tr w:rsidR="00A9001B" w:rsidRPr="00A9001B" w14:paraId="6CFFFA5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F26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35D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任万里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1E5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深圳市坤厚私募证券投资基金管理有限公司</w:t>
            </w:r>
          </w:p>
        </w:tc>
      </w:tr>
      <w:tr w:rsidR="00A9001B" w:rsidRPr="00A9001B" w14:paraId="7500689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F7A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FC1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赵千里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AF1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长江养老保险股份有限公司</w:t>
            </w:r>
          </w:p>
        </w:tc>
      </w:tr>
      <w:tr w:rsidR="00A9001B" w:rsidRPr="00A9001B" w14:paraId="438D8F4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25A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509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王新元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B7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长生人寿保险有限公司</w:t>
            </w:r>
          </w:p>
        </w:tc>
      </w:tr>
      <w:tr w:rsidR="00A9001B" w:rsidRPr="00A9001B" w14:paraId="1A7CEC4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0C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EF4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295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上海悦溪私募基金管理合伙企业(有限合伙)</w:t>
            </w:r>
          </w:p>
        </w:tc>
      </w:tr>
      <w:tr w:rsidR="00A9001B" w:rsidRPr="00A9001B" w14:paraId="5D75A001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B75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34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陈跃雄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7B9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上海道仁资产管理有限公司</w:t>
            </w:r>
          </w:p>
        </w:tc>
      </w:tr>
      <w:tr w:rsidR="00A9001B" w:rsidRPr="00A9001B" w14:paraId="32125AB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72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D4F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曾文传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CC3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中航基金管理有限公司</w:t>
            </w:r>
          </w:p>
        </w:tc>
      </w:tr>
      <w:tr w:rsidR="00A9001B" w:rsidRPr="00A9001B" w14:paraId="6868678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3F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86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CC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天风证券股份有限公司</w:t>
            </w:r>
          </w:p>
        </w:tc>
      </w:tr>
      <w:tr w:rsidR="00A9001B" w:rsidRPr="00A9001B" w14:paraId="74E4AFBF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62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17B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姚万宁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ECF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A9001B" w:rsidRPr="00A9001B" w14:paraId="3A8545E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16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5A4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C73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常州泰珅私募投资基金有限公司</w:t>
            </w:r>
          </w:p>
        </w:tc>
      </w:tr>
      <w:tr w:rsidR="00A9001B" w:rsidRPr="00A9001B" w14:paraId="0A040DE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55F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63D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孙义丽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B55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东兴基金管理有限公司</w:t>
            </w:r>
          </w:p>
        </w:tc>
      </w:tr>
      <w:tr w:rsidR="00A9001B" w:rsidRPr="00A9001B" w14:paraId="25E6E9D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F0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95C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闵晓平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E4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国信证券</w:t>
            </w:r>
          </w:p>
        </w:tc>
      </w:tr>
      <w:tr w:rsidR="00A9001B" w:rsidRPr="00A9001B" w14:paraId="04705A2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8A3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46E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张剑鑫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E8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长江证券(上海)资产管理有限公司</w:t>
            </w:r>
          </w:p>
        </w:tc>
      </w:tr>
      <w:tr w:rsidR="00A9001B" w:rsidRPr="00A9001B" w14:paraId="3CA9B86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4D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F3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黄春逢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397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南方基金管理股份有限公司</w:t>
            </w:r>
          </w:p>
        </w:tc>
      </w:tr>
      <w:tr w:rsidR="00A9001B" w:rsidRPr="00A9001B" w14:paraId="1F8BDD0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07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C57F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7F6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三峡资本控股有限责任公司</w:t>
            </w:r>
          </w:p>
        </w:tc>
      </w:tr>
      <w:tr w:rsidR="00A9001B" w:rsidRPr="00A9001B" w14:paraId="4A8860E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F0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CC2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曹瑞元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6A0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广发证券</w:t>
            </w:r>
          </w:p>
        </w:tc>
      </w:tr>
      <w:tr w:rsidR="00A9001B" w:rsidRPr="00A9001B" w14:paraId="432C3F7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FC4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32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明兴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063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圆信永丰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</w:t>
            </w:r>
          </w:p>
        </w:tc>
      </w:tr>
      <w:tr w:rsidR="00A9001B" w:rsidRPr="00A9001B" w14:paraId="7BBF46D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2C2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45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范昭楠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F63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银华基金管理股份有限公司</w:t>
            </w:r>
          </w:p>
        </w:tc>
      </w:tr>
      <w:tr w:rsidR="00A9001B" w:rsidRPr="00A9001B" w14:paraId="35A4CA8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7C0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BF63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林轩毅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98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48D33D64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1C2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B07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罗静茹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92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华西证券股份有限公司</w:t>
            </w:r>
          </w:p>
        </w:tc>
      </w:tr>
      <w:tr w:rsidR="00A9001B" w:rsidRPr="00A9001B" w14:paraId="44E37F8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0B1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F1B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李远剑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695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西部证券股份有限公司</w:t>
            </w:r>
          </w:p>
        </w:tc>
      </w:tr>
      <w:tr w:rsidR="00A9001B" w:rsidRPr="00A9001B" w14:paraId="47440A9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1B5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A22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郑中天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36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万家基金管理有限公司</w:t>
            </w:r>
          </w:p>
        </w:tc>
      </w:tr>
      <w:tr w:rsidR="00A9001B" w:rsidRPr="00A9001B" w14:paraId="073A437E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0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213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张春卫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F24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天津华北集团有限公司</w:t>
            </w:r>
          </w:p>
        </w:tc>
      </w:tr>
      <w:tr w:rsidR="00A9001B" w:rsidRPr="00A9001B" w14:paraId="649A1A7D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F2C4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39A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周淼顺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479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国泰君安证券股份有限公司</w:t>
            </w:r>
          </w:p>
        </w:tc>
      </w:tr>
      <w:tr w:rsidR="00A9001B" w:rsidRPr="00A9001B" w14:paraId="341612F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200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691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赖正健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7E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上海贵源投资有限公司</w:t>
            </w:r>
          </w:p>
        </w:tc>
      </w:tr>
      <w:tr w:rsidR="00A9001B" w:rsidRPr="00A9001B" w14:paraId="18016B6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12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0D2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A8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东兴证券股份有限公司</w:t>
            </w:r>
          </w:p>
        </w:tc>
      </w:tr>
      <w:tr w:rsidR="00A9001B" w:rsidRPr="00A9001B" w14:paraId="42D35ECA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612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FB7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杨廉昊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5B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上海鹞璞实业有限公司</w:t>
            </w:r>
          </w:p>
        </w:tc>
      </w:tr>
      <w:tr w:rsidR="00A9001B" w:rsidRPr="00A9001B" w14:paraId="0A838975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3A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101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何文斌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BEC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民生通惠资产管理有限公司</w:t>
            </w:r>
          </w:p>
        </w:tc>
      </w:tr>
      <w:tr w:rsidR="00A9001B" w:rsidRPr="00A9001B" w14:paraId="04942292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67B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234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69B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陆文博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57A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FOUNTAINBRIDGE</w:t>
            </w:r>
          </w:p>
        </w:tc>
      </w:tr>
      <w:tr w:rsidR="00A9001B" w:rsidRPr="00A9001B" w14:paraId="40B7D6E8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F56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3B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陶醉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547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华能投资管理有限公司</w:t>
            </w:r>
          </w:p>
        </w:tc>
      </w:tr>
      <w:tr w:rsidR="00A9001B" w:rsidRPr="00A9001B" w14:paraId="55B7768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A48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2A7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邹赫威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F18D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</w:t>
            </w: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泉基金</w:t>
            </w:r>
            <w:proofErr w:type="gramEnd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管理有限公司</w:t>
            </w:r>
          </w:p>
        </w:tc>
      </w:tr>
      <w:tr w:rsidR="00A9001B" w:rsidRPr="00A9001B" w14:paraId="6DE6D749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FDBE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670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薛奇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148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上海紫阁投资管理有限公司</w:t>
            </w:r>
          </w:p>
        </w:tc>
      </w:tr>
      <w:tr w:rsidR="00A9001B" w:rsidRPr="00A9001B" w14:paraId="60977697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ED9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FDF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李晟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EDF5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郑州云杉投资管理有限公司</w:t>
            </w:r>
          </w:p>
        </w:tc>
      </w:tr>
      <w:tr w:rsidR="00A9001B" w:rsidRPr="00A9001B" w14:paraId="32BC6FA6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6D9A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7240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李可伦</w:t>
            </w:r>
            <w:proofErr w:type="gramEnd"/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022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富国基金管理有限公司</w:t>
            </w:r>
          </w:p>
        </w:tc>
      </w:tr>
      <w:tr w:rsidR="00A9001B" w:rsidRPr="00A9001B" w14:paraId="7F0DEAFC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0DF9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CBB1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余帆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3506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南京双安资产管理有限公司</w:t>
            </w:r>
          </w:p>
        </w:tc>
      </w:tr>
      <w:tr w:rsidR="00A9001B" w:rsidRPr="00A9001B" w14:paraId="7B94D04B" w14:textId="77777777" w:rsidTr="00A9001B">
        <w:trPr>
          <w:trHeight w:val="280"/>
        </w:trPr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48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EF2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徐瀚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D17" w14:textId="77777777" w:rsidR="00A9001B" w:rsidRPr="00A9001B" w:rsidRDefault="00A9001B" w:rsidP="00A900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00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中国国际金融股份有限公司</w:t>
            </w:r>
          </w:p>
        </w:tc>
      </w:tr>
    </w:tbl>
    <w:p w14:paraId="263C2F44" w14:textId="77777777" w:rsidR="00C803A7" w:rsidRDefault="00C803A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C80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hNGJiMWVmZTg4ZjFhYWZhYWFiMzBkODkwYWRkZmUifQ=="/>
  </w:docVars>
  <w:rsids>
    <w:rsidRoot w:val="00852191"/>
    <w:rsid w:val="AFF34FA4"/>
    <w:rsid w:val="C3D6FCE7"/>
    <w:rsid w:val="00003597"/>
    <w:rsid w:val="000042DE"/>
    <w:rsid w:val="000077D0"/>
    <w:rsid w:val="00014D97"/>
    <w:rsid w:val="00014FA3"/>
    <w:rsid w:val="00017B09"/>
    <w:rsid w:val="000207EA"/>
    <w:rsid w:val="00033BFB"/>
    <w:rsid w:val="00034949"/>
    <w:rsid w:val="000369CB"/>
    <w:rsid w:val="00036CED"/>
    <w:rsid w:val="00037FF3"/>
    <w:rsid w:val="00046A21"/>
    <w:rsid w:val="00054E2C"/>
    <w:rsid w:val="00055130"/>
    <w:rsid w:val="00057DA5"/>
    <w:rsid w:val="00060734"/>
    <w:rsid w:val="00064C2F"/>
    <w:rsid w:val="00066B52"/>
    <w:rsid w:val="00067561"/>
    <w:rsid w:val="00070A27"/>
    <w:rsid w:val="000727EA"/>
    <w:rsid w:val="000737C3"/>
    <w:rsid w:val="00090576"/>
    <w:rsid w:val="000956B7"/>
    <w:rsid w:val="000A4131"/>
    <w:rsid w:val="000B0470"/>
    <w:rsid w:val="000B20F8"/>
    <w:rsid w:val="000B3C9A"/>
    <w:rsid w:val="000B52B5"/>
    <w:rsid w:val="000C106B"/>
    <w:rsid w:val="000C1C66"/>
    <w:rsid w:val="000C57F3"/>
    <w:rsid w:val="000D7014"/>
    <w:rsid w:val="000E5E50"/>
    <w:rsid w:val="000E727B"/>
    <w:rsid w:val="000F4D0E"/>
    <w:rsid w:val="001042A0"/>
    <w:rsid w:val="0010797E"/>
    <w:rsid w:val="00107BA7"/>
    <w:rsid w:val="001179FC"/>
    <w:rsid w:val="001227CC"/>
    <w:rsid w:val="00122F62"/>
    <w:rsid w:val="00123985"/>
    <w:rsid w:val="00134804"/>
    <w:rsid w:val="00137066"/>
    <w:rsid w:val="001374BA"/>
    <w:rsid w:val="00144FD6"/>
    <w:rsid w:val="0015523B"/>
    <w:rsid w:val="001576BB"/>
    <w:rsid w:val="0016133C"/>
    <w:rsid w:val="0016235D"/>
    <w:rsid w:val="001703B2"/>
    <w:rsid w:val="00173924"/>
    <w:rsid w:val="001849A2"/>
    <w:rsid w:val="0018574D"/>
    <w:rsid w:val="00187C08"/>
    <w:rsid w:val="00191A2D"/>
    <w:rsid w:val="0019424E"/>
    <w:rsid w:val="00196418"/>
    <w:rsid w:val="001A1892"/>
    <w:rsid w:val="001B073E"/>
    <w:rsid w:val="001B1E60"/>
    <w:rsid w:val="001B2478"/>
    <w:rsid w:val="001B432C"/>
    <w:rsid w:val="001B657F"/>
    <w:rsid w:val="001C4DBC"/>
    <w:rsid w:val="001D1B85"/>
    <w:rsid w:val="001D3F6F"/>
    <w:rsid w:val="001D5A9C"/>
    <w:rsid w:val="001E3745"/>
    <w:rsid w:val="001E5D03"/>
    <w:rsid w:val="001E71A8"/>
    <w:rsid w:val="001F1B81"/>
    <w:rsid w:val="001F4B49"/>
    <w:rsid w:val="001F62B2"/>
    <w:rsid w:val="00200170"/>
    <w:rsid w:val="0020166C"/>
    <w:rsid w:val="00202926"/>
    <w:rsid w:val="00203D65"/>
    <w:rsid w:val="00206C56"/>
    <w:rsid w:val="00243689"/>
    <w:rsid w:val="00267C5D"/>
    <w:rsid w:val="00273699"/>
    <w:rsid w:val="002767E2"/>
    <w:rsid w:val="00280A08"/>
    <w:rsid w:val="002847F3"/>
    <w:rsid w:val="00286D4A"/>
    <w:rsid w:val="002914CD"/>
    <w:rsid w:val="002964D3"/>
    <w:rsid w:val="002A732D"/>
    <w:rsid w:val="002B18B5"/>
    <w:rsid w:val="002B2A7D"/>
    <w:rsid w:val="002B699B"/>
    <w:rsid w:val="002C2D2F"/>
    <w:rsid w:val="002C6DE0"/>
    <w:rsid w:val="002D1C96"/>
    <w:rsid w:val="002D54ED"/>
    <w:rsid w:val="002E0AF0"/>
    <w:rsid w:val="002E3DF6"/>
    <w:rsid w:val="002E5C9E"/>
    <w:rsid w:val="002E630B"/>
    <w:rsid w:val="002E7769"/>
    <w:rsid w:val="00303380"/>
    <w:rsid w:val="00304D8C"/>
    <w:rsid w:val="003072FC"/>
    <w:rsid w:val="00312AE7"/>
    <w:rsid w:val="00312B7A"/>
    <w:rsid w:val="00324262"/>
    <w:rsid w:val="00344270"/>
    <w:rsid w:val="003476E4"/>
    <w:rsid w:val="00356BFE"/>
    <w:rsid w:val="003626DE"/>
    <w:rsid w:val="00364EBE"/>
    <w:rsid w:val="00366C3F"/>
    <w:rsid w:val="00366F54"/>
    <w:rsid w:val="00372300"/>
    <w:rsid w:val="00377831"/>
    <w:rsid w:val="00377867"/>
    <w:rsid w:val="0039237B"/>
    <w:rsid w:val="00392871"/>
    <w:rsid w:val="003943C1"/>
    <w:rsid w:val="003958D9"/>
    <w:rsid w:val="00396CBA"/>
    <w:rsid w:val="003A06A3"/>
    <w:rsid w:val="003A07E2"/>
    <w:rsid w:val="003A4871"/>
    <w:rsid w:val="003A603C"/>
    <w:rsid w:val="003A7614"/>
    <w:rsid w:val="003B230A"/>
    <w:rsid w:val="003C4C24"/>
    <w:rsid w:val="003C70C4"/>
    <w:rsid w:val="003D174C"/>
    <w:rsid w:val="003D5C8E"/>
    <w:rsid w:val="003E6072"/>
    <w:rsid w:val="003E6110"/>
    <w:rsid w:val="003F612C"/>
    <w:rsid w:val="003F64D7"/>
    <w:rsid w:val="003F7807"/>
    <w:rsid w:val="00400352"/>
    <w:rsid w:val="004063C9"/>
    <w:rsid w:val="00406DB6"/>
    <w:rsid w:val="0041069A"/>
    <w:rsid w:val="00411F7B"/>
    <w:rsid w:val="0042582A"/>
    <w:rsid w:val="00426290"/>
    <w:rsid w:val="004305F5"/>
    <w:rsid w:val="00433AD4"/>
    <w:rsid w:val="004356E4"/>
    <w:rsid w:val="00435F4A"/>
    <w:rsid w:val="004539FB"/>
    <w:rsid w:val="00453D7C"/>
    <w:rsid w:val="00453EB8"/>
    <w:rsid w:val="00457A26"/>
    <w:rsid w:val="00461225"/>
    <w:rsid w:val="00463308"/>
    <w:rsid w:val="00464A75"/>
    <w:rsid w:val="00467665"/>
    <w:rsid w:val="004769D3"/>
    <w:rsid w:val="00484AB4"/>
    <w:rsid w:val="00485759"/>
    <w:rsid w:val="004A02F3"/>
    <w:rsid w:val="004A5509"/>
    <w:rsid w:val="004A7BBD"/>
    <w:rsid w:val="004B01DF"/>
    <w:rsid w:val="004B02F7"/>
    <w:rsid w:val="004B50B6"/>
    <w:rsid w:val="004B58E0"/>
    <w:rsid w:val="004B5ED7"/>
    <w:rsid w:val="004C1AF1"/>
    <w:rsid w:val="004C48F3"/>
    <w:rsid w:val="004E220C"/>
    <w:rsid w:val="004E2E3E"/>
    <w:rsid w:val="004E4E02"/>
    <w:rsid w:val="004E7C50"/>
    <w:rsid w:val="004F257B"/>
    <w:rsid w:val="004F5052"/>
    <w:rsid w:val="004F7ABC"/>
    <w:rsid w:val="005016DC"/>
    <w:rsid w:val="00504368"/>
    <w:rsid w:val="005043D8"/>
    <w:rsid w:val="00515D50"/>
    <w:rsid w:val="00516EA1"/>
    <w:rsid w:val="00523BA4"/>
    <w:rsid w:val="0052672D"/>
    <w:rsid w:val="00547434"/>
    <w:rsid w:val="00550FB9"/>
    <w:rsid w:val="00551E9E"/>
    <w:rsid w:val="005662C1"/>
    <w:rsid w:val="00570841"/>
    <w:rsid w:val="00570D81"/>
    <w:rsid w:val="00571681"/>
    <w:rsid w:val="00574199"/>
    <w:rsid w:val="00584909"/>
    <w:rsid w:val="005861EF"/>
    <w:rsid w:val="0058769F"/>
    <w:rsid w:val="005902CB"/>
    <w:rsid w:val="00590656"/>
    <w:rsid w:val="00591D5F"/>
    <w:rsid w:val="005A7DAF"/>
    <w:rsid w:val="005B525B"/>
    <w:rsid w:val="005C5039"/>
    <w:rsid w:val="005D0AE4"/>
    <w:rsid w:val="005D2B5F"/>
    <w:rsid w:val="005D6340"/>
    <w:rsid w:val="005D7581"/>
    <w:rsid w:val="005D79D9"/>
    <w:rsid w:val="005E0ACF"/>
    <w:rsid w:val="005E2925"/>
    <w:rsid w:val="005E4619"/>
    <w:rsid w:val="005E56B4"/>
    <w:rsid w:val="005E7613"/>
    <w:rsid w:val="005F1F8C"/>
    <w:rsid w:val="0060379D"/>
    <w:rsid w:val="00604A4F"/>
    <w:rsid w:val="006059D0"/>
    <w:rsid w:val="00610B81"/>
    <w:rsid w:val="00611D5E"/>
    <w:rsid w:val="006145D2"/>
    <w:rsid w:val="006202C5"/>
    <w:rsid w:val="006268F8"/>
    <w:rsid w:val="006321FA"/>
    <w:rsid w:val="0064558F"/>
    <w:rsid w:val="00647757"/>
    <w:rsid w:val="00650AE8"/>
    <w:rsid w:val="006649C1"/>
    <w:rsid w:val="00675449"/>
    <w:rsid w:val="00682191"/>
    <w:rsid w:val="00682530"/>
    <w:rsid w:val="006827CF"/>
    <w:rsid w:val="00683E6C"/>
    <w:rsid w:val="006928AE"/>
    <w:rsid w:val="00692DD0"/>
    <w:rsid w:val="00693671"/>
    <w:rsid w:val="00695058"/>
    <w:rsid w:val="00696B76"/>
    <w:rsid w:val="006A64BE"/>
    <w:rsid w:val="006A7B4A"/>
    <w:rsid w:val="006B169D"/>
    <w:rsid w:val="006B27F2"/>
    <w:rsid w:val="006C569C"/>
    <w:rsid w:val="006C742E"/>
    <w:rsid w:val="006D5CE8"/>
    <w:rsid w:val="006E588E"/>
    <w:rsid w:val="006E5CEB"/>
    <w:rsid w:val="006F465E"/>
    <w:rsid w:val="006F6604"/>
    <w:rsid w:val="00702B3E"/>
    <w:rsid w:val="00703990"/>
    <w:rsid w:val="00714112"/>
    <w:rsid w:val="00717DF6"/>
    <w:rsid w:val="00726EC1"/>
    <w:rsid w:val="007558A4"/>
    <w:rsid w:val="0075780C"/>
    <w:rsid w:val="007616CB"/>
    <w:rsid w:val="007872AC"/>
    <w:rsid w:val="00787EA9"/>
    <w:rsid w:val="007905C1"/>
    <w:rsid w:val="00792803"/>
    <w:rsid w:val="0079497D"/>
    <w:rsid w:val="00797FFD"/>
    <w:rsid w:val="007A494A"/>
    <w:rsid w:val="007A5852"/>
    <w:rsid w:val="007A75C0"/>
    <w:rsid w:val="007A7FB2"/>
    <w:rsid w:val="007B3D55"/>
    <w:rsid w:val="007C0388"/>
    <w:rsid w:val="007C040B"/>
    <w:rsid w:val="007C383A"/>
    <w:rsid w:val="007C737C"/>
    <w:rsid w:val="007D0CC3"/>
    <w:rsid w:val="007D7852"/>
    <w:rsid w:val="007E0B8E"/>
    <w:rsid w:val="007E3C03"/>
    <w:rsid w:val="007E560C"/>
    <w:rsid w:val="007E76AA"/>
    <w:rsid w:val="007E7DC7"/>
    <w:rsid w:val="007F0A66"/>
    <w:rsid w:val="007F34F7"/>
    <w:rsid w:val="00800B0D"/>
    <w:rsid w:val="00801DBE"/>
    <w:rsid w:val="00806424"/>
    <w:rsid w:val="00810EA2"/>
    <w:rsid w:val="008156A2"/>
    <w:rsid w:val="00817A02"/>
    <w:rsid w:val="00825830"/>
    <w:rsid w:val="0083059C"/>
    <w:rsid w:val="008338A2"/>
    <w:rsid w:val="00835BAB"/>
    <w:rsid w:val="00844758"/>
    <w:rsid w:val="00844BF1"/>
    <w:rsid w:val="00852191"/>
    <w:rsid w:val="008569F8"/>
    <w:rsid w:val="008609E6"/>
    <w:rsid w:val="00873BE2"/>
    <w:rsid w:val="008910FF"/>
    <w:rsid w:val="00896324"/>
    <w:rsid w:val="008A4610"/>
    <w:rsid w:val="008B3456"/>
    <w:rsid w:val="008C1746"/>
    <w:rsid w:val="008C22AE"/>
    <w:rsid w:val="008C7072"/>
    <w:rsid w:val="008D3B1B"/>
    <w:rsid w:val="008E0F18"/>
    <w:rsid w:val="008E145A"/>
    <w:rsid w:val="008F337B"/>
    <w:rsid w:val="008F5CAD"/>
    <w:rsid w:val="009015E2"/>
    <w:rsid w:val="009043A7"/>
    <w:rsid w:val="009065E2"/>
    <w:rsid w:val="0091640A"/>
    <w:rsid w:val="00922394"/>
    <w:rsid w:val="009270E9"/>
    <w:rsid w:val="009272FE"/>
    <w:rsid w:val="009445EE"/>
    <w:rsid w:val="009678E6"/>
    <w:rsid w:val="00970FA8"/>
    <w:rsid w:val="00975B93"/>
    <w:rsid w:val="00980996"/>
    <w:rsid w:val="00983BB2"/>
    <w:rsid w:val="00986758"/>
    <w:rsid w:val="009973EE"/>
    <w:rsid w:val="009A2665"/>
    <w:rsid w:val="009C348A"/>
    <w:rsid w:val="009C42B0"/>
    <w:rsid w:val="009C63B9"/>
    <w:rsid w:val="009D38DE"/>
    <w:rsid w:val="009D451C"/>
    <w:rsid w:val="009E28EC"/>
    <w:rsid w:val="009E3FD6"/>
    <w:rsid w:val="009F6E1F"/>
    <w:rsid w:val="00A11916"/>
    <w:rsid w:val="00A165F7"/>
    <w:rsid w:val="00A1703F"/>
    <w:rsid w:val="00A170B6"/>
    <w:rsid w:val="00A20AF6"/>
    <w:rsid w:val="00A2400D"/>
    <w:rsid w:val="00A2572E"/>
    <w:rsid w:val="00A26853"/>
    <w:rsid w:val="00A3510F"/>
    <w:rsid w:val="00A37BA2"/>
    <w:rsid w:val="00A37BFF"/>
    <w:rsid w:val="00A42E52"/>
    <w:rsid w:val="00A50AD3"/>
    <w:rsid w:val="00A67492"/>
    <w:rsid w:val="00A717B6"/>
    <w:rsid w:val="00A72E49"/>
    <w:rsid w:val="00A75177"/>
    <w:rsid w:val="00A8325E"/>
    <w:rsid w:val="00A85104"/>
    <w:rsid w:val="00A87A27"/>
    <w:rsid w:val="00A9001B"/>
    <w:rsid w:val="00AA5616"/>
    <w:rsid w:val="00AB3789"/>
    <w:rsid w:val="00AC28C9"/>
    <w:rsid w:val="00AC291B"/>
    <w:rsid w:val="00AD398B"/>
    <w:rsid w:val="00AD606C"/>
    <w:rsid w:val="00AE03D1"/>
    <w:rsid w:val="00AF54AA"/>
    <w:rsid w:val="00AF561A"/>
    <w:rsid w:val="00B043A9"/>
    <w:rsid w:val="00B140CB"/>
    <w:rsid w:val="00B149C4"/>
    <w:rsid w:val="00B33EA6"/>
    <w:rsid w:val="00B3776E"/>
    <w:rsid w:val="00B40EA0"/>
    <w:rsid w:val="00B45985"/>
    <w:rsid w:val="00B46A3F"/>
    <w:rsid w:val="00B5597A"/>
    <w:rsid w:val="00B628D3"/>
    <w:rsid w:val="00B64711"/>
    <w:rsid w:val="00B64ADE"/>
    <w:rsid w:val="00B65265"/>
    <w:rsid w:val="00B65C90"/>
    <w:rsid w:val="00B7004A"/>
    <w:rsid w:val="00B7128F"/>
    <w:rsid w:val="00B71ACB"/>
    <w:rsid w:val="00B8260D"/>
    <w:rsid w:val="00BB1789"/>
    <w:rsid w:val="00BC525D"/>
    <w:rsid w:val="00BC53A3"/>
    <w:rsid w:val="00BD10D5"/>
    <w:rsid w:val="00BD62D8"/>
    <w:rsid w:val="00BE08F0"/>
    <w:rsid w:val="00BE13E3"/>
    <w:rsid w:val="00BF467B"/>
    <w:rsid w:val="00BF4E9D"/>
    <w:rsid w:val="00BF5A4D"/>
    <w:rsid w:val="00BF7026"/>
    <w:rsid w:val="00C013D3"/>
    <w:rsid w:val="00C02AF9"/>
    <w:rsid w:val="00C0365C"/>
    <w:rsid w:val="00C060C7"/>
    <w:rsid w:val="00C06531"/>
    <w:rsid w:val="00C113D9"/>
    <w:rsid w:val="00C12CB3"/>
    <w:rsid w:val="00C201F7"/>
    <w:rsid w:val="00C21B1B"/>
    <w:rsid w:val="00C247CB"/>
    <w:rsid w:val="00C2492F"/>
    <w:rsid w:val="00C36361"/>
    <w:rsid w:val="00C3747D"/>
    <w:rsid w:val="00C40095"/>
    <w:rsid w:val="00C40E04"/>
    <w:rsid w:val="00C41A21"/>
    <w:rsid w:val="00C47414"/>
    <w:rsid w:val="00C603C0"/>
    <w:rsid w:val="00C60859"/>
    <w:rsid w:val="00C659BD"/>
    <w:rsid w:val="00C76468"/>
    <w:rsid w:val="00C803A7"/>
    <w:rsid w:val="00C873E7"/>
    <w:rsid w:val="00C92384"/>
    <w:rsid w:val="00C93712"/>
    <w:rsid w:val="00CA6F1D"/>
    <w:rsid w:val="00CB3CE9"/>
    <w:rsid w:val="00CC29CC"/>
    <w:rsid w:val="00CD600F"/>
    <w:rsid w:val="00CF1E2C"/>
    <w:rsid w:val="00CF4DAC"/>
    <w:rsid w:val="00CF68F9"/>
    <w:rsid w:val="00CF6B30"/>
    <w:rsid w:val="00CF776D"/>
    <w:rsid w:val="00D06694"/>
    <w:rsid w:val="00D20A10"/>
    <w:rsid w:val="00D21FEE"/>
    <w:rsid w:val="00D259BE"/>
    <w:rsid w:val="00D31E3F"/>
    <w:rsid w:val="00D36E29"/>
    <w:rsid w:val="00D4140F"/>
    <w:rsid w:val="00D41605"/>
    <w:rsid w:val="00D41CD6"/>
    <w:rsid w:val="00D45FCB"/>
    <w:rsid w:val="00D47DCD"/>
    <w:rsid w:val="00D52A32"/>
    <w:rsid w:val="00D617C9"/>
    <w:rsid w:val="00D62EB3"/>
    <w:rsid w:val="00D63DAE"/>
    <w:rsid w:val="00D664E8"/>
    <w:rsid w:val="00D67A80"/>
    <w:rsid w:val="00D70751"/>
    <w:rsid w:val="00D72953"/>
    <w:rsid w:val="00D74633"/>
    <w:rsid w:val="00D80720"/>
    <w:rsid w:val="00D8163A"/>
    <w:rsid w:val="00D8324E"/>
    <w:rsid w:val="00D87126"/>
    <w:rsid w:val="00D87EC8"/>
    <w:rsid w:val="00D91019"/>
    <w:rsid w:val="00D9166B"/>
    <w:rsid w:val="00D91854"/>
    <w:rsid w:val="00D977B9"/>
    <w:rsid w:val="00DA452F"/>
    <w:rsid w:val="00DA7007"/>
    <w:rsid w:val="00DB2339"/>
    <w:rsid w:val="00DB3FDC"/>
    <w:rsid w:val="00DC153A"/>
    <w:rsid w:val="00DC504C"/>
    <w:rsid w:val="00DC5B3B"/>
    <w:rsid w:val="00DC70AD"/>
    <w:rsid w:val="00DD0AFF"/>
    <w:rsid w:val="00DD2C71"/>
    <w:rsid w:val="00DD4B12"/>
    <w:rsid w:val="00DD4E78"/>
    <w:rsid w:val="00DD5843"/>
    <w:rsid w:val="00DF2164"/>
    <w:rsid w:val="00E13B6B"/>
    <w:rsid w:val="00E23867"/>
    <w:rsid w:val="00E261B0"/>
    <w:rsid w:val="00E320CC"/>
    <w:rsid w:val="00E3435F"/>
    <w:rsid w:val="00E47DC6"/>
    <w:rsid w:val="00E5373E"/>
    <w:rsid w:val="00E55B32"/>
    <w:rsid w:val="00E57E34"/>
    <w:rsid w:val="00E60AC8"/>
    <w:rsid w:val="00E611AA"/>
    <w:rsid w:val="00E61BDD"/>
    <w:rsid w:val="00E6210E"/>
    <w:rsid w:val="00E63C24"/>
    <w:rsid w:val="00E7002B"/>
    <w:rsid w:val="00E7047A"/>
    <w:rsid w:val="00E76CAB"/>
    <w:rsid w:val="00E76F5D"/>
    <w:rsid w:val="00E80A0A"/>
    <w:rsid w:val="00E85661"/>
    <w:rsid w:val="00E95392"/>
    <w:rsid w:val="00EB2C3A"/>
    <w:rsid w:val="00EB473A"/>
    <w:rsid w:val="00EB7BFE"/>
    <w:rsid w:val="00EC1D8D"/>
    <w:rsid w:val="00EC3ED4"/>
    <w:rsid w:val="00ED790E"/>
    <w:rsid w:val="00EE0EF9"/>
    <w:rsid w:val="00EE34EE"/>
    <w:rsid w:val="00EE4ECC"/>
    <w:rsid w:val="00EF09C9"/>
    <w:rsid w:val="00EF2921"/>
    <w:rsid w:val="00F00B06"/>
    <w:rsid w:val="00F02DAB"/>
    <w:rsid w:val="00F04852"/>
    <w:rsid w:val="00F10B83"/>
    <w:rsid w:val="00F275AC"/>
    <w:rsid w:val="00F30FA8"/>
    <w:rsid w:val="00F311A8"/>
    <w:rsid w:val="00F42613"/>
    <w:rsid w:val="00F4755E"/>
    <w:rsid w:val="00F56A01"/>
    <w:rsid w:val="00F57BE8"/>
    <w:rsid w:val="00F605DB"/>
    <w:rsid w:val="00F67F3A"/>
    <w:rsid w:val="00F74ED4"/>
    <w:rsid w:val="00F850A7"/>
    <w:rsid w:val="00F85B1F"/>
    <w:rsid w:val="00F864E5"/>
    <w:rsid w:val="00F86764"/>
    <w:rsid w:val="00F93861"/>
    <w:rsid w:val="00F97665"/>
    <w:rsid w:val="00FA7E5D"/>
    <w:rsid w:val="00FA7F16"/>
    <w:rsid w:val="00FB5AAB"/>
    <w:rsid w:val="00FB5C55"/>
    <w:rsid w:val="00FC2D95"/>
    <w:rsid w:val="00FE49B9"/>
    <w:rsid w:val="00FE5160"/>
    <w:rsid w:val="00FE6841"/>
    <w:rsid w:val="00FF3490"/>
    <w:rsid w:val="00FF3F69"/>
    <w:rsid w:val="00FF4E30"/>
    <w:rsid w:val="00FF7D39"/>
    <w:rsid w:val="3189001E"/>
    <w:rsid w:val="77BF6CDD"/>
    <w:rsid w:val="7DDA0436"/>
    <w:rsid w:val="7F73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40C1"/>
  <w15:docId w15:val="{40BACC68-6663-42F2-AABD-66B2F7C0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9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customStyle="1" w:styleId="2">
    <w:name w:val="修订2"/>
    <w:hidden/>
    <w:uiPriority w:val="99"/>
    <w:unhideWhenUsed/>
    <w:rPr>
      <w:kern w:val="2"/>
      <w:sz w:val="21"/>
      <w:szCs w:val="22"/>
    </w:rPr>
  </w:style>
  <w:style w:type="paragraph" w:customStyle="1" w:styleId="3">
    <w:name w:val="修订3"/>
    <w:hidden/>
    <w:uiPriority w:val="99"/>
    <w:unhideWhenUsed/>
    <w:rPr>
      <w:kern w:val="2"/>
      <w:sz w:val="21"/>
      <w:szCs w:val="2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font5">
    <w:name w:val="font5"/>
    <w:basedOn w:val="a"/>
    <w:rsid w:val="00A90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占 凯云</dc:creator>
  <cp:lastModifiedBy>占 凯云</cp:lastModifiedBy>
  <cp:revision>451</cp:revision>
  <dcterms:created xsi:type="dcterms:W3CDTF">2023-08-19T07:00:00Z</dcterms:created>
  <dcterms:modified xsi:type="dcterms:W3CDTF">2024-04-12T07:13:00Z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DFA43289153CC311D10A186699A8601C_43</vt:lpwstr>
  </property>
</Properties>
</file>