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A61EB" w14:textId="77777777" w:rsidR="001D3050" w:rsidRDefault="00291D9A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国泰新点软件股份有限公司</w:t>
      </w:r>
    </w:p>
    <w:p w14:paraId="476B266C" w14:textId="77777777" w:rsidR="001D3050" w:rsidRDefault="00291D9A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投资者关系活动记录表</w:t>
      </w:r>
    </w:p>
    <w:p w14:paraId="74ADE3F5" w14:textId="4E0C9DB3" w:rsidR="001D3050" w:rsidRDefault="00291D9A">
      <w:p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证券简称：新点软件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证券代码：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688232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宋体"/>
          <w:b/>
          <w:bCs/>
          <w:sz w:val="24"/>
          <w:szCs w:val="24"/>
        </w:rPr>
        <w:t>02</w:t>
      </w:r>
      <w:r w:rsidR="0043259C"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cs="宋体"/>
          <w:b/>
          <w:bCs/>
          <w:sz w:val="24"/>
          <w:szCs w:val="24"/>
        </w:rPr>
        <w:t>-00</w:t>
      </w:r>
      <w:r w:rsidR="007A5064">
        <w:rPr>
          <w:rFonts w:ascii="宋体" w:eastAsia="宋体" w:hAnsi="宋体" w:cs="宋体" w:hint="eastAsia"/>
          <w:b/>
          <w:bCs/>
          <w:sz w:val="24"/>
          <w:szCs w:val="24"/>
        </w:rPr>
        <w:t>1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5735"/>
      </w:tblGrid>
      <w:tr w:rsidR="001D3050" w14:paraId="397599E9" w14:textId="77777777">
        <w:trPr>
          <w:trHeight w:val="397"/>
        </w:trPr>
        <w:tc>
          <w:tcPr>
            <w:tcW w:w="2547" w:type="dxa"/>
            <w:vAlign w:val="center"/>
          </w:tcPr>
          <w:p w14:paraId="4E0F2F54" w14:textId="77777777" w:rsidR="001D3050" w:rsidRDefault="00291D9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投资者关系活动类别</w:t>
            </w:r>
          </w:p>
        </w:tc>
        <w:tc>
          <w:tcPr>
            <w:tcW w:w="5749" w:type="dxa"/>
            <w:vAlign w:val="center"/>
          </w:tcPr>
          <w:p w14:paraId="37979723" w14:textId="735F8FF8" w:rsidR="001D3050" w:rsidRDefault="00E43D41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</w:t>
            </w:r>
            <w:r w:rsidR="00291D9A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特定对象调研</w:t>
            </w:r>
            <w:r w:rsidR="00291D9A">
              <w:rPr>
                <w:rFonts w:ascii="宋体" w:eastAsia="宋体" w:hAnsi="宋体" w:cs="宋体"/>
                <w:kern w:val="0"/>
                <w:sz w:val="20"/>
                <w:szCs w:val="21"/>
              </w:rPr>
              <w:t xml:space="preserve">   </w:t>
            </w:r>
            <w:r w:rsidR="00291D9A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□分析</w:t>
            </w:r>
            <w:proofErr w:type="gramStart"/>
            <w:r w:rsidR="00291D9A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师会议</w:t>
            </w:r>
            <w:proofErr w:type="gramEnd"/>
            <w:r w:rsidR="00291D9A">
              <w:rPr>
                <w:rFonts w:ascii="宋体" w:eastAsia="宋体" w:hAnsi="宋体" w:cs="宋体"/>
                <w:kern w:val="0"/>
                <w:sz w:val="20"/>
                <w:szCs w:val="21"/>
              </w:rPr>
              <w:t xml:space="preserve">      </w:t>
            </w:r>
            <w:r w:rsidR="00291D9A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□现场参观</w:t>
            </w:r>
          </w:p>
          <w:p w14:paraId="4D8DE997" w14:textId="77777777" w:rsidR="001D3050" w:rsidRDefault="00291D9A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□媒体采访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□业绩说明会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□新闻发布会</w:t>
            </w:r>
          </w:p>
          <w:p w14:paraId="58471175" w14:textId="7B36B4D4" w:rsidR="001D3050" w:rsidRDefault="00291D9A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□路演活动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 xml:space="preserve">       </w:t>
            </w:r>
            <w:r w:rsidR="00E43D41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sym w:font="Wingdings 2" w:char="F052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其他（</w:t>
            </w:r>
            <w:r w:rsidR="00E43D41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电话会议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）</w:t>
            </w:r>
          </w:p>
        </w:tc>
      </w:tr>
      <w:tr w:rsidR="001D3050" w14:paraId="3B7B4213" w14:textId="77777777">
        <w:trPr>
          <w:trHeight w:val="397"/>
        </w:trPr>
        <w:tc>
          <w:tcPr>
            <w:tcW w:w="2547" w:type="dxa"/>
            <w:vAlign w:val="center"/>
          </w:tcPr>
          <w:p w14:paraId="6F9E4267" w14:textId="77777777" w:rsidR="001D3050" w:rsidRDefault="00291D9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参与单位名称及</w:t>
            </w:r>
          </w:p>
          <w:p w14:paraId="2566638E" w14:textId="77777777" w:rsidR="001D3050" w:rsidRDefault="00291D9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人员姓名</w:t>
            </w:r>
          </w:p>
        </w:tc>
        <w:tc>
          <w:tcPr>
            <w:tcW w:w="5749" w:type="dxa"/>
            <w:vAlign w:val="center"/>
          </w:tcPr>
          <w:p w14:paraId="6977C1AD" w14:textId="687C9BCD" w:rsidR="007819AC" w:rsidRDefault="007819AC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海通证券：杨林</w:t>
            </w:r>
          </w:p>
          <w:p w14:paraId="0F71EAC2" w14:textId="1E53E2FA" w:rsidR="007819AC" w:rsidRDefault="0043259C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国金</w:t>
            </w:r>
            <w:r w:rsidR="007A5064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证券</w:t>
            </w:r>
            <w:r w:rsidR="007819A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孟灿</w:t>
            </w:r>
          </w:p>
          <w:p w14:paraId="00B50486" w14:textId="1FED9716" w:rsidR="001D3050" w:rsidRDefault="00291D9A" w:rsidP="00D23957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以上为电话会议主要发言人员名单，本次电话会议在线参与人员</w:t>
            </w:r>
            <w:r w:rsidR="00171762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75</w:t>
            </w:r>
            <w:r w:rsidRPr="007A5064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，详细名单信息见附表。因本次投资者调研活动采取电话会议形式，参与者无法签署调研承诺函。但交流活动中，公司严格遵守相关规定，保证信息披露真实、准确、及时、公平，没有发生未公开重大信息泄露等情况。</w:t>
            </w:r>
          </w:p>
        </w:tc>
      </w:tr>
      <w:tr w:rsidR="001D3050" w14:paraId="4D6D12F7" w14:textId="77777777">
        <w:trPr>
          <w:trHeight w:val="397"/>
        </w:trPr>
        <w:tc>
          <w:tcPr>
            <w:tcW w:w="2547" w:type="dxa"/>
            <w:vAlign w:val="center"/>
          </w:tcPr>
          <w:p w14:paraId="02A2B1FE" w14:textId="77777777" w:rsidR="001D3050" w:rsidRDefault="00291D9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时间</w:t>
            </w:r>
          </w:p>
        </w:tc>
        <w:tc>
          <w:tcPr>
            <w:tcW w:w="5749" w:type="dxa"/>
            <w:vAlign w:val="center"/>
          </w:tcPr>
          <w:p w14:paraId="6702255A" w14:textId="6D6F727A" w:rsidR="00D70F02" w:rsidRDefault="00D70F02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02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年</w:t>
            </w:r>
            <w:r w:rsidR="00E15890">
              <w:rPr>
                <w:rFonts w:ascii="宋体" w:eastAsia="宋体" w:hAnsi="宋体" w:cs="宋体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月</w:t>
            </w:r>
            <w:r w:rsidR="00E15890">
              <w:rPr>
                <w:rFonts w:ascii="宋体" w:eastAsia="宋体" w:hAnsi="宋体" w:cs="宋体"/>
                <w:kern w:val="0"/>
                <w:sz w:val="20"/>
                <w:szCs w:val="21"/>
              </w:rPr>
              <w:t>1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日 </w:t>
            </w:r>
            <w:r w:rsidR="007A5064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：0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0-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：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0</w:t>
            </w:r>
          </w:p>
          <w:p w14:paraId="11DC59C8" w14:textId="29165AED" w:rsidR="00E22C33" w:rsidRPr="00140C43" w:rsidRDefault="00291D9A" w:rsidP="00684514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02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年</w:t>
            </w:r>
            <w:r w:rsidR="00E15890">
              <w:rPr>
                <w:rFonts w:ascii="宋体" w:eastAsia="宋体" w:hAnsi="宋体" w:cs="宋体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月</w:t>
            </w:r>
            <w:r w:rsidR="00341565">
              <w:rPr>
                <w:rFonts w:ascii="宋体" w:eastAsia="宋体" w:hAnsi="宋体" w:cs="宋体"/>
                <w:kern w:val="0"/>
                <w:sz w:val="20"/>
                <w:szCs w:val="21"/>
              </w:rPr>
              <w:t>1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日 </w:t>
            </w:r>
            <w:r w:rsidR="00341565">
              <w:rPr>
                <w:rFonts w:ascii="宋体" w:eastAsia="宋体" w:hAnsi="宋体" w:cs="宋体"/>
                <w:kern w:val="0"/>
                <w:sz w:val="20"/>
                <w:szCs w:val="21"/>
              </w:rPr>
              <w:t>1</w:t>
            </w:r>
            <w:r w:rsidR="00684514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: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0－</w:t>
            </w:r>
            <w:r w:rsidR="00341565">
              <w:rPr>
                <w:rFonts w:ascii="宋体" w:eastAsia="宋体" w:hAnsi="宋体" w:cs="宋体"/>
                <w:kern w:val="0"/>
                <w:sz w:val="20"/>
                <w:szCs w:val="21"/>
              </w:rPr>
              <w:t>1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: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0</w:t>
            </w:r>
          </w:p>
        </w:tc>
      </w:tr>
      <w:tr w:rsidR="001D3050" w14:paraId="1A29619A" w14:textId="77777777" w:rsidTr="0031022D">
        <w:trPr>
          <w:trHeight w:val="397"/>
        </w:trPr>
        <w:tc>
          <w:tcPr>
            <w:tcW w:w="2547" w:type="dxa"/>
            <w:vAlign w:val="center"/>
          </w:tcPr>
          <w:p w14:paraId="6C7D683E" w14:textId="77777777" w:rsidR="001D3050" w:rsidRDefault="00291D9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地点</w:t>
            </w:r>
          </w:p>
        </w:tc>
        <w:tc>
          <w:tcPr>
            <w:tcW w:w="5749" w:type="dxa"/>
            <w:vAlign w:val="center"/>
          </w:tcPr>
          <w:p w14:paraId="2214FC8D" w14:textId="77777777" w:rsidR="001D3050" w:rsidRDefault="00291D9A" w:rsidP="0031022D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公司会议室</w:t>
            </w:r>
          </w:p>
        </w:tc>
      </w:tr>
      <w:tr w:rsidR="001D3050" w14:paraId="0A2311AD" w14:textId="77777777">
        <w:trPr>
          <w:trHeight w:val="397"/>
        </w:trPr>
        <w:tc>
          <w:tcPr>
            <w:tcW w:w="2547" w:type="dxa"/>
            <w:vAlign w:val="center"/>
          </w:tcPr>
          <w:p w14:paraId="40920326" w14:textId="77777777" w:rsidR="001D3050" w:rsidRDefault="00291D9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公司接待人员姓名</w:t>
            </w:r>
          </w:p>
        </w:tc>
        <w:tc>
          <w:tcPr>
            <w:tcW w:w="5749" w:type="dxa"/>
            <w:vAlign w:val="center"/>
          </w:tcPr>
          <w:p w14:paraId="73D0AC43" w14:textId="13E1BA93" w:rsidR="00E15890" w:rsidRPr="00E15890" w:rsidRDefault="00E15890" w:rsidP="00E15890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总裁：黄素龙</w:t>
            </w:r>
          </w:p>
          <w:p w14:paraId="276D85CB" w14:textId="1B3B4665" w:rsidR="00E15890" w:rsidRDefault="00E15890" w:rsidP="00E15890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副</w:t>
            </w:r>
            <w:r w:rsidR="005D0954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总裁</w:t>
            </w:r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：</w:t>
            </w:r>
            <w:r w:rsidR="0043259C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何永龙</w:t>
            </w:r>
          </w:p>
          <w:p w14:paraId="0E818A8D" w14:textId="151EE382" w:rsidR="0043259C" w:rsidRPr="00E15890" w:rsidRDefault="0043259C" w:rsidP="00E15890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副总裁：袁勋</w:t>
            </w:r>
          </w:p>
          <w:p w14:paraId="18944C96" w14:textId="5CC59D7E" w:rsidR="004D31B0" w:rsidRDefault="00E15890" w:rsidP="00E15890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建</w:t>
            </w:r>
            <w:r w:rsidR="005D0954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设B</w:t>
            </w:r>
            <w:r w:rsidR="005D0954">
              <w:rPr>
                <w:rFonts w:ascii="宋体" w:eastAsia="宋体" w:hAnsi="宋体" w:cs="宋体"/>
                <w:kern w:val="0"/>
                <w:sz w:val="20"/>
                <w:szCs w:val="21"/>
              </w:rPr>
              <w:t>G</w:t>
            </w:r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：徐国春</w:t>
            </w:r>
          </w:p>
          <w:p w14:paraId="0C4AD7FC" w14:textId="77777777" w:rsidR="0043259C" w:rsidRPr="00E15890" w:rsidRDefault="0043259C" w:rsidP="0043259C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董事会秘书：</w:t>
            </w:r>
            <w:proofErr w:type="gramStart"/>
            <w:r w:rsidRPr="00E15890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戴静蕾</w:t>
            </w:r>
            <w:proofErr w:type="gramEnd"/>
          </w:p>
          <w:p w14:paraId="296E5E44" w14:textId="271B48D3" w:rsidR="0043259C" w:rsidRPr="0043259C" w:rsidRDefault="0043259C" w:rsidP="00E15890">
            <w:pPr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财务总监：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季琦</w:t>
            </w:r>
            <w:proofErr w:type="gramEnd"/>
          </w:p>
        </w:tc>
      </w:tr>
      <w:tr w:rsidR="001D3050" w14:paraId="525A472B" w14:textId="77777777">
        <w:trPr>
          <w:trHeight w:val="397"/>
        </w:trPr>
        <w:tc>
          <w:tcPr>
            <w:tcW w:w="2547" w:type="dxa"/>
            <w:vAlign w:val="center"/>
          </w:tcPr>
          <w:p w14:paraId="7E69CB72" w14:textId="77777777" w:rsidR="001D3050" w:rsidRDefault="00291D9A">
            <w:pPr>
              <w:spacing w:line="360" w:lineRule="auto"/>
              <w:ind w:firstLineChars="200"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投资者关系活动主要内容介绍</w:t>
            </w:r>
          </w:p>
        </w:tc>
        <w:tc>
          <w:tcPr>
            <w:tcW w:w="5749" w:type="dxa"/>
            <w:vAlign w:val="center"/>
          </w:tcPr>
          <w:p w14:paraId="41DDB2B3" w14:textId="607424D2" w:rsidR="00A275FE" w:rsidRDefault="00A275FE" w:rsidP="00A275FE">
            <w:pPr>
              <w:spacing w:line="360" w:lineRule="auto"/>
              <w:ind w:firstLineChars="200" w:firstLine="402"/>
              <w:outlineLvl w:val="2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bookmarkStart w:id="0" w:name="_Hlk93496312"/>
            <w:r w:rsidRPr="00A275FE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一、</w:t>
            </w:r>
            <w:r w:rsidR="00291D9A" w:rsidRPr="00A275FE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介绍公司</w:t>
            </w:r>
            <w:r w:rsidR="00E15890" w:rsidRPr="00E15890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业绩情况</w:t>
            </w:r>
          </w:p>
          <w:p w14:paraId="5A166AC7" w14:textId="03F8B185" w:rsidR="00684514" w:rsidRPr="00684514" w:rsidRDefault="0043259C" w:rsidP="00684514">
            <w:pPr>
              <w:spacing w:line="360" w:lineRule="auto"/>
              <w:ind w:firstLineChars="218" w:firstLine="436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/>
                <w:sz w:val="20"/>
                <w:szCs w:val="20"/>
              </w:rPr>
              <w:t>2023年公司实现营收24.41亿元，同比减少13.56%；实现</w:t>
            </w:r>
            <w:proofErr w:type="gramStart"/>
            <w:r w:rsidRPr="0043259C">
              <w:rPr>
                <w:rFonts w:ascii="宋体" w:eastAsia="宋体" w:hAnsi="宋体"/>
                <w:sz w:val="20"/>
                <w:szCs w:val="20"/>
              </w:rPr>
              <w:t>归母净利润</w:t>
            </w:r>
            <w:proofErr w:type="gramEnd"/>
            <w:r w:rsidRPr="0043259C">
              <w:rPr>
                <w:rFonts w:ascii="宋体" w:eastAsia="宋体" w:hAnsi="宋体"/>
                <w:sz w:val="20"/>
                <w:szCs w:val="20"/>
              </w:rPr>
              <w:t>1.9</w:t>
            </w:r>
            <w:r w:rsidR="001B1F1D"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亿元，同比减少66.</w:t>
            </w:r>
            <w:r w:rsidR="001B1F1D">
              <w:rPr>
                <w:rFonts w:ascii="宋体" w:eastAsia="宋体" w:hAnsi="宋体" w:hint="eastAsia"/>
                <w:sz w:val="20"/>
                <w:szCs w:val="20"/>
              </w:rPr>
              <w:t>00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%。</w:t>
            </w:r>
          </w:p>
          <w:p w14:paraId="290B2EE2" w14:textId="77777777" w:rsidR="00684514" w:rsidRPr="00684514" w:rsidRDefault="00684514" w:rsidP="00684514">
            <w:pPr>
              <w:spacing w:line="360" w:lineRule="auto"/>
              <w:ind w:firstLineChars="200" w:firstLine="402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684514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1、各板块业务情况</w:t>
            </w:r>
          </w:p>
          <w:p w14:paraId="7EB76971" w14:textId="0CF8F38F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（1）智慧</w:t>
            </w:r>
            <w:proofErr w:type="gramStart"/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招采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实现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了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营业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收入10.22亿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元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，同比减少16.38%，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其中招采运营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收入3.65亿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元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，同比减少26.63%，短期内有所下滑，但从投标人次及投标数量等活跃度指标来看，下半年有所恢复，交易市场化改革的政策方向是不变的，公司也会持续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推进招采运营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业务转型升级，增加运营收入占比。</w:t>
            </w:r>
          </w:p>
          <w:p w14:paraId="5D5517C6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政府侧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，公司围绕“三化”发展趋势，做强能力平台，基于共享应用，服务各地公共资源交易中心标准化建设；通过业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务和技术创新，构建全域一体化的新型监管体系，掀开智慧监管新篇章；新增公共资源交易相关项目近4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00个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，行业领先优势明显。</w:t>
            </w:r>
          </w:p>
          <w:p w14:paraId="247DED5C" w14:textId="0E69315C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企业侧，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</w:t>
            </w:r>
            <w:r w:rsidRPr="00596002">
              <w:rPr>
                <w:rFonts w:ascii="宋体" w:eastAsia="宋体" w:hAnsi="宋体" w:hint="eastAsia"/>
                <w:sz w:val="20"/>
                <w:szCs w:val="20"/>
              </w:rPr>
              <w:t>央/</w:t>
            </w:r>
            <w:proofErr w:type="gramEnd"/>
            <w:r w:rsidRPr="00596002">
              <w:rPr>
                <w:rFonts w:ascii="宋体" w:eastAsia="宋体" w:hAnsi="宋体" w:hint="eastAsia"/>
                <w:sz w:val="20"/>
                <w:szCs w:val="20"/>
              </w:rPr>
              <w:t>国企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提供智慧采购平台，借助公司低代码平台快速创建应用</w:t>
            </w:r>
            <w:r w:rsidR="001D51B9">
              <w:rPr>
                <w:rFonts w:ascii="宋体" w:eastAsia="宋体" w:hAnsi="宋体" w:hint="eastAsia"/>
                <w:sz w:val="20"/>
                <w:szCs w:val="20"/>
              </w:rPr>
              <w:t>程序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持续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提升研发效率，缩短交付周期，累计承接平台60多个，为企业供应链数字化改革做好支撑。</w:t>
            </w:r>
          </w:p>
          <w:p w14:paraId="0E07A184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招标人服务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方面，在多个省市县持续推进交易平台市场化工作，为项目规模在限额以下的招标人提供市场化交易平台，新增专区85个，平台交易标段数量同比增长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41%。</w:t>
            </w:r>
          </w:p>
          <w:p w14:paraId="55CBF62E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投标人服务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方面，打造了“标桥”、“标证通”作为投标人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PC端和移动端应用入口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，其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中标证通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APP已实现公共资源交易领域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CA机构全覆盖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，累计接入平台近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500个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；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标桥是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提升投标人使用价值的综合服务平台，包括企业空间、标书检查、标讯、标证通、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建采通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等服务产品，已在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10多个省份实现销售。</w:t>
            </w:r>
          </w:p>
          <w:p w14:paraId="5D356885" w14:textId="756FB6AC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（2）智慧政务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实现了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营业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收入10.55亿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元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，同比减少14.49%。</w:t>
            </w:r>
          </w:p>
          <w:p w14:paraId="64F79FAA" w14:textId="595F25F6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数字政府建设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方面，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2023年中共中央、国务院印发的《数字中国建设整体布局规划》提出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“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到2025年，基本形成横向打通、纵向贯通、协调有力的一体化推进格局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，数字中国建设取得重要进展”，在政策指引下，我国数字政府建设步伐不断加快，迎来重要窗口期。公司</w:t>
            </w:r>
            <w:r w:rsidRPr="0043259C">
              <w:rPr>
                <w:rFonts w:ascii="宋体" w:eastAsia="宋体" w:hAnsi="宋体" w:cs="Times New Roman" w:hint="eastAsia"/>
                <w:sz w:val="20"/>
                <w:szCs w:val="20"/>
              </w:rPr>
              <w:t>以促进政府数字化转型为目标，以一网通办、一网统管、一网协同为核心，以数字底座为基础，持续推进政务服务、城市管理、社会治理、政务运行等智能化应用场景产品研发和数据服务化转型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；其中公司着力打造了重庆数字政府“渝快办”平台，属于全国领先的数字化改革新标杆；2023年公司总体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承接项目1</w:t>
            </w:r>
            <w:r w:rsidR="001D51B9">
              <w:rPr>
                <w:rFonts w:ascii="宋体" w:eastAsia="宋体" w:hAnsi="宋体" w:hint="eastAsia"/>
                <w:sz w:val="20"/>
                <w:szCs w:val="20"/>
              </w:rPr>
              <w:t>,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00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多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个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，累计服务项目数接近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6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,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700个。</w:t>
            </w:r>
          </w:p>
          <w:p w14:paraId="0AB52570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政务运营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方面，公司持续推进大模型应用、知识图谱、区块链等新技术在政务服务场景应用，探索运营模式的转型升级，目前已有服务体系包括：数字人云端导办、跨省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通办虚拟云综窗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、数字化坐席等。</w:t>
            </w:r>
          </w:p>
          <w:p w14:paraId="6269E3A5" w14:textId="57CD6A36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sz w:val="20"/>
                <w:szCs w:val="20"/>
              </w:rPr>
              <w:t>在公共数据授权运营方面，各地区、各行业积极展开探索实践，目前处于0到1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起步阶段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，公司已孵化公共数据授权运营平台，助力数据要素流通；同时打造“公共数据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+普惠金融”产品，通过对公共数据的治理、分析与挖潜，构建符合金融机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lastRenderedPageBreak/>
              <w:t>构需求的个人、企业金融大数据模型，赋能银行金融创新发展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。</w:t>
            </w:r>
          </w:p>
          <w:p w14:paraId="5E7F3CBC" w14:textId="087592A2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（3）数字建筑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实现了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营业收入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3.58亿</w:t>
            </w:r>
            <w:r w:rsidR="002158F2">
              <w:rPr>
                <w:rFonts w:ascii="宋体" w:eastAsia="宋体" w:hAnsi="宋体" w:hint="eastAsia"/>
                <w:sz w:val="20"/>
                <w:szCs w:val="20"/>
              </w:rPr>
              <w:t>元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的收入，同比减少2.63%。其中：造价软件收</w:t>
            </w:r>
            <w:r w:rsidRPr="00721BD1">
              <w:rPr>
                <w:rFonts w:ascii="宋体" w:eastAsia="宋体" w:hAnsi="宋体" w:hint="eastAsia"/>
                <w:sz w:val="20"/>
                <w:szCs w:val="20"/>
              </w:rPr>
              <w:t>入1.8</w:t>
            </w:r>
            <w:r w:rsidR="00721BD1" w:rsidRPr="00721BD1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721BD1">
              <w:rPr>
                <w:rFonts w:ascii="宋体" w:eastAsia="宋体" w:hAnsi="宋体"/>
                <w:sz w:val="20"/>
                <w:szCs w:val="20"/>
              </w:rPr>
              <w:t>亿元，占比5</w:t>
            </w:r>
            <w:r w:rsidR="00721BD1" w:rsidRPr="00721BD1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721BD1">
              <w:rPr>
                <w:rFonts w:ascii="宋体" w:eastAsia="宋体" w:hAnsi="宋体"/>
                <w:sz w:val="20"/>
                <w:szCs w:val="20"/>
              </w:rPr>
              <w:t>.</w:t>
            </w:r>
            <w:r w:rsidR="00721BD1" w:rsidRPr="00721BD1">
              <w:rPr>
                <w:rFonts w:ascii="宋体" w:eastAsia="宋体" w:hAnsi="宋体" w:hint="eastAsia"/>
                <w:sz w:val="20"/>
                <w:szCs w:val="20"/>
              </w:rPr>
              <w:t>20</w:t>
            </w:r>
            <w:r w:rsidRPr="00721BD1">
              <w:rPr>
                <w:rFonts w:ascii="宋体" w:eastAsia="宋体" w:hAnsi="宋体" w:hint="eastAsia"/>
                <w:sz w:val="20"/>
                <w:szCs w:val="20"/>
              </w:rPr>
              <w:t>%</w:t>
            </w:r>
            <w:r w:rsidRPr="00721BD1">
              <w:rPr>
                <w:rFonts w:ascii="宋体" w:eastAsia="宋体" w:hAnsi="宋体"/>
                <w:sz w:val="20"/>
                <w:szCs w:val="20"/>
              </w:rPr>
              <w:t>。</w:t>
            </w:r>
          </w:p>
          <w:p w14:paraId="5249E3AB" w14:textId="77777777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sz w:val="20"/>
                <w:szCs w:val="20"/>
              </w:rPr>
              <w:t>公司以政府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端市场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为牵引自上而下的布局，实现政企互通，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助力住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建全生命周期的事项申请、处置和监管，全面提升建筑监管信息化水平。</w:t>
            </w:r>
          </w:p>
          <w:p w14:paraId="69840807" w14:textId="77AFFC1F" w:rsidR="00684514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为住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建部门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打造的“一体化数字住建平台”、“C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IM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+住建”应用体系，以及“智慧燃气监管平台”，会进一步拓展质安</w:t>
            </w:r>
            <w:proofErr w:type="gramStart"/>
            <w:r w:rsidRPr="0043259C">
              <w:rPr>
                <w:rFonts w:ascii="宋体" w:eastAsia="宋体" w:hAnsi="宋体" w:hint="eastAsia"/>
                <w:sz w:val="20"/>
                <w:szCs w:val="20"/>
              </w:rPr>
              <w:t>监业务</w:t>
            </w:r>
            <w:proofErr w:type="gramEnd"/>
            <w:r w:rsidRPr="0043259C">
              <w:rPr>
                <w:rFonts w:ascii="宋体" w:eastAsia="宋体" w:hAnsi="宋体" w:hint="eastAsia"/>
                <w:sz w:val="20"/>
                <w:szCs w:val="20"/>
              </w:rPr>
              <w:t>市场占有率；聚焦以造价软件为核心产品的成本相关业务领域，提供多方协同的整体解决方案。</w:t>
            </w:r>
          </w:p>
          <w:p w14:paraId="0934F6D9" w14:textId="77777777" w:rsidR="00684514" w:rsidRPr="00684514" w:rsidRDefault="00684514" w:rsidP="00684514">
            <w:pPr>
              <w:spacing w:line="360" w:lineRule="auto"/>
              <w:ind w:firstLineChars="200" w:firstLine="402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684514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2、核心财务指标</w:t>
            </w:r>
          </w:p>
          <w:p w14:paraId="4AD2D09B" w14:textId="77503490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净利率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</w:t>
            </w: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  <w:u w:val="single"/>
              </w:rPr>
              <w:t>7.9</w:t>
            </w:r>
            <w:r w:rsidR="001B1F1D">
              <w:rPr>
                <w:rFonts w:ascii="宋体" w:eastAsia="宋体" w:hAnsi="宋体" w:hint="eastAsia"/>
                <w:b/>
                <w:bCs/>
                <w:sz w:val="20"/>
                <w:szCs w:val="20"/>
                <w:u w:val="single"/>
              </w:rPr>
              <w:t>8</w:t>
            </w: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  <w:u w:val="single"/>
              </w:rPr>
              <w:t>%，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同比减少12.3</w:t>
            </w:r>
            <w:r w:rsidR="001B1F1D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个百分点；</w:t>
            </w:r>
            <w:r w:rsidR="002158F2" w:rsidRPr="0043259C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  <w:p w14:paraId="1499B9BB" w14:textId="324026DC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毛利率</w:t>
            </w:r>
            <w:r w:rsidRPr="0043259C">
              <w:rPr>
                <w:rFonts w:ascii="宋体" w:eastAsia="宋体" w:hAnsi="宋体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61.40%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，同比减少4.6</w:t>
            </w:r>
            <w:r w:rsidR="001D51B9">
              <w:rPr>
                <w:rFonts w:ascii="宋体" w:eastAsia="宋体" w:hAnsi="宋体" w:hint="eastAsia"/>
                <w:sz w:val="20"/>
                <w:szCs w:val="20"/>
              </w:rPr>
              <w:t>0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个百分点</w:t>
            </w:r>
            <w:r w:rsidR="00367EEF">
              <w:rPr>
                <w:rFonts w:ascii="宋体" w:eastAsia="宋体" w:hAnsi="宋体" w:hint="eastAsia"/>
                <w:sz w:val="20"/>
                <w:szCs w:val="20"/>
              </w:rPr>
              <w:t>，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因为高毛利率的运营收入下降较多所致</w:t>
            </w:r>
            <w:r w:rsidR="00367EEF">
              <w:rPr>
                <w:rFonts w:ascii="宋体" w:eastAsia="宋体" w:hAnsi="宋体" w:hint="eastAsia"/>
                <w:sz w:val="20"/>
                <w:szCs w:val="20"/>
              </w:rPr>
              <w:t>；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随着公司产品化程度提升、远程交付系统不断完善以及业务规模的优势，我们的产品在行业中还是具有一定的竞争优势，毛利率也一直保持在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60%以上的水平。</w:t>
            </w:r>
          </w:p>
          <w:p w14:paraId="6876F23B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管理费用率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是</w:t>
            </w: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  <w:u w:val="single"/>
              </w:rPr>
              <w:t>7.59%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，同比增加1.09个百分点；</w:t>
            </w:r>
          </w:p>
          <w:p w14:paraId="36379D39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销售费用率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</w:t>
            </w: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  <w:u w:val="single"/>
              </w:rPr>
              <w:t>28.26%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，同比增加3.76个百分点；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  <w:p w14:paraId="0E975ABE" w14:textId="77777777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研发费用率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</w:t>
            </w: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  <w:u w:val="single"/>
              </w:rPr>
              <w:t>21.02%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，同比增加2.41个百分点；</w:t>
            </w:r>
          </w:p>
          <w:p w14:paraId="3F30344E" w14:textId="739FA177" w:rsidR="00A275FE" w:rsidRPr="0043259C" w:rsidRDefault="0043259C" w:rsidP="0043259C">
            <w:pPr>
              <w:spacing w:line="360" w:lineRule="auto"/>
              <w:ind w:firstLineChars="200" w:firstLine="402"/>
              <w:outlineLvl w:val="2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经营活动现金流量净额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为</w:t>
            </w:r>
            <w:r w:rsidR="001B1F1D" w:rsidRPr="001B1F1D">
              <w:rPr>
                <w:rFonts w:ascii="宋体" w:eastAsia="宋体" w:hAnsi="宋体"/>
                <w:sz w:val="20"/>
                <w:szCs w:val="20"/>
              </w:rPr>
              <w:t>5,073.27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万元，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23年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销售回款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25.20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亿元，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和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营收</w:t>
            </w:r>
            <w:r w:rsidRPr="0043259C">
              <w:rPr>
                <w:rFonts w:ascii="宋体" w:eastAsia="宋体" w:hAnsi="宋体" w:hint="eastAsia"/>
                <w:sz w:val="20"/>
                <w:szCs w:val="20"/>
              </w:rPr>
              <w:t>基本匹配</w:t>
            </w:r>
            <w:r w:rsidRPr="0043259C">
              <w:rPr>
                <w:rFonts w:ascii="宋体" w:eastAsia="宋体" w:hAnsi="宋体"/>
                <w:sz w:val="20"/>
                <w:szCs w:val="20"/>
              </w:rPr>
              <w:t>。</w:t>
            </w:r>
          </w:p>
          <w:p w14:paraId="47B0EA9F" w14:textId="77777777" w:rsidR="00E15890" w:rsidRDefault="00E15890" w:rsidP="00E15890">
            <w:pPr>
              <w:spacing w:line="360" w:lineRule="auto"/>
              <w:ind w:firstLineChars="200" w:firstLine="400"/>
              <w:outlineLvl w:val="2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</w:p>
          <w:p w14:paraId="3BAEDE0F" w14:textId="32FA8987" w:rsidR="001D3050" w:rsidRDefault="004D31B0" w:rsidP="004D31B0">
            <w:pPr>
              <w:spacing w:line="360" w:lineRule="auto"/>
              <w:ind w:firstLineChars="200" w:firstLine="402"/>
              <w:outlineLvl w:val="2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二、</w:t>
            </w:r>
            <w:r w:rsidR="00291D9A" w:rsidRPr="004D31B0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随后公司领导就投资者关心的问题作了进一步交流，主要内容如下：</w:t>
            </w:r>
            <w:r w:rsidR="00291D9A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cr/>
              <w:t xml:space="preserve">  </w:t>
            </w:r>
            <w:r w:rsidR="00291D9A" w:rsidRPr="004D31B0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  <w:r w:rsidR="00291D9A" w:rsidRPr="004D31B0"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 w:rsidR="00684514" w:rsidRPr="00684514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202</w:t>
            </w:r>
            <w:r w:rsidR="0043259C"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4</w:t>
            </w:r>
            <w:r w:rsidR="00684514" w:rsidRPr="00684514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年业务展望</w:t>
            </w:r>
            <w:r w:rsidR="00291D9A" w:rsidRPr="004D31B0"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？</w:t>
            </w:r>
          </w:p>
          <w:bookmarkEnd w:id="0"/>
          <w:p w14:paraId="37BBDC26" w14:textId="3223257F" w:rsidR="0043259C" w:rsidRPr="0043259C" w:rsidRDefault="00291D9A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答：</w:t>
            </w:r>
            <w:r w:rsidR="0043259C" w:rsidRPr="0043259C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（</w:t>
            </w:r>
            <w:r w:rsidR="0043259C" w:rsidRPr="0043259C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1）充分利用公司在业务、技术、渠道、资金方面的优势，进一步提高传统业务的市场占有率</w:t>
            </w:r>
          </w:p>
          <w:p w14:paraId="3CF97A6B" w14:textId="0962566D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（</w:t>
            </w:r>
            <w:r w:rsidRPr="0043259C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2）探索业务发展新模式，提高B</w:t>
            </w:r>
            <w:proofErr w:type="gramStart"/>
            <w:r w:rsidRPr="0043259C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端业务</w:t>
            </w:r>
            <w:proofErr w:type="gramEnd"/>
            <w:r w:rsidRPr="0043259C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收入占比</w:t>
            </w:r>
          </w:p>
          <w:p w14:paraId="49DA21D4" w14:textId="77777777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智慧招采：探索企业招标人侧数字化</w:t>
            </w:r>
            <w:proofErr w:type="gramStart"/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采购链主能力</w:t>
            </w:r>
            <w:proofErr w:type="gramEnd"/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，挖掘持续运营的商业模式；提高持续服务投标人的能力，助力投标人提高经营能力和经营效率；</w:t>
            </w:r>
          </w:p>
          <w:p w14:paraId="50509C61" w14:textId="66774C22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智慧政务：充分发挥政府在扶持产业、企业的作用，优化本地营商环境，助力企业服务一体</w:t>
            </w:r>
            <w:r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化；通过对公共数据的深加工和第三方数据的组合应用，产生公共价值和商业价值，赋能</w:t>
            </w:r>
            <w:r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lastRenderedPageBreak/>
              <w:t>数据运营价值化</w:t>
            </w:r>
            <w:r w:rsidR="001D51B9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；</w:t>
            </w:r>
          </w:p>
          <w:p w14:paraId="3F8C1153" w14:textId="77777777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数字建筑：重点推广项目管理平台、智慧工地平台，持续迭代发展算量、造价工具软件和新点造价云平台，并通过全国市场推广、平台服务带动、商业模式创新等措施，持续提高市场份额。</w:t>
            </w:r>
          </w:p>
          <w:p w14:paraId="7B81800E" w14:textId="09B093D0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（</w:t>
            </w:r>
            <w:r w:rsidRPr="0043259C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3）加强技术研发和能力储备，为公司长效增长提供支撑</w:t>
            </w:r>
          </w:p>
          <w:p w14:paraId="321A904C" w14:textId="61DE4A1B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以提升公司整体研发效率、产品质量性能安全、公司产品核心竞争力为总体目标，通过微服务、云原生、低代码开发技术、大数据分析、元宇宙、人工智能及大模型技术等研发投入，持续增强不见面交易支撑、大数据治理与智能分析、国产化</w:t>
            </w:r>
            <w:r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BIM、智能设备开发与运维、应用快速开发支撑等核心技术</w:t>
            </w:r>
            <w:r w:rsidR="00367EEF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先进性</w:t>
            </w:r>
            <w:r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水平。</w:t>
            </w:r>
          </w:p>
          <w:p w14:paraId="401E8D26" w14:textId="562355C6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 w:val="20"/>
                <w:szCs w:val="24"/>
              </w:rPr>
              <w:t>（</w:t>
            </w:r>
            <w:r w:rsidRPr="0043259C"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0"/>
                <w:szCs w:val="24"/>
              </w:rPr>
              <w:t>4）进一步提高公司管理水平</w:t>
            </w:r>
          </w:p>
          <w:p w14:paraId="51569260" w14:textId="6F19C6F7" w:rsidR="00684514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公司将坚持“价值”为导向，牵引公司内部管理优化工作。持续提升营销、交付、内部经营管理分析等工作的后台化、专业化；持续完善公司内部财经体系建设；调整人才结构，优化组织及个人绩效激励模式，提升干部管理体系科学化水平，增强总体作战能力。</w:t>
            </w:r>
          </w:p>
          <w:p w14:paraId="2AD1C663" w14:textId="2C51A94B" w:rsidR="001D3050" w:rsidRPr="004D31B0" w:rsidRDefault="0043259C" w:rsidP="007065D7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402"/>
              <w:outlineLvl w:val="2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3259C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公司在数据要素方面的布局以及进展情况</w:t>
            </w:r>
            <w:r w:rsidR="00E15890" w:rsidRPr="00E15890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？</w:t>
            </w:r>
            <w:r w:rsidR="00A55383" w:rsidRPr="004D31B0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731EB643" w14:textId="77777777" w:rsidR="00367EEF" w:rsidRDefault="00291D9A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bookmarkStart w:id="1" w:name="_Hlk93496551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答：</w:t>
            </w:r>
            <w:r w:rsidR="0043259C"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2023年8月财政部发布《企业数据资源相关会计处理暂行规定》，为数据资源纳入企业财务报表提供了制度性支持</w:t>
            </w:r>
            <w:r w:rsidR="00367EEF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；</w:t>
            </w:r>
            <w:r w:rsidR="0043259C"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10月，国家数据局正式揭牌</w:t>
            </w:r>
            <w:r w:rsidR="00367EEF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；</w:t>
            </w:r>
            <w:r w:rsidR="0043259C"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12月31日，国家数据局等17部门联合印发《“数据要素×”三年行动计划（2024—2026年）》列举了数据要素发挥乘数效应的12个行业和领域，并明确提出到2026年底数</w:t>
            </w:r>
            <w:proofErr w:type="gramStart"/>
            <w:r w:rsidR="0043259C"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据产业</w:t>
            </w:r>
            <w:proofErr w:type="gramEnd"/>
            <w:r w:rsidR="0043259C"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年均增速超过20%</w:t>
            </w:r>
            <w:r w:rsidR="00367EEF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；在政策的驱动下，数据要素市场也在加快推进。</w:t>
            </w:r>
          </w:p>
          <w:p w14:paraId="7BC7B1CA" w14:textId="742CE65F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经过多年的项目拓展</w:t>
            </w:r>
            <w:r w:rsidR="001D51B9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，公司</w:t>
            </w: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已有一定的数据积累，包括原始数据、通过清洗处理后的数据、领域知识数据、以及对数据价值发挥重要作用的算法、模型，客户需求延展和当下数字经济发展战略的同频共振，促使公司从以往数据成果的开发者和应用者向客户决策辅助者、解决方案提供者、数据服务提供者的角色转变。</w:t>
            </w:r>
          </w:p>
          <w:p w14:paraId="3CB03CD5" w14:textId="7E707C72" w:rsidR="001D3050" w:rsidRDefault="0043259C" w:rsidP="00684514">
            <w:pPr>
              <w:spacing w:line="360" w:lineRule="auto"/>
              <w:ind w:firstLineChars="200" w:firstLine="400"/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</w:pPr>
            <w:r w:rsidRPr="0043259C">
              <w:rPr>
                <w:rFonts w:ascii="宋体" w:eastAsia="宋体" w:hAnsi="宋体" w:cs="Times New Roman" w:hint="eastAsia"/>
                <w:color w:val="000000" w:themeColor="text1"/>
                <w:kern w:val="0"/>
                <w:sz w:val="20"/>
                <w:szCs w:val="24"/>
              </w:rPr>
              <w:t>在数据要素市场布局主要为以公共数据授权运营平台</w:t>
            </w:r>
            <w:r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t>+公共数据运营服务为基础，成为综合数据运营服务商。在公共数据</w:t>
            </w:r>
            <w:r w:rsidRPr="0043259C">
              <w:rPr>
                <w:rFonts w:ascii="宋体" w:eastAsia="宋体" w:hAnsi="宋体" w:cs="Times New Roman"/>
                <w:color w:val="000000" w:themeColor="text1"/>
                <w:kern w:val="0"/>
                <w:sz w:val="20"/>
                <w:szCs w:val="24"/>
              </w:rPr>
              <w:lastRenderedPageBreak/>
              <w:t>授权运营方面，各地区、各行业积极展开探索实践，目前处于0到1起步阶段，公司已孵化公共数据授权运营平台，助力数据要素流通；同时打造“公共数据+普惠金融”产品，通过对公共数据的治理、分析与挖潜，构建符合金融机构需求的个人、企业金融大数据模型，赋能银行金融创新发展。</w:t>
            </w:r>
          </w:p>
          <w:bookmarkEnd w:id="1"/>
          <w:p w14:paraId="268F7F87" w14:textId="7B466769" w:rsidR="001D3050" w:rsidRPr="004D31B0" w:rsidRDefault="004D31B0" w:rsidP="004D31B0">
            <w:pPr>
              <w:spacing w:line="360" w:lineRule="auto"/>
              <w:ind w:left="402"/>
              <w:outlineLvl w:val="2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3、</w:t>
            </w:r>
            <w:r w:rsidR="0043259C" w:rsidRPr="0043259C"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20"/>
                <w:szCs w:val="20"/>
              </w:rPr>
              <w:t>AI大模型方面落地情况如何</w:t>
            </w:r>
            <w:r w:rsidR="00A55383" w:rsidRPr="00A55383"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？</w:t>
            </w:r>
          </w:p>
          <w:p w14:paraId="5580298F" w14:textId="6819CA68" w:rsidR="0043259C" w:rsidRPr="0043259C" w:rsidRDefault="00291D9A" w:rsidP="0043259C">
            <w:pPr>
              <w:spacing w:line="360" w:lineRule="auto"/>
              <w:ind w:firstLineChars="200" w:firstLine="400"/>
              <w:rPr>
                <w:rFonts w:ascii="宋体" w:eastAsia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答：</w:t>
            </w:r>
            <w:r w:rsidR="0043259C"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在行业知识计算平台的能力基础上，基于通用大模型和</w:t>
            </w:r>
            <w:r w:rsidR="00596002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招采</w:t>
            </w:r>
            <w:r w:rsidR="0043259C"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、政务和</w:t>
            </w:r>
            <w:r w:rsidR="00596002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建筑</w:t>
            </w:r>
            <w:r w:rsidR="0043259C"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等行业数据，综合应用预训练、微调、</w:t>
            </w:r>
            <w:r w:rsidR="0043259C" w:rsidRPr="0043259C">
              <w:rPr>
                <w:rFonts w:ascii="宋体" w:eastAsia="宋体" w:hAnsi="宋体"/>
                <w:color w:val="000000" w:themeColor="text1"/>
                <w:kern w:val="0"/>
                <w:sz w:val="20"/>
                <w:szCs w:val="20"/>
              </w:rPr>
              <w:t>RAG等技术，构建行业大模型，支撑智能招标投标评标、政务服务数字人等诸多应用场景的智能化。其中：</w:t>
            </w:r>
          </w:p>
          <w:p w14:paraId="30C74969" w14:textId="0C39E507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/>
                <w:color w:val="000000" w:themeColor="text1"/>
                <w:kern w:val="0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智慧政务：打造政务数字人，实现智能化、虚拟化服务咨询、事项办理等多个业务场景应用；在城市治理领域，研发数字化坐席，基于</w:t>
            </w:r>
            <w:proofErr w:type="gramStart"/>
            <w:r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海量工</w:t>
            </w:r>
            <w:proofErr w:type="gramEnd"/>
            <w:r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单信息，为社会治理决策分析提供数据支撑，已在邯郸落地应用。</w:t>
            </w:r>
          </w:p>
          <w:p w14:paraId="68368491" w14:textId="77777777" w:rsidR="00BC50E8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/>
                <w:color w:val="000000" w:themeColor="text1"/>
                <w:kern w:val="0"/>
                <w:sz w:val="20"/>
                <w:szCs w:val="20"/>
              </w:rPr>
            </w:pPr>
            <w:r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智慧招采：赋能投标文件编写、智能</w:t>
            </w:r>
            <w:proofErr w:type="gramStart"/>
            <w:r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自动组价等</w:t>
            </w:r>
            <w:proofErr w:type="gramEnd"/>
            <w:r w:rsidRPr="0043259C">
              <w:rPr>
                <w:rFonts w:ascii="宋体" w:eastAsia="宋体" w:hAnsi="宋体" w:hint="eastAsia"/>
                <w:color w:val="000000" w:themeColor="text1"/>
                <w:kern w:val="0"/>
                <w:sz w:val="20"/>
                <w:szCs w:val="20"/>
              </w:rPr>
              <w:t>投标人高频业务场景，并通过对关键要素进行语义识别，提高投标人搜索和获取投标信息效率；对投标文件进行负面清单检测、格式规范检查，确保文件符合要求和规范，及时规避潜在风险。</w:t>
            </w:r>
          </w:p>
          <w:p w14:paraId="32E68AAD" w14:textId="4F02374E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43259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4、</w:t>
            </w:r>
            <w:r w:rsidRPr="0043259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  <w:t>公司参与数字重庆项目主要是做什么，对公司后续开展数字政府业务有什么影响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？</w:t>
            </w:r>
          </w:p>
          <w:p w14:paraId="2E2E1F0D" w14:textId="2DD507D9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答：</w:t>
            </w:r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公司重点参与数字重庆“渝快办”</w:t>
            </w:r>
            <w:r w:rsidR="00830BDA"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政务服务一体化</w:t>
            </w:r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平台建设，“渝快办”</w:t>
            </w:r>
            <w:r w:rsidR="00830B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平台基于</w:t>
            </w:r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数字重庆“</w:t>
            </w:r>
            <w:r w:rsidRPr="0043259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  <w:t>1361”架构，</w:t>
            </w:r>
            <w:r w:rsidR="00830BDA" w:rsidRPr="00830B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建立了全国首个三网深度融合的办事服务总入口，</w:t>
            </w:r>
            <w:r w:rsidRPr="0043259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  <w:t>依托</w:t>
            </w:r>
            <w:r w:rsidR="00830B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数字重庆</w:t>
            </w:r>
            <w:r w:rsidRPr="0043259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  <w:t>一体化、智能化公共数据平台和数字化三级治理中心，形成了一体化、智能化、集约化、协同化的运行体系，</w:t>
            </w:r>
            <w:r w:rsidR="00830BDA" w:rsidRPr="00830B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形成面向群众“高效办成一件事”能力，</w:t>
            </w:r>
            <w:r w:rsidRPr="0043259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  <w:t>打造了全国领先的数字化改革新标杆。</w:t>
            </w:r>
          </w:p>
          <w:p w14:paraId="62441925" w14:textId="609AD789" w:rsid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公司作为数字重庆公司核心供应商与数字重庆公司全面合作，从项目建设、服务运营、数据服务，探索可持续延伸扩展的模式和经验，具有较高的可复制性，我们有计划向全国推广。</w:t>
            </w:r>
          </w:p>
          <w:p w14:paraId="73776FC4" w14:textId="72A95B21" w:rsidR="0043259C" w:rsidRPr="0043259C" w:rsidRDefault="0043259C" w:rsidP="0043259C">
            <w:pPr>
              <w:spacing w:line="360" w:lineRule="auto"/>
              <w:ind w:firstLineChars="200" w:firstLine="402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43259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5、</w:t>
            </w:r>
            <w:r w:rsidRPr="0043259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  <w:t>公司</w:t>
            </w:r>
            <w:r w:rsidR="001D51B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20</w:t>
            </w:r>
            <w:r w:rsidRPr="0043259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  <w:t>23年经营性现金流为正，在应收</w:t>
            </w:r>
            <w:proofErr w:type="gramStart"/>
            <w:r w:rsidRPr="0043259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  <w:t>款</w:t>
            </w:r>
            <w:r w:rsidR="001D51B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方面</w:t>
            </w:r>
            <w:proofErr w:type="gramEnd"/>
            <w:r w:rsidRPr="0043259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  <w:t>是怎么管理的</w:t>
            </w:r>
            <w:r w:rsidRPr="0043259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？</w:t>
            </w:r>
          </w:p>
          <w:p w14:paraId="46332759" w14:textId="77777777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答：</w:t>
            </w:r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公司的应收账款主要由项目收入产生，客户主要是政府、大型</w:t>
            </w:r>
            <w:proofErr w:type="gramStart"/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央</w:t>
            </w:r>
            <w:proofErr w:type="gramEnd"/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国企，其信用质量较高，产生坏账的风险极低，整体看坏账损失控制方面较好。</w:t>
            </w:r>
          </w:p>
          <w:p w14:paraId="6A1C14E3" w14:textId="0F533F0D" w:rsidR="0043259C" w:rsidRPr="0043259C" w:rsidRDefault="0043259C" w:rsidP="0043259C">
            <w:pPr>
              <w:spacing w:line="360" w:lineRule="auto"/>
              <w:ind w:firstLineChars="200" w:firstLine="400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</w:pPr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lastRenderedPageBreak/>
              <w:t>公司管理层高度重视及事前部署，由专人负责，我们采取一系列措施加强应收款的管理，确保我们的应收</w:t>
            </w:r>
            <w:proofErr w:type="gramStart"/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款账龄结构</w:t>
            </w:r>
            <w:proofErr w:type="gramEnd"/>
            <w:r w:rsidRPr="0043259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相对合理。</w:t>
            </w:r>
            <w:r w:rsidR="001D51B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1"/>
              </w:rPr>
              <w:t>20</w:t>
            </w:r>
            <w:r w:rsidRPr="0043259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1"/>
              </w:rPr>
              <w:t>23年度回款到账率相对理想，为公司经营性现金的储备和可持续发展保驾护航。</w:t>
            </w:r>
          </w:p>
        </w:tc>
      </w:tr>
      <w:tr w:rsidR="001D51B9" w14:paraId="5006DE01" w14:textId="77777777">
        <w:trPr>
          <w:trHeight w:val="397"/>
        </w:trPr>
        <w:tc>
          <w:tcPr>
            <w:tcW w:w="2547" w:type="dxa"/>
            <w:vAlign w:val="center"/>
          </w:tcPr>
          <w:p w14:paraId="6D5080A5" w14:textId="0972E759" w:rsidR="001D51B9" w:rsidRDefault="001D51B9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</w:pPr>
            <w:r w:rsidRPr="001D51B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lastRenderedPageBreak/>
              <w:t>关于本次活动是否涉及应当披露重大信息的说明</w:t>
            </w:r>
          </w:p>
        </w:tc>
        <w:tc>
          <w:tcPr>
            <w:tcW w:w="5749" w:type="dxa"/>
            <w:vAlign w:val="center"/>
          </w:tcPr>
          <w:p w14:paraId="44641F05" w14:textId="69C5FDF0" w:rsidR="001D51B9" w:rsidRDefault="001D51B9">
            <w:pP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</w:pPr>
            <w:r w:rsidRPr="001D51B9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本次活动，公司严格按照相关规定交流沟通，不存在未公开重大信息泄露等情形。</w:t>
            </w:r>
          </w:p>
        </w:tc>
      </w:tr>
      <w:tr w:rsidR="001D3050" w14:paraId="21B0FAF6" w14:textId="77777777">
        <w:trPr>
          <w:trHeight w:val="397"/>
        </w:trPr>
        <w:tc>
          <w:tcPr>
            <w:tcW w:w="2547" w:type="dxa"/>
            <w:vAlign w:val="center"/>
          </w:tcPr>
          <w:p w14:paraId="6C691C61" w14:textId="77777777" w:rsidR="001D3050" w:rsidRDefault="00291D9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附件清单（如有）</w:t>
            </w:r>
          </w:p>
        </w:tc>
        <w:tc>
          <w:tcPr>
            <w:tcW w:w="5749" w:type="dxa"/>
            <w:vAlign w:val="center"/>
          </w:tcPr>
          <w:p w14:paraId="17729453" w14:textId="77777777" w:rsidR="001D3050" w:rsidRDefault="00291D9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无</w:t>
            </w:r>
          </w:p>
        </w:tc>
      </w:tr>
      <w:tr w:rsidR="001D3050" w14:paraId="7C335E0E" w14:textId="77777777">
        <w:trPr>
          <w:trHeight w:val="397"/>
        </w:trPr>
        <w:tc>
          <w:tcPr>
            <w:tcW w:w="2547" w:type="dxa"/>
            <w:vAlign w:val="center"/>
          </w:tcPr>
          <w:p w14:paraId="1D987BCC" w14:textId="77777777" w:rsidR="001D3050" w:rsidRDefault="00291D9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日期</w:t>
            </w:r>
          </w:p>
        </w:tc>
        <w:tc>
          <w:tcPr>
            <w:tcW w:w="5749" w:type="dxa"/>
            <w:vAlign w:val="center"/>
          </w:tcPr>
          <w:p w14:paraId="7DD1FF12" w14:textId="0263E57E" w:rsidR="001D3050" w:rsidRDefault="00291D9A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02</w:t>
            </w:r>
            <w:r w:rsidR="00B81D9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年</w:t>
            </w:r>
            <w:r w:rsidR="00A55383">
              <w:rPr>
                <w:rFonts w:ascii="宋体" w:eastAsia="宋体" w:hAnsi="宋体" w:cs="宋体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月</w:t>
            </w:r>
            <w:r w:rsidR="00A55383">
              <w:rPr>
                <w:rFonts w:ascii="宋体" w:eastAsia="宋体" w:hAnsi="宋体" w:cs="宋体"/>
                <w:kern w:val="0"/>
                <w:sz w:val="20"/>
                <w:szCs w:val="21"/>
              </w:rPr>
              <w:t>1</w:t>
            </w:r>
            <w:r w:rsidR="00B81D9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日</w:t>
            </w:r>
          </w:p>
        </w:tc>
      </w:tr>
    </w:tbl>
    <w:p w14:paraId="526DAF75" w14:textId="77777777" w:rsidR="00A55383" w:rsidRDefault="00A55383">
      <w:pPr>
        <w:spacing w:line="360" w:lineRule="auto"/>
        <w:rPr>
          <w:rFonts w:ascii="宋体" w:eastAsia="宋体" w:hAnsi="宋体"/>
          <w:b/>
          <w:bCs/>
        </w:rPr>
      </w:pPr>
    </w:p>
    <w:p w14:paraId="3E0EDF77" w14:textId="77777777" w:rsidR="00A55383" w:rsidRDefault="00A55383">
      <w:pPr>
        <w:widowControl/>
        <w:jc w:val="left"/>
        <w:rPr>
          <w:rFonts w:ascii="宋体" w:eastAsia="宋体" w:hAnsi="宋体"/>
          <w:b/>
          <w:bCs/>
        </w:rPr>
      </w:pPr>
      <w:r>
        <w:rPr>
          <w:rFonts w:ascii="宋体" w:eastAsia="宋体" w:hAnsi="宋体"/>
          <w:b/>
          <w:bCs/>
        </w:rPr>
        <w:br w:type="page"/>
      </w:r>
    </w:p>
    <w:p w14:paraId="0A36FCD1" w14:textId="54F109B9" w:rsidR="001D3050" w:rsidRDefault="00291D9A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lastRenderedPageBreak/>
        <w:t>附表：参会人员名单（排名不分先后）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2911"/>
      </w:tblGrid>
      <w:tr w:rsidR="001D3050" w14:paraId="046C4BC3" w14:textId="77777777">
        <w:tc>
          <w:tcPr>
            <w:tcW w:w="5537" w:type="dxa"/>
          </w:tcPr>
          <w:p w14:paraId="7A8D8F73" w14:textId="77777777" w:rsidR="001D3050" w:rsidRDefault="00291D9A">
            <w:pPr>
              <w:spacing w:line="276" w:lineRule="auto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机构名称</w:t>
            </w:r>
          </w:p>
          <w:p w14:paraId="1DE5D7F0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红杉中国</w:t>
            </w:r>
          </w:p>
          <w:p w14:paraId="1599D45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中国国际金融股份有限公司</w:t>
            </w:r>
          </w:p>
          <w:p w14:paraId="49744315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全天候私募证券基金投资管理</w:t>
            </w:r>
            <w:r w:rsidRPr="00171762">
              <w:rPr>
                <w:rFonts w:ascii="宋体" w:eastAsia="宋体" w:hAnsi="宋体"/>
                <w:sz w:val="18"/>
                <w:szCs w:val="18"/>
              </w:rPr>
              <w:t>(珠海)合伙企业(有限合伙)</w:t>
            </w:r>
          </w:p>
          <w:p w14:paraId="0C3E53ED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上海峰岚资产管理有限公司</w:t>
            </w:r>
          </w:p>
          <w:p w14:paraId="4E264FA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新华资产管理股份有限公司</w:t>
            </w:r>
          </w:p>
          <w:p w14:paraId="2ECAF8D0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杭州乾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璐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投资管理有限公司</w:t>
            </w:r>
          </w:p>
          <w:p w14:paraId="3BB8050D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申万宏源证券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有限公司</w:t>
            </w:r>
          </w:p>
          <w:p w14:paraId="1DA69420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上海聆泽投资管理有限公司</w:t>
            </w:r>
          </w:p>
          <w:p w14:paraId="1A8D3F4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国新证券股份有限公司自营部</w:t>
            </w:r>
          </w:p>
          <w:p w14:paraId="37C174B7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上海卫宁私募基金管理有限公司</w:t>
            </w:r>
          </w:p>
          <w:p w14:paraId="13A755D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湖南源乘投资管理有限公司</w:t>
            </w:r>
          </w:p>
          <w:p w14:paraId="1595E0C5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平安理财</w:t>
            </w:r>
          </w:p>
          <w:p w14:paraId="31DCA51B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长城财富资产管理股份有限公司</w:t>
            </w:r>
          </w:p>
          <w:p w14:paraId="78B6D7D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长江养老保险股份有限公司</w:t>
            </w:r>
          </w:p>
          <w:p w14:paraId="19836DE9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百嘉基金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管理有限公司</w:t>
            </w:r>
          </w:p>
          <w:p w14:paraId="621C419C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长城财富资产管理股份有限公司</w:t>
            </w:r>
          </w:p>
          <w:p w14:paraId="710DDFD3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建信保险资产管理有限公司</w:t>
            </w:r>
          </w:p>
          <w:p w14:paraId="3C509FE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上海远策投资管理中心</w:t>
            </w:r>
            <w:r w:rsidRPr="00171762">
              <w:rPr>
                <w:rFonts w:ascii="宋体" w:eastAsia="宋体" w:hAnsi="宋体"/>
                <w:sz w:val="18"/>
                <w:szCs w:val="18"/>
              </w:rPr>
              <w:t>(有限合伙)</w:t>
            </w:r>
          </w:p>
          <w:p w14:paraId="7C1363A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上海弘尚资产管理中心（有限合伙）</w:t>
            </w:r>
          </w:p>
          <w:p w14:paraId="0EE36F8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睿远基金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管理有限公司</w:t>
            </w:r>
          </w:p>
          <w:p w14:paraId="463AC17F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招商基金管理有限公司</w:t>
            </w:r>
          </w:p>
          <w:p w14:paraId="571E0019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国金证券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股分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有限公司</w:t>
            </w:r>
          </w:p>
          <w:p w14:paraId="34F6AC8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淡水泉</w:t>
            </w:r>
          </w:p>
          <w:p w14:paraId="76468585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深圳昭图投资管理有限公司</w:t>
            </w:r>
          </w:p>
          <w:p w14:paraId="0A7D3987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海富通基金管理有限公司</w:t>
            </w:r>
          </w:p>
          <w:p w14:paraId="0114AD6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易方达基金管理有限公司</w:t>
            </w:r>
          </w:p>
          <w:p w14:paraId="114D65EC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中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信建投证券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股份有限公司</w:t>
            </w:r>
          </w:p>
          <w:p w14:paraId="614BBAD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景泰利丰基金有限公司</w:t>
            </w:r>
          </w:p>
          <w:p w14:paraId="314CBB77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上海睿扬投资管理有限公司</w:t>
            </w:r>
          </w:p>
          <w:p w14:paraId="67C09A19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上海健顺投资管理有限公司</w:t>
            </w:r>
          </w:p>
          <w:p w14:paraId="62E49110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上海原点资产管理有限公司</w:t>
            </w:r>
          </w:p>
          <w:p w14:paraId="759E06CC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银华基金管理股份有限公司</w:t>
            </w:r>
          </w:p>
          <w:p w14:paraId="4A77C734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西藏源乘投资管理有限公司</w:t>
            </w:r>
          </w:p>
          <w:p w14:paraId="702202E9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循远资产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管理（上海）有限公司</w:t>
            </w:r>
          </w:p>
          <w:p w14:paraId="63D6897F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上海希瓦资产管理有限公司</w:t>
            </w:r>
          </w:p>
          <w:p w14:paraId="3865B9DC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北京诚盛投资管理有限公司</w:t>
            </w:r>
          </w:p>
          <w:p w14:paraId="3197F5E7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平安资产管理有限责任公司</w:t>
            </w:r>
          </w:p>
          <w:p w14:paraId="2DC1759D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建信理财有限责任公司</w:t>
            </w:r>
          </w:p>
          <w:p w14:paraId="71C9C194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浙商基金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管理有限公司</w:t>
            </w:r>
          </w:p>
          <w:p w14:paraId="641437C9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建信养老金管理有限责任公司</w:t>
            </w:r>
          </w:p>
          <w:p w14:paraId="76ACFEF2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国金证券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股分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有限公司</w:t>
            </w:r>
          </w:p>
          <w:p w14:paraId="65BD7D74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恒大人寿保险有限公司</w:t>
            </w:r>
          </w:p>
          <w:p w14:paraId="3182A894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华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福证券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有限责任公司</w:t>
            </w:r>
          </w:p>
          <w:p w14:paraId="7C89FCA5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香港沪光国际投资管理有限公司</w:t>
            </w:r>
          </w:p>
          <w:p w14:paraId="54AE3FB3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中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银资产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管理有限公司</w:t>
            </w:r>
          </w:p>
          <w:p w14:paraId="3BCE9650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太平洋资产管理有限责任公司</w:t>
            </w:r>
          </w:p>
          <w:p w14:paraId="7F693E32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长青藤资产</w:t>
            </w:r>
          </w:p>
          <w:p w14:paraId="0383FAC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嘉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实基金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管理有限公司</w:t>
            </w:r>
          </w:p>
          <w:p w14:paraId="79386C72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上海歌汝私募基金管理有限公司</w:t>
            </w:r>
          </w:p>
          <w:p w14:paraId="04A54E8C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广东正圆私募基金管理有限公司</w:t>
            </w:r>
          </w:p>
          <w:p w14:paraId="54C31186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苏州君榕资产管理有限公司</w:t>
            </w:r>
          </w:p>
          <w:p w14:paraId="5A841227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野村东方国际证券有限公司</w:t>
            </w:r>
          </w:p>
          <w:p w14:paraId="17B93F2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上海混沌投资（集团）有限公司</w:t>
            </w:r>
          </w:p>
          <w:p w14:paraId="38B8A4F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伟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星资产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</w:t>
            </w:r>
            <w:r w:rsidRPr="00171762">
              <w:rPr>
                <w:rFonts w:ascii="宋体" w:eastAsia="宋体" w:hAnsi="宋体"/>
                <w:sz w:val="18"/>
                <w:szCs w:val="18"/>
              </w:rPr>
              <w:t>(上海)有限公司</w:t>
            </w:r>
          </w:p>
          <w:p w14:paraId="1E9D83DB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光大保德信基金管理有限公司</w:t>
            </w:r>
          </w:p>
          <w:p w14:paraId="1BD8202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红土创新基金管理有限公司</w:t>
            </w:r>
          </w:p>
          <w:p w14:paraId="4D566FD4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金元证券股份有限公司</w:t>
            </w:r>
          </w:p>
          <w:p w14:paraId="080CF4E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晋江市晨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翰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私募基金管理有限公司</w:t>
            </w:r>
          </w:p>
          <w:p w14:paraId="741D0AED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上海磐厚投资管理有限公司</w:t>
            </w:r>
          </w:p>
          <w:p w14:paraId="19391658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大家资产管理有限责任公司</w:t>
            </w:r>
          </w:p>
          <w:p w14:paraId="3E1AE557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中意资产管理有限责任公司</w:t>
            </w:r>
          </w:p>
          <w:p w14:paraId="28DD1D5D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上海勤辰私募基金管理合伙企业</w:t>
            </w:r>
            <w:r w:rsidRPr="00171762">
              <w:rPr>
                <w:rFonts w:ascii="宋体" w:eastAsia="宋体" w:hAnsi="宋体"/>
                <w:sz w:val="18"/>
                <w:szCs w:val="18"/>
              </w:rPr>
              <w:t>(有限合伙)</w:t>
            </w:r>
          </w:p>
          <w:p w14:paraId="45BC3BB2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东方证券股份有限公司</w:t>
            </w:r>
          </w:p>
          <w:p w14:paraId="614AFD5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鹏华基金管理有限公司</w:t>
            </w:r>
          </w:p>
          <w:p w14:paraId="14E6F9F5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银华基金管理股份有限公司</w:t>
            </w:r>
          </w:p>
          <w:p w14:paraId="7C0FFAAD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中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银资产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管理有限公司</w:t>
            </w:r>
          </w:p>
          <w:p w14:paraId="0C10B46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上海和谐汇一资产管理有限公司</w:t>
            </w:r>
          </w:p>
          <w:p w14:paraId="77E5F9D5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国金证券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股分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有限公司</w:t>
            </w:r>
          </w:p>
          <w:p w14:paraId="4CAE4A7A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浙江浙商证券资产管理有限公司</w:t>
            </w:r>
          </w:p>
          <w:p w14:paraId="556C0BF3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华泰证券</w:t>
            </w:r>
            <w:r w:rsidRPr="00171762">
              <w:rPr>
                <w:rFonts w:ascii="宋体" w:eastAsia="宋体" w:hAnsi="宋体"/>
                <w:sz w:val="18"/>
                <w:szCs w:val="18"/>
              </w:rPr>
              <w:t>(上海)资产管理有限公司</w:t>
            </w:r>
          </w:p>
          <w:p w14:paraId="2D135D1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上海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于翼资产</w:t>
            </w:r>
            <w:proofErr w:type="gramEnd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管理合伙企业</w:t>
            </w:r>
          </w:p>
          <w:p w14:paraId="5AE81AB1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国泰证券投资信托股份有限公司</w:t>
            </w:r>
          </w:p>
          <w:p w14:paraId="1554ED7E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茂源资本</w:t>
            </w:r>
          </w:p>
          <w:p w14:paraId="7627B18B" w14:textId="77777777" w:rsidR="00171762" w:rsidRPr="00171762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proofErr w:type="spellStart"/>
            <w:r w:rsidRPr="00171762">
              <w:rPr>
                <w:rFonts w:ascii="宋体" w:eastAsia="宋体" w:hAnsi="宋体"/>
                <w:sz w:val="18"/>
                <w:szCs w:val="18"/>
              </w:rPr>
              <w:t>Taikang</w:t>
            </w:r>
            <w:proofErr w:type="spellEnd"/>
            <w:r w:rsidRPr="00171762">
              <w:rPr>
                <w:rFonts w:ascii="宋体" w:eastAsia="宋体" w:hAnsi="宋体"/>
                <w:sz w:val="18"/>
                <w:szCs w:val="18"/>
              </w:rPr>
              <w:t xml:space="preserve"> Asset Management HK Company Limited</w:t>
            </w:r>
          </w:p>
          <w:p w14:paraId="65E686D7" w14:textId="6BD3193B" w:rsidR="001D3050" w:rsidRDefault="00171762" w:rsidP="00171762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中邮人寿保险股份有限公司</w:t>
            </w:r>
          </w:p>
        </w:tc>
        <w:tc>
          <w:tcPr>
            <w:tcW w:w="2985" w:type="dxa"/>
          </w:tcPr>
          <w:p w14:paraId="57CFC1D1" w14:textId="77777777" w:rsidR="001D3050" w:rsidRDefault="00291D9A">
            <w:pPr>
              <w:spacing w:line="276" w:lineRule="auto"/>
              <w:jc w:val="righ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lastRenderedPageBreak/>
              <w:t>姓名</w:t>
            </w:r>
          </w:p>
          <w:p w14:paraId="72165922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/>
                <w:sz w:val="18"/>
                <w:szCs w:val="18"/>
              </w:rPr>
              <w:t>Yan Huichen</w:t>
            </w:r>
          </w:p>
          <w:p w14:paraId="5E666AE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艾柯达</w:t>
            </w:r>
          </w:p>
          <w:p w14:paraId="1A2116C9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蔡淇丞</w:t>
            </w:r>
          </w:p>
          <w:p w14:paraId="0273ED32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蔡荣转</w:t>
            </w:r>
          </w:p>
          <w:p w14:paraId="345F5847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陈朝阳</w:t>
            </w:r>
          </w:p>
          <w:p w14:paraId="48CA6FB7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陈少楠</w:t>
            </w:r>
          </w:p>
          <w:p w14:paraId="192C9ABF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邓湘伟</w:t>
            </w:r>
          </w:p>
          <w:p w14:paraId="5F394E0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翟云龙</w:t>
            </w:r>
          </w:p>
          <w:p w14:paraId="3472542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樊志斌</w:t>
            </w:r>
          </w:p>
          <w:p w14:paraId="21143E0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付诚成</w:t>
            </w:r>
            <w:proofErr w:type="gramEnd"/>
          </w:p>
          <w:p w14:paraId="209D74A8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高飚</w:t>
            </w:r>
          </w:p>
          <w:p w14:paraId="53911524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贺顺利</w:t>
            </w:r>
          </w:p>
          <w:p w14:paraId="7FE4E42F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胡纪元</w:t>
            </w:r>
          </w:p>
          <w:p w14:paraId="0B12E4AD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黄学军</w:t>
            </w:r>
          </w:p>
          <w:p w14:paraId="6EDB6F3A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黄艺明</w:t>
            </w:r>
          </w:p>
          <w:p w14:paraId="7346EE9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江维</w:t>
            </w:r>
          </w:p>
          <w:p w14:paraId="033D08A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孔硕</w:t>
            </w:r>
          </w:p>
          <w:p w14:paraId="5780CB4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李博</w:t>
            </w:r>
          </w:p>
          <w:p w14:paraId="03022A07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李国斌</w:t>
            </w:r>
          </w:p>
          <w:p w14:paraId="0512F582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李武</w:t>
            </w:r>
          </w:p>
          <w:p w14:paraId="43614117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李崟</w:t>
            </w:r>
          </w:p>
          <w:p w14:paraId="050AD70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李忠宇</w:t>
            </w:r>
          </w:p>
          <w:p w14:paraId="0BE8F82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林盛蓝</w:t>
            </w:r>
          </w:p>
          <w:p w14:paraId="03839468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林钰雄</w:t>
            </w:r>
          </w:p>
          <w:p w14:paraId="69E116C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刘海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啸</w:t>
            </w:r>
            <w:proofErr w:type="gramEnd"/>
          </w:p>
          <w:p w14:paraId="7B337E39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刘岚</w:t>
            </w:r>
          </w:p>
          <w:p w14:paraId="017E37D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刘岚</w:t>
            </w:r>
          </w:p>
          <w:p w14:paraId="622FD7A4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吕伟志</w:t>
            </w:r>
          </w:p>
          <w:p w14:paraId="6070877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屈霞</w:t>
            </w:r>
          </w:p>
          <w:p w14:paraId="5808EFB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邵伟</w:t>
            </w:r>
          </w:p>
          <w:p w14:paraId="69E0138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石翔</w:t>
            </w:r>
          </w:p>
          <w:p w14:paraId="5459B453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唐能</w:t>
            </w:r>
          </w:p>
          <w:p w14:paraId="1067BA48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唐亚丹</w:t>
            </w:r>
          </w:p>
          <w:p w14:paraId="766225BC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田超平</w:t>
            </w:r>
            <w:proofErr w:type="gramEnd"/>
          </w:p>
          <w:p w14:paraId="2E4E856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田闯</w:t>
            </w:r>
          </w:p>
          <w:p w14:paraId="155F72E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完永东</w:t>
            </w:r>
            <w:proofErr w:type="gramEnd"/>
          </w:p>
          <w:p w14:paraId="09C76574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万淑珊</w:t>
            </w:r>
          </w:p>
          <w:p w14:paraId="418BD7B3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汪径尘</w:t>
            </w:r>
            <w:proofErr w:type="gramEnd"/>
          </w:p>
          <w:p w14:paraId="2CDECF96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王斌</w:t>
            </w:r>
          </w:p>
          <w:p w14:paraId="7ACE73FF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王天乐</w:t>
            </w:r>
          </w:p>
          <w:p w14:paraId="5D44FAEA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王妍</w:t>
            </w:r>
          </w:p>
          <w:p w14:paraId="3A5AD7D2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魏大千</w:t>
            </w:r>
          </w:p>
          <w:p w14:paraId="4A1673F2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魏征宇</w:t>
            </w:r>
          </w:p>
          <w:p w14:paraId="5A6AF0E4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吴滨</w:t>
            </w:r>
          </w:p>
          <w:p w14:paraId="53A83CD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吴锦尧</w:t>
            </w:r>
          </w:p>
          <w:p w14:paraId="7832A7B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吴晓丹</w:t>
            </w:r>
          </w:p>
          <w:p w14:paraId="4A583C38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谢树平</w:t>
            </w:r>
          </w:p>
          <w:p w14:paraId="360B013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谢泽林</w:t>
            </w:r>
          </w:p>
          <w:p w14:paraId="5F398E43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邢晓迪</w:t>
            </w:r>
          </w:p>
          <w:p w14:paraId="3E139BE6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熊小铭</w:t>
            </w:r>
          </w:p>
          <w:p w14:paraId="11508E3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熊晓峰</w:t>
            </w:r>
          </w:p>
          <w:p w14:paraId="5A6B93CA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徐也清</w:t>
            </w:r>
          </w:p>
          <w:p w14:paraId="6C1189B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徐中杰</w:t>
            </w:r>
          </w:p>
          <w:p w14:paraId="77DE244C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杨克华</w:t>
            </w:r>
          </w:p>
          <w:p w14:paraId="2023759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杨文健</w:t>
            </w:r>
          </w:p>
          <w:p w14:paraId="0B61FC31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杨一</w:t>
            </w:r>
          </w:p>
          <w:p w14:paraId="4914A656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杨影菲</w:t>
            </w:r>
          </w:p>
          <w:p w14:paraId="383E1679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游文</w:t>
            </w: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坚</w:t>
            </w:r>
            <w:proofErr w:type="gramEnd"/>
          </w:p>
          <w:p w14:paraId="40F0E2A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于昀田</w:t>
            </w:r>
          </w:p>
          <w:p w14:paraId="7433A0BD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袁林</w:t>
            </w:r>
          </w:p>
          <w:p w14:paraId="7BAA79D4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臧怡</w:t>
            </w:r>
          </w:p>
          <w:p w14:paraId="5610ADEE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张航</w:t>
            </w:r>
          </w:p>
          <w:p w14:paraId="58ED5D4C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张开元</w:t>
            </w:r>
          </w:p>
          <w:p w14:paraId="252124A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张雷</w:t>
            </w:r>
          </w:p>
          <w:p w14:paraId="0387A756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张梦龙</w:t>
            </w:r>
          </w:p>
          <w:p w14:paraId="062B361C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张岩松</w:t>
            </w:r>
          </w:p>
          <w:p w14:paraId="42C7759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章溢漫</w:t>
            </w:r>
            <w:proofErr w:type="gramEnd"/>
          </w:p>
          <w:p w14:paraId="78F5E149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赵彤</w:t>
            </w:r>
          </w:p>
          <w:p w14:paraId="0BD0B4C5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赵媛</w:t>
            </w:r>
          </w:p>
          <w:p w14:paraId="60B397CC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郑栋</w:t>
            </w:r>
          </w:p>
          <w:p w14:paraId="64D349B8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郑晓明</w:t>
            </w:r>
          </w:p>
          <w:p w14:paraId="18C0052B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郑宗杰</w:t>
            </w:r>
            <w:proofErr w:type="gramEnd"/>
          </w:p>
          <w:p w14:paraId="1992F6A0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钟华</w:t>
            </w:r>
          </w:p>
          <w:p w14:paraId="360C0DD9" w14:textId="77777777" w:rsidR="00171762" w:rsidRPr="00171762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1762">
              <w:rPr>
                <w:rFonts w:ascii="宋体" w:eastAsia="宋体" w:hAnsi="宋体" w:hint="eastAsia"/>
                <w:sz w:val="18"/>
                <w:szCs w:val="18"/>
              </w:rPr>
              <w:t>周昊</w:t>
            </w:r>
          </w:p>
          <w:p w14:paraId="76004BE3" w14:textId="4000C382" w:rsidR="001D3050" w:rsidRDefault="00171762" w:rsidP="00171762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171762">
              <w:rPr>
                <w:rFonts w:ascii="宋体" w:eastAsia="宋体" w:hAnsi="宋体" w:hint="eastAsia"/>
                <w:sz w:val="18"/>
                <w:szCs w:val="18"/>
              </w:rPr>
              <w:t>朱战宇</w:t>
            </w:r>
            <w:proofErr w:type="gramEnd"/>
          </w:p>
        </w:tc>
      </w:tr>
    </w:tbl>
    <w:p w14:paraId="49A33AE7" w14:textId="77777777" w:rsidR="001D3050" w:rsidRDefault="001D3050">
      <w:pPr>
        <w:rPr>
          <w:rFonts w:ascii="宋体" w:eastAsia="宋体" w:hAnsi="宋体"/>
        </w:rPr>
      </w:pPr>
    </w:p>
    <w:sectPr w:rsidR="001D3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D75C6" w14:textId="77777777" w:rsidR="000C4CF3" w:rsidRDefault="000C4CF3" w:rsidP="00A275FE">
      <w:r>
        <w:separator/>
      </w:r>
    </w:p>
  </w:endnote>
  <w:endnote w:type="continuationSeparator" w:id="0">
    <w:p w14:paraId="69934E4A" w14:textId="77777777" w:rsidR="000C4CF3" w:rsidRDefault="000C4CF3" w:rsidP="00A2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03AB7" w14:textId="77777777" w:rsidR="000C4CF3" w:rsidRDefault="000C4CF3" w:rsidP="00A275FE">
      <w:r>
        <w:separator/>
      </w:r>
    </w:p>
  </w:footnote>
  <w:footnote w:type="continuationSeparator" w:id="0">
    <w:p w14:paraId="0CB08783" w14:textId="77777777" w:rsidR="000C4CF3" w:rsidRDefault="000C4CF3" w:rsidP="00A2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5762C"/>
    <w:multiLevelType w:val="multilevel"/>
    <w:tmpl w:val="B70E3EBA"/>
    <w:lvl w:ilvl="0">
      <w:start w:val="2"/>
      <w:numFmt w:val="japaneseCounting"/>
      <w:lvlText w:val="%1、"/>
      <w:lvlJc w:val="left"/>
      <w:pPr>
        <w:ind w:left="834" w:hanging="432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242" w:hanging="420"/>
      </w:pPr>
    </w:lvl>
    <w:lvl w:ilvl="2">
      <w:start w:val="1"/>
      <w:numFmt w:val="lowerRoman"/>
      <w:lvlText w:val="%3."/>
      <w:lvlJc w:val="right"/>
      <w:pPr>
        <w:ind w:left="1662" w:hanging="420"/>
      </w:pPr>
    </w:lvl>
    <w:lvl w:ilvl="3">
      <w:start w:val="1"/>
      <w:numFmt w:val="decimal"/>
      <w:lvlText w:val="%4."/>
      <w:lvlJc w:val="left"/>
      <w:pPr>
        <w:ind w:left="2082" w:hanging="420"/>
      </w:pPr>
    </w:lvl>
    <w:lvl w:ilvl="4">
      <w:start w:val="1"/>
      <w:numFmt w:val="lowerLetter"/>
      <w:lvlText w:val="%5)"/>
      <w:lvlJc w:val="left"/>
      <w:pPr>
        <w:ind w:left="2502" w:hanging="420"/>
      </w:pPr>
    </w:lvl>
    <w:lvl w:ilvl="5">
      <w:start w:val="1"/>
      <w:numFmt w:val="lowerRoman"/>
      <w:lvlText w:val="%6."/>
      <w:lvlJc w:val="right"/>
      <w:pPr>
        <w:ind w:left="2922" w:hanging="420"/>
      </w:pPr>
    </w:lvl>
    <w:lvl w:ilvl="6">
      <w:start w:val="1"/>
      <w:numFmt w:val="decimal"/>
      <w:lvlText w:val="%7."/>
      <w:lvlJc w:val="left"/>
      <w:pPr>
        <w:ind w:left="3342" w:hanging="420"/>
      </w:pPr>
    </w:lvl>
    <w:lvl w:ilvl="7">
      <w:start w:val="1"/>
      <w:numFmt w:val="lowerLetter"/>
      <w:lvlText w:val="%8)"/>
      <w:lvlJc w:val="left"/>
      <w:pPr>
        <w:ind w:left="3762" w:hanging="420"/>
      </w:pPr>
    </w:lvl>
    <w:lvl w:ilvl="8">
      <w:start w:val="1"/>
      <w:numFmt w:val="lowerRoman"/>
      <w:lvlText w:val="%9."/>
      <w:lvlJc w:val="right"/>
      <w:pPr>
        <w:ind w:left="4182" w:hanging="420"/>
      </w:pPr>
    </w:lvl>
  </w:abstractNum>
  <w:abstractNum w:abstractNumId="1" w15:restartNumberingAfterBreak="0">
    <w:nsid w:val="36EF1F4C"/>
    <w:multiLevelType w:val="hybridMultilevel"/>
    <w:tmpl w:val="EC029724"/>
    <w:lvl w:ilvl="0" w:tplc="A0625A4C">
      <w:start w:val="4"/>
      <w:numFmt w:val="decimal"/>
      <w:lvlText w:val="%1、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2" w15:restartNumberingAfterBreak="0">
    <w:nsid w:val="6A1D2555"/>
    <w:multiLevelType w:val="hybridMultilevel"/>
    <w:tmpl w:val="2BD028AA"/>
    <w:lvl w:ilvl="0" w:tplc="D3AE6BE2">
      <w:start w:val="2"/>
      <w:numFmt w:val="decimal"/>
      <w:lvlText w:val="%1、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num w:numId="1" w16cid:durableId="752894357">
    <w:abstractNumId w:val="0"/>
  </w:num>
  <w:num w:numId="2" w16cid:durableId="682510373">
    <w:abstractNumId w:val="2"/>
  </w:num>
  <w:num w:numId="3" w16cid:durableId="30312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8B"/>
    <w:rsid w:val="0003692E"/>
    <w:rsid w:val="00037AC0"/>
    <w:rsid w:val="00040AB0"/>
    <w:rsid w:val="0005277A"/>
    <w:rsid w:val="0005411D"/>
    <w:rsid w:val="00075F5A"/>
    <w:rsid w:val="000843DA"/>
    <w:rsid w:val="000A5334"/>
    <w:rsid w:val="000B3A86"/>
    <w:rsid w:val="000B4E6D"/>
    <w:rsid w:val="000C17EF"/>
    <w:rsid w:val="000C416A"/>
    <w:rsid w:val="000C4CF3"/>
    <w:rsid w:val="000C7EFC"/>
    <w:rsid w:val="000F317B"/>
    <w:rsid w:val="000F4A7E"/>
    <w:rsid w:val="000F6753"/>
    <w:rsid w:val="00140C43"/>
    <w:rsid w:val="00143802"/>
    <w:rsid w:val="00146727"/>
    <w:rsid w:val="00152CB5"/>
    <w:rsid w:val="00154D57"/>
    <w:rsid w:val="00156BA4"/>
    <w:rsid w:val="00163FF0"/>
    <w:rsid w:val="0016415E"/>
    <w:rsid w:val="00170F59"/>
    <w:rsid w:val="00171762"/>
    <w:rsid w:val="0018452C"/>
    <w:rsid w:val="001847E0"/>
    <w:rsid w:val="00193111"/>
    <w:rsid w:val="00196A42"/>
    <w:rsid w:val="001B033E"/>
    <w:rsid w:val="001B1F1D"/>
    <w:rsid w:val="001B45D4"/>
    <w:rsid w:val="001C5682"/>
    <w:rsid w:val="001D3050"/>
    <w:rsid w:val="001D51B9"/>
    <w:rsid w:val="001E699E"/>
    <w:rsid w:val="002066FD"/>
    <w:rsid w:val="002158F2"/>
    <w:rsid w:val="00234228"/>
    <w:rsid w:val="00283102"/>
    <w:rsid w:val="00291D9A"/>
    <w:rsid w:val="002F665A"/>
    <w:rsid w:val="0031022D"/>
    <w:rsid w:val="00312112"/>
    <w:rsid w:val="003156A5"/>
    <w:rsid w:val="00321508"/>
    <w:rsid w:val="00337863"/>
    <w:rsid w:val="00341565"/>
    <w:rsid w:val="00351B28"/>
    <w:rsid w:val="00363637"/>
    <w:rsid w:val="00367EEF"/>
    <w:rsid w:val="00374F25"/>
    <w:rsid w:val="00390FD7"/>
    <w:rsid w:val="0039153B"/>
    <w:rsid w:val="00393D2F"/>
    <w:rsid w:val="003B2BAC"/>
    <w:rsid w:val="003D7521"/>
    <w:rsid w:val="003D79ED"/>
    <w:rsid w:val="003F1124"/>
    <w:rsid w:val="003F1E45"/>
    <w:rsid w:val="004036DC"/>
    <w:rsid w:val="004104A1"/>
    <w:rsid w:val="004275CB"/>
    <w:rsid w:val="0043113C"/>
    <w:rsid w:val="0043259C"/>
    <w:rsid w:val="00471822"/>
    <w:rsid w:val="00477BA2"/>
    <w:rsid w:val="00480874"/>
    <w:rsid w:val="004C3FB3"/>
    <w:rsid w:val="004D31B0"/>
    <w:rsid w:val="004F6175"/>
    <w:rsid w:val="00510B67"/>
    <w:rsid w:val="0051365E"/>
    <w:rsid w:val="0052454E"/>
    <w:rsid w:val="00537BFF"/>
    <w:rsid w:val="00547936"/>
    <w:rsid w:val="00570EAB"/>
    <w:rsid w:val="005775B2"/>
    <w:rsid w:val="00580429"/>
    <w:rsid w:val="00591DF2"/>
    <w:rsid w:val="00596002"/>
    <w:rsid w:val="005A3810"/>
    <w:rsid w:val="005C2799"/>
    <w:rsid w:val="005C4F27"/>
    <w:rsid w:val="005D0954"/>
    <w:rsid w:val="005D3B0B"/>
    <w:rsid w:val="005D61C5"/>
    <w:rsid w:val="005E7BDD"/>
    <w:rsid w:val="00625AEE"/>
    <w:rsid w:val="00630AFE"/>
    <w:rsid w:val="0063121D"/>
    <w:rsid w:val="006510BD"/>
    <w:rsid w:val="0065628B"/>
    <w:rsid w:val="00666AD3"/>
    <w:rsid w:val="00675343"/>
    <w:rsid w:val="00681EFD"/>
    <w:rsid w:val="00684514"/>
    <w:rsid w:val="00684793"/>
    <w:rsid w:val="006A7E1D"/>
    <w:rsid w:val="006B431F"/>
    <w:rsid w:val="006D3D9C"/>
    <w:rsid w:val="006E0931"/>
    <w:rsid w:val="006E2253"/>
    <w:rsid w:val="006E65F6"/>
    <w:rsid w:val="006E6F92"/>
    <w:rsid w:val="0070489E"/>
    <w:rsid w:val="007065D7"/>
    <w:rsid w:val="00721BD1"/>
    <w:rsid w:val="00764770"/>
    <w:rsid w:val="007672B7"/>
    <w:rsid w:val="00772041"/>
    <w:rsid w:val="007819AC"/>
    <w:rsid w:val="007A5064"/>
    <w:rsid w:val="007C26F4"/>
    <w:rsid w:val="00830BDA"/>
    <w:rsid w:val="00835D25"/>
    <w:rsid w:val="00865EDB"/>
    <w:rsid w:val="00886459"/>
    <w:rsid w:val="008930F3"/>
    <w:rsid w:val="008C2F56"/>
    <w:rsid w:val="008C3E39"/>
    <w:rsid w:val="00926E8B"/>
    <w:rsid w:val="009327FA"/>
    <w:rsid w:val="00935FCF"/>
    <w:rsid w:val="009443EE"/>
    <w:rsid w:val="00960EBE"/>
    <w:rsid w:val="00962A89"/>
    <w:rsid w:val="00966E5C"/>
    <w:rsid w:val="009A30EE"/>
    <w:rsid w:val="009C3767"/>
    <w:rsid w:val="00A13BB1"/>
    <w:rsid w:val="00A275FE"/>
    <w:rsid w:val="00A34E5F"/>
    <w:rsid w:val="00A379C7"/>
    <w:rsid w:val="00A42C11"/>
    <w:rsid w:val="00A55383"/>
    <w:rsid w:val="00A631D2"/>
    <w:rsid w:val="00A64F78"/>
    <w:rsid w:val="00A870E0"/>
    <w:rsid w:val="00AA1E5E"/>
    <w:rsid w:val="00AA381A"/>
    <w:rsid w:val="00AD57F5"/>
    <w:rsid w:val="00B60E83"/>
    <w:rsid w:val="00B81D97"/>
    <w:rsid w:val="00BB7B16"/>
    <w:rsid w:val="00BC4603"/>
    <w:rsid w:val="00BC50E8"/>
    <w:rsid w:val="00BE7A17"/>
    <w:rsid w:val="00C134F2"/>
    <w:rsid w:val="00C32076"/>
    <w:rsid w:val="00C33926"/>
    <w:rsid w:val="00C44670"/>
    <w:rsid w:val="00C743BB"/>
    <w:rsid w:val="00C750A5"/>
    <w:rsid w:val="00CB4C91"/>
    <w:rsid w:val="00CD1A08"/>
    <w:rsid w:val="00CE18D7"/>
    <w:rsid w:val="00CF5ADD"/>
    <w:rsid w:val="00D07F1B"/>
    <w:rsid w:val="00D23957"/>
    <w:rsid w:val="00D54D13"/>
    <w:rsid w:val="00D575C7"/>
    <w:rsid w:val="00D70F02"/>
    <w:rsid w:val="00D844EC"/>
    <w:rsid w:val="00D85012"/>
    <w:rsid w:val="00D94E28"/>
    <w:rsid w:val="00D96F4D"/>
    <w:rsid w:val="00DA7B3C"/>
    <w:rsid w:val="00DB1F52"/>
    <w:rsid w:val="00DC2F20"/>
    <w:rsid w:val="00DD702A"/>
    <w:rsid w:val="00DE7B04"/>
    <w:rsid w:val="00DF428C"/>
    <w:rsid w:val="00E04407"/>
    <w:rsid w:val="00E048EF"/>
    <w:rsid w:val="00E07F4E"/>
    <w:rsid w:val="00E15890"/>
    <w:rsid w:val="00E22C33"/>
    <w:rsid w:val="00E2406C"/>
    <w:rsid w:val="00E26258"/>
    <w:rsid w:val="00E43D41"/>
    <w:rsid w:val="00E63DA8"/>
    <w:rsid w:val="00E756A8"/>
    <w:rsid w:val="00E76D2F"/>
    <w:rsid w:val="00EA1E0F"/>
    <w:rsid w:val="00EA2134"/>
    <w:rsid w:val="00EB2A4E"/>
    <w:rsid w:val="00EB3EEC"/>
    <w:rsid w:val="00EE2B5E"/>
    <w:rsid w:val="00EE6804"/>
    <w:rsid w:val="00EE79AE"/>
    <w:rsid w:val="00EF5BD4"/>
    <w:rsid w:val="00F12288"/>
    <w:rsid w:val="00F31BEE"/>
    <w:rsid w:val="00F32609"/>
    <w:rsid w:val="00F64EC5"/>
    <w:rsid w:val="00F81129"/>
    <w:rsid w:val="00F85D9E"/>
    <w:rsid w:val="00FA4182"/>
    <w:rsid w:val="00FC08F5"/>
    <w:rsid w:val="00FC0B78"/>
    <w:rsid w:val="00FC780D"/>
    <w:rsid w:val="00FE281D"/>
    <w:rsid w:val="00FF0798"/>
    <w:rsid w:val="00FF2A49"/>
    <w:rsid w:val="1C1D24F1"/>
    <w:rsid w:val="2DB41456"/>
    <w:rsid w:val="53A23157"/>
    <w:rsid w:val="696E21A2"/>
    <w:rsid w:val="74965F18"/>
    <w:rsid w:val="7AF42D02"/>
    <w:rsid w:val="7F1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DBE84"/>
  <w15:docId w15:val="{366D78F9-CD57-4810-82E3-23151A5D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037AC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37AC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37AC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7AC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37AC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7A50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A3F24C-909D-4F85-A42C-A3B9C45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166</TotalTime>
  <Pages>8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红梅</dc:creator>
  <cp:lastModifiedBy>杨</cp:lastModifiedBy>
  <cp:revision>35</cp:revision>
  <cp:lastPrinted>2022-03-03T06:11:00Z</cp:lastPrinted>
  <dcterms:created xsi:type="dcterms:W3CDTF">2022-04-14T12:07:00Z</dcterms:created>
  <dcterms:modified xsi:type="dcterms:W3CDTF">2024-04-12T08:50:00Z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84DA7AF322EB4017AEDC905D2160F5EE</vt:lpwstr>
  </property>
</Properties>
</file>