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F5B36" w14:textId="2F3B3DDE" w:rsidR="00C71F7D" w:rsidRDefault="00C71F7D" w:rsidP="00C71F7D">
      <w:pPr>
        <w:jc w:val="left"/>
        <w:rPr>
          <w:rFonts w:ascii="宋体" w:eastAsia="宋体" w:hAnsi="宋体" w:cs="宋体"/>
          <w:b/>
          <w:color w:val="000000"/>
          <w:sz w:val="24"/>
          <w:szCs w:val="24"/>
        </w:rPr>
      </w:pPr>
      <w:r>
        <w:rPr>
          <w:rFonts w:ascii="宋体" w:eastAsia="宋体" w:hAnsi="宋体" w:cs="宋体" w:hint="eastAsia"/>
          <w:b/>
          <w:color w:val="000000"/>
          <w:sz w:val="24"/>
          <w:szCs w:val="24"/>
        </w:rPr>
        <w:t>证券代码：603990      证券简称：麦迪科技          编号：</w:t>
      </w:r>
      <w:r w:rsidR="00F300E1">
        <w:rPr>
          <w:rFonts w:ascii="宋体" w:eastAsia="宋体" w:hAnsi="宋体" w:cs="宋体" w:hint="eastAsia"/>
          <w:b/>
          <w:color w:val="000000"/>
          <w:sz w:val="24"/>
          <w:szCs w:val="24"/>
        </w:rPr>
        <w:t>2024-001</w:t>
      </w:r>
    </w:p>
    <w:p w14:paraId="14DB06C1" w14:textId="77777777" w:rsidR="00C71F7D" w:rsidRDefault="00C71F7D" w:rsidP="00C71F7D">
      <w:pPr>
        <w:rPr>
          <w:rFonts w:ascii="宋体" w:eastAsia="宋体" w:hAnsi="宋体" w:cs="宋体"/>
          <w:b/>
          <w:color w:val="000000"/>
          <w:sz w:val="24"/>
          <w:szCs w:val="24"/>
        </w:rPr>
      </w:pPr>
    </w:p>
    <w:p w14:paraId="319ECF50" w14:textId="77777777" w:rsidR="00C71F7D" w:rsidRDefault="00C71F7D" w:rsidP="00C71F7D">
      <w:pPr>
        <w:jc w:val="center"/>
        <w:rPr>
          <w:rFonts w:ascii="宋体" w:eastAsia="宋体" w:hAnsi="宋体" w:cs="宋体"/>
          <w:b/>
          <w:color w:val="000000"/>
          <w:sz w:val="24"/>
          <w:szCs w:val="24"/>
        </w:rPr>
      </w:pPr>
      <w:r>
        <w:rPr>
          <w:rFonts w:ascii="宋体" w:eastAsia="宋体" w:hAnsi="宋体" w:cs="宋体" w:hint="eastAsia"/>
          <w:b/>
          <w:color w:val="000000"/>
          <w:sz w:val="24"/>
          <w:szCs w:val="24"/>
        </w:rPr>
        <w:t>苏州麦迪斯顿医疗科技股份有限公司</w:t>
      </w:r>
    </w:p>
    <w:p w14:paraId="3484088E" w14:textId="77777777" w:rsidR="00C71F7D" w:rsidRDefault="00C71F7D" w:rsidP="00C71F7D">
      <w:pPr>
        <w:jc w:val="center"/>
        <w:rPr>
          <w:rFonts w:ascii="宋体" w:eastAsia="宋体" w:hAnsi="宋体" w:cs="宋体"/>
          <w:b/>
          <w:color w:val="000000"/>
          <w:sz w:val="24"/>
          <w:szCs w:val="24"/>
        </w:rPr>
      </w:pPr>
      <w:r>
        <w:rPr>
          <w:rFonts w:ascii="宋体" w:eastAsia="宋体" w:hAnsi="宋体" w:cs="宋体" w:hint="eastAsia"/>
          <w:b/>
          <w:color w:val="000000"/>
          <w:sz w:val="24"/>
          <w:szCs w:val="24"/>
        </w:rPr>
        <w:t>投资者关系活动记录表</w:t>
      </w:r>
    </w:p>
    <w:p w14:paraId="4848F6EB" w14:textId="77777777" w:rsidR="00C71F7D" w:rsidRDefault="00C71F7D" w:rsidP="00C71F7D">
      <w:pPr>
        <w:jc w:val="center"/>
        <w:rPr>
          <w:rFonts w:ascii="宋体" w:hAnsi="宋体" w:cs="华文细黑"/>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6"/>
        <w:gridCol w:w="2149"/>
        <w:gridCol w:w="2069"/>
        <w:gridCol w:w="2082"/>
      </w:tblGrid>
      <w:tr w:rsidR="00C71F7D" w:rsidRPr="008C0E5D" w14:paraId="26512D07" w14:textId="77777777" w:rsidTr="0072593A">
        <w:trPr>
          <w:trHeight w:val="452"/>
        </w:trPr>
        <w:tc>
          <w:tcPr>
            <w:tcW w:w="1996" w:type="dxa"/>
            <w:shd w:val="clear" w:color="auto" w:fill="auto"/>
          </w:tcPr>
          <w:p w14:paraId="32356C37" w14:textId="77777777" w:rsidR="00C71F7D" w:rsidRPr="008C0E5D" w:rsidRDefault="00C71F7D" w:rsidP="0072593A">
            <w:pPr>
              <w:spacing w:line="480" w:lineRule="auto"/>
              <w:jc w:val="left"/>
              <w:rPr>
                <w:rFonts w:ascii="宋体" w:eastAsia="宋体" w:hAnsi="宋体" w:cs="宋体"/>
                <w:b/>
                <w:color w:val="000000"/>
                <w:sz w:val="24"/>
                <w:szCs w:val="24"/>
              </w:rPr>
            </w:pPr>
            <w:r w:rsidRPr="008C0E5D">
              <w:rPr>
                <w:rFonts w:ascii="宋体" w:eastAsia="宋体" w:hAnsi="宋体" w:cs="宋体" w:hint="eastAsia"/>
                <w:b/>
                <w:color w:val="000000"/>
                <w:sz w:val="24"/>
                <w:szCs w:val="24"/>
              </w:rPr>
              <w:t>日期</w:t>
            </w:r>
          </w:p>
        </w:tc>
        <w:tc>
          <w:tcPr>
            <w:tcW w:w="2149" w:type="dxa"/>
            <w:shd w:val="clear" w:color="auto" w:fill="auto"/>
          </w:tcPr>
          <w:p w14:paraId="46854176" w14:textId="6947078E" w:rsidR="00C71F7D" w:rsidRPr="008C0E5D" w:rsidRDefault="00EC5F10" w:rsidP="00C27B8F">
            <w:pPr>
              <w:spacing w:line="480" w:lineRule="auto"/>
              <w:jc w:val="left"/>
              <w:rPr>
                <w:rFonts w:ascii="宋体" w:eastAsia="宋体" w:hAnsi="宋体" w:cs="宋体"/>
                <w:color w:val="000000"/>
                <w:sz w:val="24"/>
                <w:szCs w:val="24"/>
              </w:rPr>
            </w:pPr>
            <w:r>
              <w:rPr>
                <w:rFonts w:ascii="宋体" w:eastAsia="宋体" w:hAnsi="宋体" w:cs="宋体" w:hint="eastAsia"/>
                <w:color w:val="000000"/>
                <w:sz w:val="24"/>
                <w:szCs w:val="24"/>
              </w:rPr>
              <w:t>2</w:t>
            </w:r>
            <w:r>
              <w:rPr>
                <w:rFonts w:ascii="宋体" w:eastAsia="宋体" w:hAnsi="宋体" w:cs="宋体"/>
                <w:color w:val="000000"/>
                <w:sz w:val="24"/>
                <w:szCs w:val="24"/>
              </w:rPr>
              <w:t>02</w:t>
            </w:r>
            <w:r w:rsidR="00C27B8F">
              <w:rPr>
                <w:rFonts w:ascii="宋体" w:eastAsia="宋体" w:hAnsi="宋体" w:cs="宋体"/>
                <w:color w:val="000000"/>
                <w:sz w:val="24"/>
                <w:szCs w:val="24"/>
              </w:rPr>
              <w:t>4</w:t>
            </w:r>
            <w:r>
              <w:rPr>
                <w:rFonts w:ascii="宋体" w:eastAsia="宋体" w:hAnsi="宋体" w:cs="宋体" w:hint="eastAsia"/>
                <w:color w:val="000000"/>
                <w:sz w:val="24"/>
                <w:szCs w:val="24"/>
              </w:rPr>
              <w:t>.</w:t>
            </w:r>
            <w:r w:rsidR="00801D17">
              <w:rPr>
                <w:rFonts w:ascii="宋体" w:eastAsia="宋体" w:hAnsi="宋体" w:cs="宋体" w:hint="eastAsia"/>
                <w:color w:val="000000"/>
                <w:sz w:val="24"/>
                <w:szCs w:val="24"/>
              </w:rPr>
              <w:t>4</w:t>
            </w:r>
            <w:r>
              <w:rPr>
                <w:rFonts w:ascii="宋体" w:eastAsia="宋体" w:hAnsi="宋体" w:cs="宋体"/>
                <w:color w:val="000000"/>
                <w:sz w:val="24"/>
                <w:szCs w:val="24"/>
              </w:rPr>
              <w:t>.</w:t>
            </w:r>
            <w:r w:rsidR="00801D17">
              <w:rPr>
                <w:rFonts w:ascii="宋体" w:eastAsia="宋体" w:hAnsi="宋体" w:cs="宋体" w:hint="eastAsia"/>
                <w:color w:val="000000"/>
                <w:sz w:val="24"/>
                <w:szCs w:val="24"/>
              </w:rPr>
              <w:t>12</w:t>
            </w:r>
          </w:p>
        </w:tc>
        <w:tc>
          <w:tcPr>
            <w:tcW w:w="2069" w:type="dxa"/>
            <w:shd w:val="clear" w:color="auto" w:fill="auto"/>
          </w:tcPr>
          <w:p w14:paraId="012D30A6" w14:textId="77777777" w:rsidR="00C71F7D" w:rsidRPr="008C0E5D" w:rsidRDefault="00C71F7D" w:rsidP="0072593A">
            <w:pPr>
              <w:spacing w:line="480" w:lineRule="auto"/>
              <w:jc w:val="left"/>
              <w:rPr>
                <w:rFonts w:ascii="宋体" w:eastAsia="宋体" w:hAnsi="宋体" w:cs="宋体"/>
                <w:b/>
                <w:color w:val="000000"/>
                <w:sz w:val="24"/>
                <w:szCs w:val="24"/>
              </w:rPr>
            </w:pPr>
            <w:r w:rsidRPr="008C0E5D">
              <w:rPr>
                <w:rFonts w:ascii="宋体" w:eastAsia="宋体" w:hAnsi="宋体" w:cs="宋体" w:hint="eastAsia"/>
                <w:b/>
                <w:color w:val="000000"/>
                <w:sz w:val="24"/>
                <w:szCs w:val="24"/>
              </w:rPr>
              <w:t>时间</w:t>
            </w:r>
          </w:p>
        </w:tc>
        <w:tc>
          <w:tcPr>
            <w:tcW w:w="2082" w:type="dxa"/>
            <w:shd w:val="clear" w:color="auto" w:fill="auto"/>
          </w:tcPr>
          <w:p w14:paraId="3DB00F8B" w14:textId="251B8687" w:rsidR="00C71F7D" w:rsidRPr="008C0E5D" w:rsidRDefault="00E54709" w:rsidP="0072593A">
            <w:pPr>
              <w:spacing w:line="480" w:lineRule="auto"/>
              <w:jc w:val="left"/>
              <w:rPr>
                <w:rFonts w:ascii="宋体" w:eastAsia="宋体" w:hAnsi="宋体" w:cs="宋体"/>
                <w:color w:val="000000"/>
                <w:sz w:val="24"/>
                <w:szCs w:val="24"/>
              </w:rPr>
            </w:pPr>
            <w:r>
              <w:rPr>
                <w:rFonts w:ascii="宋体" w:eastAsia="宋体" w:hAnsi="宋体" w:cs="宋体"/>
                <w:color w:val="000000"/>
                <w:sz w:val="24"/>
                <w:szCs w:val="24"/>
              </w:rPr>
              <w:t>10</w:t>
            </w:r>
            <w:r w:rsidR="00EC5F10">
              <w:rPr>
                <w:rFonts w:ascii="宋体" w:eastAsia="宋体" w:hAnsi="宋体" w:cs="宋体" w:hint="eastAsia"/>
                <w:color w:val="000000"/>
                <w:sz w:val="24"/>
                <w:szCs w:val="24"/>
              </w:rPr>
              <w:t>：0</w:t>
            </w:r>
            <w:r w:rsidR="00EC5F10">
              <w:rPr>
                <w:rFonts w:ascii="宋体" w:eastAsia="宋体" w:hAnsi="宋体" w:cs="宋体"/>
                <w:color w:val="000000"/>
                <w:sz w:val="24"/>
                <w:szCs w:val="24"/>
              </w:rPr>
              <w:t>0</w:t>
            </w:r>
          </w:p>
        </w:tc>
      </w:tr>
      <w:tr w:rsidR="00C71F7D" w:rsidRPr="008C0E5D" w14:paraId="64463B2E" w14:textId="77777777" w:rsidTr="0072593A">
        <w:trPr>
          <w:trHeight w:val="467"/>
        </w:trPr>
        <w:tc>
          <w:tcPr>
            <w:tcW w:w="1996" w:type="dxa"/>
            <w:shd w:val="clear" w:color="auto" w:fill="auto"/>
          </w:tcPr>
          <w:p w14:paraId="13392935" w14:textId="77777777" w:rsidR="00C71F7D" w:rsidRPr="008C0E5D" w:rsidRDefault="00C71F7D" w:rsidP="0072593A">
            <w:pPr>
              <w:spacing w:line="480" w:lineRule="auto"/>
              <w:jc w:val="left"/>
              <w:rPr>
                <w:rFonts w:ascii="宋体" w:eastAsia="宋体" w:hAnsi="宋体" w:cs="宋体"/>
                <w:b/>
                <w:color w:val="000000"/>
                <w:sz w:val="24"/>
                <w:szCs w:val="24"/>
              </w:rPr>
            </w:pPr>
            <w:r w:rsidRPr="008C0E5D">
              <w:rPr>
                <w:rFonts w:ascii="宋体" w:eastAsia="宋体" w:hAnsi="宋体" w:cs="宋体" w:hint="eastAsia"/>
                <w:b/>
                <w:color w:val="000000"/>
                <w:sz w:val="24"/>
                <w:szCs w:val="24"/>
              </w:rPr>
              <w:t>地点</w:t>
            </w:r>
          </w:p>
        </w:tc>
        <w:tc>
          <w:tcPr>
            <w:tcW w:w="6300" w:type="dxa"/>
            <w:gridSpan w:val="3"/>
            <w:shd w:val="clear" w:color="auto" w:fill="auto"/>
          </w:tcPr>
          <w:p w14:paraId="12EE8A8F" w14:textId="5A29A81A" w:rsidR="00B40B35" w:rsidRPr="008C0E5D" w:rsidRDefault="00801D17" w:rsidP="0072593A">
            <w:pPr>
              <w:spacing w:line="480" w:lineRule="auto"/>
              <w:jc w:val="left"/>
              <w:rPr>
                <w:rFonts w:ascii="宋体" w:eastAsia="宋体" w:hAnsi="宋体" w:cs="宋体"/>
                <w:color w:val="000000"/>
                <w:sz w:val="24"/>
                <w:szCs w:val="24"/>
              </w:rPr>
            </w:pPr>
            <w:r>
              <w:rPr>
                <w:rFonts w:ascii="宋体" w:eastAsia="宋体" w:hAnsi="宋体" w:cs="宋体" w:hint="eastAsia"/>
                <w:color w:val="000000"/>
                <w:sz w:val="24"/>
                <w:szCs w:val="24"/>
              </w:rPr>
              <w:t>线上平台</w:t>
            </w:r>
          </w:p>
        </w:tc>
      </w:tr>
      <w:tr w:rsidR="00C71F7D" w:rsidRPr="008C0E5D" w14:paraId="1AD00B5C" w14:textId="77777777" w:rsidTr="0072593A">
        <w:trPr>
          <w:trHeight w:val="3333"/>
        </w:trPr>
        <w:tc>
          <w:tcPr>
            <w:tcW w:w="1996" w:type="dxa"/>
            <w:shd w:val="clear" w:color="auto" w:fill="auto"/>
            <w:vAlign w:val="center"/>
          </w:tcPr>
          <w:p w14:paraId="75594C7E" w14:textId="77777777" w:rsidR="00C71F7D" w:rsidRPr="008C0E5D" w:rsidRDefault="00C71F7D" w:rsidP="0072593A">
            <w:pPr>
              <w:spacing w:line="480" w:lineRule="auto"/>
              <w:rPr>
                <w:rFonts w:ascii="宋体" w:eastAsia="宋体" w:hAnsi="宋体" w:cs="宋体"/>
                <w:b/>
                <w:color w:val="000000"/>
                <w:sz w:val="24"/>
                <w:szCs w:val="24"/>
              </w:rPr>
            </w:pPr>
            <w:r w:rsidRPr="008C0E5D">
              <w:rPr>
                <w:rFonts w:ascii="宋体" w:eastAsia="宋体" w:hAnsi="宋体" w:cs="宋体" w:hint="eastAsia"/>
                <w:b/>
                <w:color w:val="000000"/>
                <w:sz w:val="24"/>
                <w:szCs w:val="24"/>
              </w:rPr>
              <w:t>投资者关系活动形式</w:t>
            </w:r>
          </w:p>
        </w:tc>
        <w:tc>
          <w:tcPr>
            <w:tcW w:w="6300" w:type="dxa"/>
            <w:gridSpan w:val="3"/>
            <w:shd w:val="clear" w:color="auto" w:fill="auto"/>
          </w:tcPr>
          <w:p w14:paraId="7DD8767B" w14:textId="2ED72723" w:rsidR="00C71F7D" w:rsidRPr="008C0E5D" w:rsidRDefault="007525C1" w:rsidP="0072593A">
            <w:pPr>
              <w:tabs>
                <w:tab w:val="left" w:pos="2418"/>
              </w:tabs>
              <w:autoSpaceDE w:val="0"/>
              <w:autoSpaceDN w:val="0"/>
              <w:spacing w:before="1"/>
              <w:ind w:left="107"/>
              <w:jc w:val="left"/>
              <w:rPr>
                <w:rFonts w:ascii="宋体" w:eastAsia="宋体" w:hAnsi="宋体" w:cs="宋体"/>
                <w:kern w:val="0"/>
                <w:sz w:val="24"/>
                <w:szCs w:val="24"/>
                <w:lang w:val="zh-CN" w:bidi="zh-CN"/>
              </w:rPr>
            </w:pPr>
            <w:r>
              <w:rPr>
                <w:rFonts w:ascii="宋体" w:eastAsia="宋体" w:hAnsi="宋体" w:cs="宋体" w:hint="eastAsia"/>
                <w:kern w:val="0"/>
                <w:sz w:val="24"/>
                <w:szCs w:val="24"/>
                <w:lang w:val="zh-CN" w:bidi="zh-CN"/>
              </w:rPr>
              <w:t>√</w:t>
            </w:r>
            <w:r w:rsidR="00C71F7D" w:rsidRPr="008C0E5D">
              <w:rPr>
                <w:rFonts w:ascii="宋体" w:eastAsia="宋体" w:hAnsi="宋体" w:cs="宋体" w:hint="eastAsia"/>
                <w:kern w:val="0"/>
                <w:sz w:val="24"/>
                <w:szCs w:val="24"/>
                <w:lang w:val="zh-CN" w:bidi="zh-CN"/>
              </w:rPr>
              <w:t>特</w:t>
            </w:r>
            <w:r w:rsidR="00C71F7D" w:rsidRPr="008C0E5D">
              <w:rPr>
                <w:rFonts w:ascii="宋体" w:eastAsia="宋体" w:hAnsi="宋体" w:cs="宋体" w:hint="eastAsia"/>
                <w:spacing w:val="-3"/>
                <w:kern w:val="0"/>
                <w:sz w:val="24"/>
                <w:szCs w:val="24"/>
                <w:lang w:val="zh-CN" w:bidi="zh-CN"/>
              </w:rPr>
              <w:t>定</w:t>
            </w:r>
            <w:r w:rsidR="00C71F7D" w:rsidRPr="008C0E5D">
              <w:rPr>
                <w:rFonts w:ascii="宋体" w:eastAsia="宋体" w:hAnsi="宋体" w:cs="宋体" w:hint="eastAsia"/>
                <w:kern w:val="0"/>
                <w:sz w:val="24"/>
                <w:szCs w:val="24"/>
                <w:lang w:val="zh-CN" w:bidi="zh-CN"/>
              </w:rPr>
              <w:t>对</w:t>
            </w:r>
            <w:r w:rsidR="00C71F7D" w:rsidRPr="008C0E5D">
              <w:rPr>
                <w:rFonts w:ascii="宋体" w:eastAsia="宋体" w:hAnsi="宋体" w:cs="宋体" w:hint="eastAsia"/>
                <w:spacing w:val="-3"/>
                <w:kern w:val="0"/>
                <w:sz w:val="24"/>
                <w:szCs w:val="24"/>
                <w:lang w:val="zh-CN" w:bidi="zh-CN"/>
              </w:rPr>
              <w:t>象</w:t>
            </w:r>
            <w:r w:rsidR="00C71F7D" w:rsidRPr="008C0E5D">
              <w:rPr>
                <w:rFonts w:ascii="宋体" w:eastAsia="宋体" w:hAnsi="宋体" w:cs="宋体" w:hint="eastAsia"/>
                <w:kern w:val="0"/>
                <w:sz w:val="24"/>
                <w:szCs w:val="24"/>
                <w:lang w:val="zh-CN" w:bidi="zh-CN"/>
              </w:rPr>
              <w:t>调研</w:t>
            </w:r>
            <w:r w:rsidR="00C71F7D" w:rsidRPr="008C0E5D">
              <w:rPr>
                <w:rFonts w:ascii="宋体" w:eastAsia="宋体" w:hAnsi="宋体" w:cs="宋体" w:hint="eastAsia"/>
                <w:kern w:val="0"/>
                <w:sz w:val="24"/>
                <w:szCs w:val="24"/>
                <w:lang w:val="zh-CN" w:bidi="zh-CN"/>
              </w:rPr>
              <w:tab/>
              <w:t>□分</w:t>
            </w:r>
            <w:r w:rsidR="00C71F7D" w:rsidRPr="008C0E5D">
              <w:rPr>
                <w:rFonts w:ascii="宋体" w:eastAsia="宋体" w:hAnsi="宋体" w:cs="宋体" w:hint="eastAsia"/>
                <w:spacing w:val="-3"/>
                <w:kern w:val="0"/>
                <w:sz w:val="24"/>
                <w:szCs w:val="24"/>
                <w:lang w:val="zh-CN" w:bidi="zh-CN"/>
              </w:rPr>
              <w:t>析</w:t>
            </w:r>
            <w:r w:rsidR="00C71F7D" w:rsidRPr="008C0E5D">
              <w:rPr>
                <w:rFonts w:ascii="宋体" w:eastAsia="宋体" w:hAnsi="宋体" w:cs="宋体" w:hint="eastAsia"/>
                <w:kern w:val="0"/>
                <w:sz w:val="24"/>
                <w:szCs w:val="24"/>
                <w:lang w:val="zh-CN" w:bidi="zh-CN"/>
              </w:rPr>
              <w:t>师</w:t>
            </w:r>
            <w:r w:rsidR="00C71F7D" w:rsidRPr="008C0E5D">
              <w:rPr>
                <w:rFonts w:ascii="宋体" w:eastAsia="宋体" w:hAnsi="宋体" w:cs="宋体" w:hint="eastAsia"/>
                <w:spacing w:val="-3"/>
                <w:kern w:val="0"/>
                <w:sz w:val="24"/>
                <w:szCs w:val="24"/>
                <w:lang w:val="zh-CN" w:bidi="zh-CN"/>
              </w:rPr>
              <w:t>会</w:t>
            </w:r>
            <w:r w:rsidR="00C71F7D" w:rsidRPr="008C0E5D">
              <w:rPr>
                <w:rFonts w:ascii="宋体" w:eastAsia="宋体" w:hAnsi="宋体" w:cs="宋体" w:hint="eastAsia"/>
                <w:kern w:val="0"/>
                <w:sz w:val="24"/>
                <w:szCs w:val="24"/>
                <w:lang w:val="zh-CN" w:bidi="zh-CN"/>
              </w:rPr>
              <w:t>议</w:t>
            </w:r>
          </w:p>
          <w:p w14:paraId="74463E7F" w14:textId="77777777" w:rsidR="00C71F7D" w:rsidRPr="008C0E5D" w:rsidRDefault="00C71F7D" w:rsidP="0072593A">
            <w:pPr>
              <w:autoSpaceDE w:val="0"/>
              <w:autoSpaceDN w:val="0"/>
              <w:spacing w:before="11"/>
              <w:jc w:val="left"/>
              <w:rPr>
                <w:rFonts w:ascii="宋体" w:eastAsia="宋体" w:hAnsi="宋体" w:cs="宋体"/>
                <w:kern w:val="0"/>
                <w:sz w:val="24"/>
                <w:szCs w:val="24"/>
                <w:lang w:val="zh-CN" w:bidi="zh-CN"/>
              </w:rPr>
            </w:pPr>
          </w:p>
          <w:p w14:paraId="45D88B0B" w14:textId="0F16BE1D" w:rsidR="00C71F7D" w:rsidRPr="008C0E5D" w:rsidRDefault="00C71F7D" w:rsidP="0072593A">
            <w:pPr>
              <w:tabs>
                <w:tab w:val="left" w:pos="2418"/>
              </w:tabs>
              <w:autoSpaceDE w:val="0"/>
              <w:autoSpaceDN w:val="0"/>
              <w:ind w:left="107"/>
              <w:jc w:val="left"/>
              <w:rPr>
                <w:rFonts w:ascii="宋体" w:eastAsia="宋体" w:hAnsi="宋体" w:cs="宋体"/>
                <w:kern w:val="0"/>
                <w:sz w:val="24"/>
                <w:szCs w:val="24"/>
                <w:lang w:val="zh-CN" w:bidi="zh-CN"/>
              </w:rPr>
            </w:pPr>
            <w:r w:rsidRPr="008C0E5D">
              <w:rPr>
                <w:rFonts w:ascii="宋体" w:eastAsia="宋体" w:hAnsi="宋体" w:cs="宋体" w:hint="eastAsia"/>
                <w:kern w:val="0"/>
                <w:sz w:val="24"/>
                <w:szCs w:val="24"/>
                <w:lang w:val="zh-CN" w:bidi="zh-CN"/>
              </w:rPr>
              <w:t>□媒</w:t>
            </w:r>
            <w:r w:rsidRPr="008C0E5D">
              <w:rPr>
                <w:rFonts w:ascii="宋体" w:eastAsia="宋体" w:hAnsi="宋体" w:cs="宋体" w:hint="eastAsia"/>
                <w:spacing w:val="-3"/>
                <w:kern w:val="0"/>
                <w:sz w:val="24"/>
                <w:szCs w:val="24"/>
                <w:lang w:val="zh-CN" w:bidi="zh-CN"/>
              </w:rPr>
              <w:t>体</w:t>
            </w:r>
            <w:r w:rsidRPr="008C0E5D">
              <w:rPr>
                <w:rFonts w:ascii="宋体" w:eastAsia="宋体" w:hAnsi="宋体" w:cs="宋体" w:hint="eastAsia"/>
                <w:kern w:val="0"/>
                <w:sz w:val="24"/>
                <w:szCs w:val="24"/>
                <w:lang w:val="zh-CN" w:bidi="zh-CN"/>
              </w:rPr>
              <w:t>采访</w:t>
            </w:r>
            <w:r w:rsidRPr="008C0E5D">
              <w:rPr>
                <w:rFonts w:ascii="宋体" w:eastAsia="宋体" w:hAnsi="宋体" w:cs="宋体" w:hint="eastAsia"/>
                <w:kern w:val="0"/>
                <w:sz w:val="24"/>
                <w:szCs w:val="24"/>
                <w:lang w:val="zh-CN" w:bidi="zh-CN"/>
              </w:rPr>
              <w:tab/>
            </w:r>
            <w:r w:rsidR="007525C1" w:rsidRPr="008C0E5D">
              <w:rPr>
                <w:rFonts w:ascii="宋体" w:eastAsia="宋体" w:hAnsi="宋体" w:cs="宋体" w:hint="eastAsia"/>
                <w:kern w:val="0"/>
                <w:sz w:val="24"/>
                <w:szCs w:val="24"/>
                <w:lang w:val="zh-CN" w:bidi="zh-CN"/>
              </w:rPr>
              <w:t>□</w:t>
            </w:r>
            <w:r w:rsidRPr="008C0E5D">
              <w:rPr>
                <w:rFonts w:ascii="宋体" w:eastAsia="宋体" w:hAnsi="宋体" w:cs="宋体" w:hint="eastAsia"/>
                <w:kern w:val="0"/>
                <w:sz w:val="24"/>
                <w:szCs w:val="24"/>
                <w:lang w:val="zh-CN" w:bidi="zh-CN"/>
              </w:rPr>
              <w:t>业</w:t>
            </w:r>
            <w:r w:rsidRPr="008C0E5D">
              <w:rPr>
                <w:rFonts w:ascii="宋体" w:eastAsia="宋体" w:hAnsi="宋体" w:cs="宋体" w:hint="eastAsia"/>
                <w:spacing w:val="-3"/>
                <w:kern w:val="0"/>
                <w:sz w:val="24"/>
                <w:szCs w:val="24"/>
                <w:lang w:val="zh-CN" w:bidi="zh-CN"/>
              </w:rPr>
              <w:t>绩</w:t>
            </w:r>
            <w:r w:rsidRPr="008C0E5D">
              <w:rPr>
                <w:rFonts w:ascii="宋体" w:eastAsia="宋体" w:hAnsi="宋体" w:cs="宋体" w:hint="eastAsia"/>
                <w:kern w:val="0"/>
                <w:sz w:val="24"/>
                <w:szCs w:val="24"/>
                <w:lang w:val="zh-CN" w:bidi="zh-CN"/>
              </w:rPr>
              <w:t>说</w:t>
            </w:r>
            <w:r w:rsidRPr="008C0E5D">
              <w:rPr>
                <w:rFonts w:ascii="宋体" w:eastAsia="宋体" w:hAnsi="宋体" w:cs="宋体" w:hint="eastAsia"/>
                <w:spacing w:val="-3"/>
                <w:kern w:val="0"/>
                <w:sz w:val="24"/>
                <w:szCs w:val="24"/>
                <w:lang w:val="zh-CN" w:bidi="zh-CN"/>
              </w:rPr>
              <w:t>明</w:t>
            </w:r>
            <w:r w:rsidRPr="008C0E5D">
              <w:rPr>
                <w:rFonts w:ascii="宋体" w:eastAsia="宋体" w:hAnsi="宋体" w:cs="宋体" w:hint="eastAsia"/>
                <w:kern w:val="0"/>
                <w:sz w:val="24"/>
                <w:szCs w:val="24"/>
                <w:lang w:val="zh-CN" w:bidi="zh-CN"/>
              </w:rPr>
              <w:t>会</w:t>
            </w:r>
          </w:p>
          <w:p w14:paraId="1F5AF70B" w14:textId="77777777" w:rsidR="00C71F7D" w:rsidRPr="008C0E5D" w:rsidRDefault="00C71F7D" w:rsidP="0072593A">
            <w:pPr>
              <w:autoSpaceDE w:val="0"/>
              <w:autoSpaceDN w:val="0"/>
              <w:spacing w:before="8"/>
              <w:jc w:val="left"/>
              <w:rPr>
                <w:rFonts w:ascii="宋体" w:eastAsia="宋体" w:hAnsi="宋体" w:cs="宋体"/>
                <w:kern w:val="0"/>
                <w:sz w:val="24"/>
                <w:szCs w:val="24"/>
                <w:lang w:val="zh-CN" w:bidi="zh-CN"/>
              </w:rPr>
            </w:pPr>
          </w:p>
          <w:p w14:paraId="7FC436DC" w14:textId="77777777" w:rsidR="00C71F7D" w:rsidRPr="008C0E5D" w:rsidRDefault="00C71F7D" w:rsidP="0072593A">
            <w:pPr>
              <w:tabs>
                <w:tab w:val="left" w:pos="2418"/>
              </w:tabs>
              <w:autoSpaceDE w:val="0"/>
              <w:autoSpaceDN w:val="0"/>
              <w:ind w:left="107"/>
              <w:jc w:val="left"/>
              <w:rPr>
                <w:rFonts w:ascii="宋体" w:eastAsia="宋体" w:hAnsi="宋体" w:cs="宋体"/>
                <w:kern w:val="0"/>
                <w:sz w:val="24"/>
                <w:szCs w:val="24"/>
                <w:lang w:val="zh-CN" w:bidi="zh-CN"/>
              </w:rPr>
            </w:pPr>
            <w:r w:rsidRPr="008C0E5D">
              <w:rPr>
                <w:rFonts w:ascii="宋体" w:eastAsia="宋体" w:hAnsi="宋体" w:cs="宋体" w:hint="eastAsia"/>
                <w:kern w:val="0"/>
                <w:sz w:val="24"/>
                <w:szCs w:val="24"/>
                <w:lang w:val="zh-CN" w:bidi="zh-CN"/>
              </w:rPr>
              <w:t>□新</w:t>
            </w:r>
            <w:r w:rsidRPr="008C0E5D">
              <w:rPr>
                <w:rFonts w:ascii="宋体" w:eastAsia="宋体" w:hAnsi="宋体" w:cs="宋体" w:hint="eastAsia"/>
                <w:spacing w:val="-3"/>
                <w:kern w:val="0"/>
                <w:sz w:val="24"/>
                <w:szCs w:val="24"/>
                <w:lang w:val="zh-CN" w:bidi="zh-CN"/>
              </w:rPr>
              <w:t>闻</w:t>
            </w:r>
            <w:r w:rsidRPr="008C0E5D">
              <w:rPr>
                <w:rFonts w:ascii="宋体" w:eastAsia="宋体" w:hAnsi="宋体" w:cs="宋体" w:hint="eastAsia"/>
                <w:kern w:val="0"/>
                <w:sz w:val="24"/>
                <w:szCs w:val="24"/>
                <w:lang w:val="zh-CN" w:bidi="zh-CN"/>
              </w:rPr>
              <w:t>发</w:t>
            </w:r>
            <w:r w:rsidRPr="008C0E5D">
              <w:rPr>
                <w:rFonts w:ascii="宋体" w:eastAsia="宋体" w:hAnsi="宋体" w:cs="宋体" w:hint="eastAsia"/>
                <w:spacing w:val="-3"/>
                <w:kern w:val="0"/>
                <w:sz w:val="24"/>
                <w:szCs w:val="24"/>
                <w:lang w:val="zh-CN" w:bidi="zh-CN"/>
              </w:rPr>
              <w:t>布</w:t>
            </w:r>
            <w:r w:rsidRPr="008C0E5D">
              <w:rPr>
                <w:rFonts w:ascii="宋体" w:eastAsia="宋体" w:hAnsi="宋体" w:cs="宋体" w:hint="eastAsia"/>
                <w:kern w:val="0"/>
                <w:sz w:val="24"/>
                <w:szCs w:val="24"/>
                <w:lang w:val="zh-CN" w:bidi="zh-CN"/>
              </w:rPr>
              <w:t>会</w:t>
            </w:r>
            <w:r w:rsidRPr="008C0E5D">
              <w:rPr>
                <w:rFonts w:ascii="宋体" w:eastAsia="宋体" w:hAnsi="宋体" w:cs="宋体" w:hint="eastAsia"/>
                <w:kern w:val="0"/>
                <w:sz w:val="24"/>
                <w:szCs w:val="24"/>
                <w:lang w:val="zh-CN" w:bidi="zh-CN"/>
              </w:rPr>
              <w:tab/>
              <w:t>□路</w:t>
            </w:r>
            <w:r w:rsidRPr="008C0E5D">
              <w:rPr>
                <w:rFonts w:ascii="宋体" w:eastAsia="宋体" w:hAnsi="宋体" w:cs="宋体" w:hint="eastAsia"/>
                <w:spacing w:val="-3"/>
                <w:kern w:val="0"/>
                <w:sz w:val="24"/>
                <w:szCs w:val="24"/>
                <w:lang w:val="zh-CN" w:bidi="zh-CN"/>
              </w:rPr>
              <w:t>演</w:t>
            </w:r>
            <w:r w:rsidRPr="008C0E5D">
              <w:rPr>
                <w:rFonts w:ascii="宋体" w:eastAsia="宋体" w:hAnsi="宋体" w:cs="宋体" w:hint="eastAsia"/>
                <w:kern w:val="0"/>
                <w:sz w:val="24"/>
                <w:szCs w:val="24"/>
                <w:lang w:val="zh-CN" w:bidi="zh-CN"/>
              </w:rPr>
              <w:t>活动</w:t>
            </w:r>
          </w:p>
          <w:p w14:paraId="25799C45" w14:textId="77777777" w:rsidR="00C71F7D" w:rsidRPr="008C0E5D" w:rsidRDefault="00C71F7D" w:rsidP="0072593A">
            <w:pPr>
              <w:autoSpaceDE w:val="0"/>
              <w:autoSpaceDN w:val="0"/>
              <w:spacing w:before="8"/>
              <w:jc w:val="left"/>
              <w:rPr>
                <w:rFonts w:ascii="宋体" w:eastAsia="宋体" w:hAnsi="宋体" w:cs="宋体"/>
                <w:kern w:val="0"/>
                <w:sz w:val="24"/>
                <w:szCs w:val="24"/>
                <w:lang w:val="zh-CN" w:bidi="zh-CN"/>
              </w:rPr>
            </w:pPr>
          </w:p>
          <w:p w14:paraId="456CD0C4" w14:textId="77777777" w:rsidR="00C71F7D" w:rsidRPr="008C0E5D" w:rsidRDefault="00C71F7D" w:rsidP="0072593A">
            <w:pPr>
              <w:autoSpaceDE w:val="0"/>
              <w:autoSpaceDN w:val="0"/>
              <w:ind w:left="107"/>
              <w:jc w:val="left"/>
              <w:rPr>
                <w:rFonts w:ascii="宋体" w:eastAsia="宋体" w:hAnsi="宋体" w:cs="宋体"/>
                <w:kern w:val="0"/>
                <w:sz w:val="24"/>
                <w:szCs w:val="24"/>
                <w:lang w:val="zh-CN" w:bidi="zh-CN"/>
              </w:rPr>
            </w:pPr>
            <w:r w:rsidRPr="008C0E5D">
              <w:rPr>
                <w:rFonts w:ascii="宋体" w:eastAsia="宋体" w:hAnsi="宋体" w:cs="宋体" w:hint="eastAsia"/>
                <w:kern w:val="0"/>
                <w:sz w:val="24"/>
                <w:szCs w:val="24"/>
                <w:lang w:val="zh-CN" w:bidi="zh-CN"/>
              </w:rPr>
              <w:t>□现场参观</w:t>
            </w:r>
          </w:p>
          <w:p w14:paraId="7A91D6E7" w14:textId="77777777" w:rsidR="00C71F7D" w:rsidRPr="008C0E5D" w:rsidRDefault="00C71F7D" w:rsidP="0072593A">
            <w:pPr>
              <w:autoSpaceDE w:val="0"/>
              <w:autoSpaceDN w:val="0"/>
              <w:spacing w:before="11"/>
              <w:jc w:val="left"/>
              <w:rPr>
                <w:rFonts w:ascii="宋体" w:eastAsia="宋体" w:hAnsi="宋体" w:cs="宋体"/>
                <w:kern w:val="0"/>
                <w:sz w:val="24"/>
                <w:szCs w:val="24"/>
                <w:lang w:val="zh-CN" w:bidi="zh-CN"/>
              </w:rPr>
            </w:pPr>
          </w:p>
          <w:p w14:paraId="47EE44BE" w14:textId="77777777" w:rsidR="00C71F7D" w:rsidRPr="008C0E5D" w:rsidRDefault="00C71F7D" w:rsidP="00E54709">
            <w:pPr>
              <w:spacing w:line="360" w:lineRule="auto"/>
              <w:jc w:val="left"/>
              <w:rPr>
                <w:rFonts w:ascii="宋体" w:eastAsia="宋体" w:hAnsi="宋体" w:cs="宋体"/>
                <w:b/>
                <w:color w:val="000000"/>
                <w:sz w:val="24"/>
                <w:szCs w:val="24"/>
              </w:rPr>
            </w:pPr>
            <w:r w:rsidRPr="008C0E5D">
              <w:rPr>
                <w:rFonts w:ascii="宋体" w:eastAsia="宋体" w:hAnsi="宋体" w:cs="宋体" w:hint="eastAsia"/>
                <w:kern w:val="0"/>
                <w:sz w:val="24"/>
                <w:szCs w:val="24"/>
                <w:lang w:val="zh-CN" w:bidi="zh-CN"/>
              </w:rPr>
              <w:t>□其他（</w:t>
            </w:r>
            <w:proofErr w:type="gramStart"/>
            <w:r w:rsidRPr="008C0E5D">
              <w:rPr>
                <w:rFonts w:ascii="宋体" w:eastAsia="宋体" w:hAnsi="宋体" w:cs="宋体" w:hint="eastAsia"/>
                <w:kern w:val="0"/>
                <w:sz w:val="24"/>
                <w:szCs w:val="24"/>
                <w:u w:val="single"/>
                <w:lang w:val="zh-CN" w:bidi="zh-CN"/>
              </w:rPr>
              <w:t>请文字</w:t>
            </w:r>
            <w:proofErr w:type="gramEnd"/>
            <w:r w:rsidRPr="008C0E5D">
              <w:rPr>
                <w:rFonts w:ascii="宋体" w:eastAsia="宋体" w:hAnsi="宋体" w:cs="宋体" w:hint="eastAsia"/>
                <w:kern w:val="0"/>
                <w:sz w:val="24"/>
                <w:szCs w:val="24"/>
                <w:u w:val="single"/>
                <w:lang w:val="zh-CN" w:bidi="zh-CN"/>
              </w:rPr>
              <w:t>说明其他活动内容）</w:t>
            </w:r>
          </w:p>
        </w:tc>
      </w:tr>
      <w:tr w:rsidR="00C71F7D" w:rsidRPr="008C0E5D" w14:paraId="2BA3D216" w14:textId="77777777" w:rsidTr="0072593A">
        <w:trPr>
          <w:trHeight w:val="354"/>
        </w:trPr>
        <w:tc>
          <w:tcPr>
            <w:tcW w:w="1996" w:type="dxa"/>
            <w:shd w:val="clear" w:color="auto" w:fill="auto"/>
          </w:tcPr>
          <w:p w14:paraId="3A509633" w14:textId="2C42D9E5" w:rsidR="00C71F7D" w:rsidRPr="008C0E5D" w:rsidRDefault="00C71F7D" w:rsidP="0072593A">
            <w:pPr>
              <w:jc w:val="left"/>
              <w:rPr>
                <w:rFonts w:ascii="宋体" w:eastAsia="宋体" w:hAnsi="宋体" w:cs="宋体"/>
                <w:b/>
                <w:color w:val="000000"/>
                <w:sz w:val="24"/>
                <w:szCs w:val="24"/>
              </w:rPr>
            </w:pPr>
            <w:r w:rsidRPr="008C0E5D">
              <w:rPr>
                <w:rFonts w:ascii="宋体" w:eastAsia="宋体" w:hAnsi="宋体" w:cs="宋体" w:hint="eastAsia"/>
                <w:b/>
                <w:color w:val="000000"/>
                <w:sz w:val="24"/>
                <w:szCs w:val="24"/>
              </w:rPr>
              <w:t>参与单位名称</w:t>
            </w:r>
          </w:p>
        </w:tc>
        <w:tc>
          <w:tcPr>
            <w:tcW w:w="6300" w:type="dxa"/>
            <w:gridSpan w:val="3"/>
            <w:shd w:val="clear" w:color="auto" w:fill="auto"/>
            <w:vAlign w:val="center"/>
          </w:tcPr>
          <w:p w14:paraId="409EEAD5" w14:textId="4396EC14" w:rsidR="00C71F7D" w:rsidRPr="008C0E5D" w:rsidRDefault="009C5A07" w:rsidP="00C614A4">
            <w:pPr>
              <w:spacing w:line="480" w:lineRule="auto"/>
              <w:rPr>
                <w:rFonts w:ascii="宋体" w:eastAsia="宋体" w:hAnsi="宋体" w:cs="宋体"/>
                <w:color w:val="000000"/>
                <w:sz w:val="24"/>
                <w:szCs w:val="24"/>
              </w:rPr>
            </w:pPr>
            <w:r>
              <w:rPr>
                <w:rFonts w:ascii="宋体" w:eastAsia="宋体" w:hAnsi="宋体" w:cs="宋体" w:hint="eastAsia"/>
                <w:color w:val="000000"/>
                <w:sz w:val="24"/>
                <w:szCs w:val="24"/>
              </w:rPr>
              <w:t>融通基金、朱雀基金、招商基金、</w:t>
            </w:r>
            <w:proofErr w:type="gramStart"/>
            <w:r>
              <w:rPr>
                <w:rFonts w:ascii="宋体" w:eastAsia="宋体" w:hAnsi="宋体" w:cs="宋体" w:hint="eastAsia"/>
                <w:color w:val="000000"/>
                <w:sz w:val="24"/>
                <w:szCs w:val="24"/>
              </w:rPr>
              <w:t>恒越基金</w:t>
            </w:r>
            <w:proofErr w:type="gramEnd"/>
            <w:r>
              <w:rPr>
                <w:rFonts w:ascii="宋体" w:eastAsia="宋体" w:hAnsi="宋体" w:cs="宋体" w:hint="eastAsia"/>
                <w:color w:val="000000"/>
                <w:sz w:val="24"/>
                <w:szCs w:val="24"/>
              </w:rPr>
              <w:t>、上银基金、</w:t>
            </w:r>
            <w:r w:rsidRPr="00301B3B">
              <w:rPr>
                <w:rFonts w:ascii="宋体" w:eastAsia="宋体" w:hAnsi="宋体" w:cs="宋体" w:hint="eastAsia"/>
                <w:color w:val="000000"/>
                <w:sz w:val="24"/>
                <w:szCs w:val="24"/>
              </w:rPr>
              <w:t>西部利得基金、</w:t>
            </w:r>
            <w:proofErr w:type="gramStart"/>
            <w:r w:rsidRPr="00301B3B">
              <w:rPr>
                <w:rFonts w:ascii="宋体" w:eastAsia="宋体" w:hAnsi="宋体" w:cs="宋体" w:hint="eastAsia"/>
                <w:color w:val="000000"/>
                <w:sz w:val="24"/>
                <w:szCs w:val="24"/>
              </w:rPr>
              <w:t>汇添富</w:t>
            </w:r>
            <w:proofErr w:type="gramEnd"/>
            <w:r w:rsidRPr="00301B3B">
              <w:rPr>
                <w:rFonts w:ascii="宋体" w:eastAsia="宋体" w:hAnsi="宋体" w:cs="宋体" w:hint="eastAsia"/>
                <w:color w:val="000000"/>
                <w:sz w:val="24"/>
                <w:szCs w:val="24"/>
              </w:rPr>
              <w:t>基金</w:t>
            </w:r>
            <w:r>
              <w:rPr>
                <w:rFonts w:ascii="宋体" w:eastAsia="宋体" w:hAnsi="宋体" w:cs="宋体" w:hint="eastAsia"/>
                <w:color w:val="000000"/>
                <w:sz w:val="24"/>
                <w:szCs w:val="24"/>
              </w:rPr>
              <w:t>、</w:t>
            </w:r>
            <w:r w:rsidRPr="00301B3B">
              <w:rPr>
                <w:rFonts w:ascii="宋体" w:eastAsia="宋体" w:hAnsi="宋体" w:cs="宋体" w:hint="eastAsia"/>
                <w:color w:val="000000"/>
                <w:sz w:val="24"/>
                <w:szCs w:val="24"/>
              </w:rPr>
              <w:t>富安达基金</w:t>
            </w:r>
            <w:r>
              <w:rPr>
                <w:rFonts w:ascii="宋体" w:eastAsia="宋体" w:hAnsi="宋体" w:cs="宋体" w:hint="eastAsia"/>
                <w:color w:val="000000"/>
                <w:sz w:val="24"/>
                <w:szCs w:val="24"/>
              </w:rPr>
              <w:t>、</w:t>
            </w:r>
            <w:proofErr w:type="gramStart"/>
            <w:r w:rsidRPr="00301B3B">
              <w:rPr>
                <w:rFonts w:ascii="宋体" w:eastAsia="宋体" w:hAnsi="宋体" w:cs="宋体" w:hint="eastAsia"/>
                <w:color w:val="000000"/>
                <w:sz w:val="24"/>
                <w:szCs w:val="24"/>
              </w:rPr>
              <w:t>工银瑞信</w:t>
            </w:r>
            <w:proofErr w:type="gramEnd"/>
            <w:r w:rsidRPr="00301B3B">
              <w:rPr>
                <w:rFonts w:ascii="宋体" w:eastAsia="宋体" w:hAnsi="宋体" w:cs="宋体" w:hint="eastAsia"/>
                <w:color w:val="000000"/>
                <w:sz w:val="24"/>
                <w:szCs w:val="24"/>
              </w:rPr>
              <w:t>基金</w:t>
            </w:r>
            <w:r>
              <w:rPr>
                <w:rFonts w:ascii="宋体" w:eastAsia="宋体" w:hAnsi="宋体" w:cs="宋体" w:hint="eastAsia"/>
                <w:color w:val="000000"/>
                <w:sz w:val="24"/>
                <w:szCs w:val="24"/>
              </w:rPr>
              <w:t>、道合基金、</w:t>
            </w:r>
            <w:r w:rsidRPr="00C614A4">
              <w:rPr>
                <w:rFonts w:ascii="宋体" w:eastAsia="宋体" w:hAnsi="宋体" w:cs="宋体" w:hint="eastAsia"/>
                <w:color w:val="000000"/>
                <w:sz w:val="24"/>
                <w:szCs w:val="24"/>
              </w:rPr>
              <w:t>德意志银行、摩根士丹利、汉石投资</w:t>
            </w:r>
            <w:r>
              <w:rPr>
                <w:rFonts w:ascii="宋体" w:eastAsia="宋体" w:hAnsi="宋体" w:cs="宋体" w:hint="eastAsia"/>
                <w:color w:val="000000"/>
                <w:sz w:val="24"/>
                <w:szCs w:val="24"/>
              </w:rPr>
              <w:t>、理成资产、</w:t>
            </w:r>
            <w:r w:rsidRPr="00301B3B">
              <w:rPr>
                <w:rFonts w:ascii="宋体" w:eastAsia="宋体" w:hAnsi="宋体" w:cs="宋体" w:hint="eastAsia"/>
                <w:color w:val="000000"/>
                <w:sz w:val="24"/>
                <w:szCs w:val="24"/>
              </w:rPr>
              <w:t>红杉资本</w:t>
            </w:r>
            <w:r>
              <w:rPr>
                <w:rFonts w:ascii="宋体" w:eastAsia="宋体" w:hAnsi="宋体" w:cs="宋体" w:hint="eastAsia"/>
                <w:color w:val="000000"/>
                <w:sz w:val="24"/>
                <w:szCs w:val="24"/>
              </w:rPr>
              <w:t>、</w:t>
            </w:r>
            <w:proofErr w:type="spellStart"/>
            <w:r>
              <w:rPr>
                <w:rFonts w:ascii="宋体" w:eastAsia="宋体" w:hAnsi="宋体" w:cs="宋体" w:hint="eastAsia"/>
                <w:color w:val="000000"/>
                <w:sz w:val="24"/>
                <w:szCs w:val="24"/>
              </w:rPr>
              <w:t>Pin</w:t>
            </w:r>
            <w:r>
              <w:rPr>
                <w:rFonts w:ascii="宋体" w:eastAsia="宋体" w:hAnsi="宋体" w:cs="宋体"/>
                <w:color w:val="000000"/>
                <w:sz w:val="24"/>
                <w:szCs w:val="24"/>
              </w:rPr>
              <w:t>P</w:t>
            </w:r>
            <w:r>
              <w:rPr>
                <w:rFonts w:ascii="宋体" w:eastAsia="宋体" w:hAnsi="宋体" w:cs="宋体" w:hint="eastAsia"/>
                <w:color w:val="000000"/>
                <w:sz w:val="24"/>
                <w:szCs w:val="24"/>
              </w:rPr>
              <w:t>oint</w:t>
            </w:r>
            <w:proofErr w:type="spellEnd"/>
            <w:r>
              <w:rPr>
                <w:rFonts w:ascii="宋体" w:eastAsia="宋体" w:hAnsi="宋体" w:cs="宋体" w:hint="eastAsia"/>
                <w:color w:val="000000"/>
                <w:sz w:val="24"/>
                <w:szCs w:val="24"/>
              </w:rPr>
              <w:t>、</w:t>
            </w:r>
            <w:r w:rsidR="004A5B58">
              <w:rPr>
                <w:rFonts w:ascii="宋体" w:eastAsia="宋体" w:hAnsi="宋体" w:cs="宋体" w:hint="eastAsia"/>
                <w:color w:val="000000"/>
                <w:sz w:val="24"/>
                <w:szCs w:val="24"/>
              </w:rPr>
              <w:t>广发证券、</w:t>
            </w:r>
            <w:r w:rsidR="00301B3B">
              <w:rPr>
                <w:rFonts w:ascii="宋体" w:eastAsia="宋体" w:hAnsi="宋体" w:cs="宋体" w:hint="eastAsia"/>
                <w:color w:val="000000"/>
                <w:sz w:val="24"/>
                <w:szCs w:val="24"/>
              </w:rPr>
              <w:t>东吴证券、民生证券、太平洋证券、国海证券、国泰君安证券、海通证券、中国银行证券、</w:t>
            </w:r>
            <w:r w:rsidR="00301B3B" w:rsidRPr="00301B3B">
              <w:rPr>
                <w:rFonts w:ascii="宋体" w:eastAsia="宋体" w:hAnsi="宋体" w:cs="宋体" w:hint="eastAsia"/>
                <w:color w:val="000000"/>
                <w:sz w:val="24"/>
                <w:szCs w:val="24"/>
              </w:rPr>
              <w:t>财通证券</w:t>
            </w:r>
            <w:r w:rsidR="00301B3B">
              <w:rPr>
                <w:rFonts w:ascii="宋体" w:eastAsia="宋体" w:hAnsi="宋体" w:cs="宋体" w:hint="eastAsia"/>
                <w:color w:val="000000"/>
                <w:sz w:val="24"/>
                <w:szCs w:val="24"/>
              </w:rPr>
              <w:t>、</w:t>
            </w:r>
            <w:r w:rsidRPr="009C5A07">
              <w:rPr>
                <w:rFonts w:ascii="宋体" w:eastAsia="宋体" w:hAnsi="宋体" w:cs="宋体" w:hint="eastAsia"/>
                <w:color w:val="000000"/>
                <w:sz w:val="24"/>
                <w:szCs w:val="24"/>
              </w:rPr>
              <w:t>华夏财富创新投资、青</w:t>
            </w:r>
            <w:proofErr w:type="gramStart"/>
            <w:r w:rsidRPr="009C5A07">
              <w:rPr>
                <w:rFonts w:ascii="宋体" w:eastAsia="宋体" w:hAnsi="宋体" w:cs="宋体" w:hint="eastAsia"/>
                <w:color w:val="000000"/>
                <w:sz w:val="24"/>
                <w:szCs w:val="24"/>
              </w:rPr>
              <w:t>骊</w:t>
            </w:r>
            <w:proofErr w:type="gramEnd"/>
            <w:r w:rsidRPr="009C5A07">
              <w:rPr>
                <w:rFonts w:ascii="宋体" w:eastAsia="宋体" w:hAnsi="宋体" w:cs="宋体" w:hint="eastAsia"/>
                <w:color w:val="000000"/>
                <w:sz w:val="24"/>
                <w:szCs w:val="24"/>
              </w:rPr>
              <w:t>投资、杭州明见投资、鸿运私募</w:t>
            </w:r>
            <w:r>
              <w:rPr>
                <w:rFonts w:ascii="宋体" w:eastAsia="宋体" w:hAnsi="宋体" w:cs="宋体" w:hint="eastAsia"/>
                <w:color w:val="000000"/>
                <w:sz w:val="24"/>
                <w:szCs w:val="24"/>
              </w:rPr>
              <w:t>、</w:t>
            </w:r>
            <w:r w:rsidRPr="009C5A07">
              <w:rPr>
                <w:rFonts w:ascii="宋体" w:eastAsia="宋体" w:hAnsi="宋体" w:cs="宋体" w:hint="eastAsia"/>
                <w:color w:val="000000"/>
                <w:sz w:val="24"/>
                <w:szCs w:val="24"/>
              </w:rPr>
              <w:t>东亚联丰投资</w:t>
            </w:r>
            <w:r w:rsidR="00A7497B">
              <w:rPr>
                <w:rFonts w:ascii="宋体" w:eastAsia="宋体" w:hAnsi="宋体" w:cs="宋体" w:hint="eastAsia"/>
                <w:color w:val="000000"/>
                <w:sz w:val="24"/>
                <w:szCs w:val="24"/>
              </w:rPr>
              <w:t>等</w:t>
            </w:r>
          </w:p>
        </w:tc>
      </w:tr>
      <w:tr w:rsidR="00C71F7D" w:rsidRPr="008C0E5D" w14:paraId="55654D18" w14:textId="77777777" w:rsidTr="0072593A">
        <w:trPr>
          <w:trHeight w:val="519"/>
        </w:trPr>
        <w:tc>
          <w:tcPr>
            <w:tcW w:w="1996" w:type="dxa"/>
            <w:shd w:val="clear" w:color="auto" w:fill="auto"/>
            <w:vAlign w:val="center"/>
          </w:tcPr>
          <w:p w14:paraId="46BF4E43" w14:textId="77777777" w:rsidR="00C71F7D" w:rsidRPr="008C0E5D" w:rsidRDefault="00C71F7D" w:rsidP="0072593A">
            <w:pPr>
              <w:rPr>
                <w:rFonts w:ascii="宋体" w:eastAsia="宋体" w:hAnsi="宋体" w:cs="宋体"/>
                <w:b/>
                <w:color w:val="000000"/>
                <w:sz w:val="24"/>
                <w:szCs w:val="24"/>
              </w:rPr>
            </w:pPr>
            <w:r w:rsidRPr="008C0E5D">
              <w:rPr>
                <w:rFonts w:ascii="宋体" w:eastAsia="宋体" w:hAnsi="宋体" w:cs="宋体" w:hint="eastAsia"/>
                <w:b/>
                <w:color w:val="000000"/>
                <w:sz w:val="24"/>
                <w:szCs w:val="24"/>
              </w:rPr>
              <w:t>公司接待人员及职务</w:t>
            </w:r>
          </w:p>
        </w:tc>
        <w:tc>
          <w:tcPr>
            <w:tcW w:w="6300" w:type="dxa"/>
            <w:gridSpan w:val="3"/>
            <w:shd w:val="clear" w:color="auto" w:fill="auto"/>
          </w:tcPr>
          <w:p w14:paraId="008FE635" w14:textId="68079382" w:rsidR="00801D17" w:rsidRDefault="00801D17" w:rsidP="007525C1">
            <w:pPr>
              <w:spacing w:line="360" w:lineRule="auto"/>
              <w:jc w:val="left"/>
              <w:rPr>
                <w:rFonts w:ascii="宋体" w:eastAsia="宋体" w:hAnsi="宋体" w:cs="宋体"/>
                <w:color w:val="000000"/>
                <w:sz w:val="24"/>
                <w:szCs w:val="24"/>
              </w:rPr>
            </w:pPr>
            <w:r>
              <w:rPr>
                <w:rFonts w:ascii="宋体" w:eastAsia="宋体" w:hAnsi="宋体" w:cs="宋体" w:hint="eastAsia"/>
                <w:color w:val="000000"/>
                <w:sz w:val="24"/>
                <w:szCs w:val="24"/>
              </w:rPr>
              <w:t>副董事长、总经理：翁康先生</w:t>
            </w:r>
          </w:p>
          <w:p w14:paraId="3DAD8BB1" w14:textId="06979731" w:rsidR="00C71F7D" w:rsidRDefault="0011478C" w:rsidP="007525C1">
            <w:pPr>
              <w:spacing w:line="360" w:lineRule="auto"/>
              <w:jc w:val="left"/>
              <w:rPr>
                <w:rFonts w:ascii="宋体" w:eastAsia="宋体" w:hAnsi="宋体" w:cs="宋体"/>
                <w:color w:val="000000"/>
                <w:sz w:val="24"/>
                <w:szCs w:val="24"/>
              </w:rPr>
            </w:pPr>
            <w:r w:rsidRPr="0011478C">
              <w:rPr>
                <w:rFonts w:ascii="宋体" w:eastAsia="宋体" w:hAnsi="宋体" w:cs="宋体" w:hint="eastAsia"/>
                <w:color w:val="000000"/>
                <w:sz w:val="24"/>
                <w:szCs w:val="24"/>
              </w:rPr>
              <w:t>董事会秘书：</w:t>
            </w:r>
            <w:proofErr w:type="gramStart"/>
            <w:r w:rsidRPr="0011478C">
              <w:rPr>
                <w:rFonts w:ascii="宋体" w:eastAsia="宋体" w:hAnsi="宋体" w:cs="宋体" w:hint="eastAsia"/>
                <w:color w:val="000000"/>
                <w:sz w:val="24"/>
                <w:szCs w:val="24"/>
              </w:rPr>
              <w:t>李孟豪先生</w:t>
            </w:r>
            <w:proofErr w:type="gramEnd"/>
          </w:p>
          <w:p w14:paraId="5282F353" w14:textId="0511DF40" w:rsidR="00801D17" w:rsidRDefault="002A4336" w:rsidP="007525C1">
            <w:pPr>
              <w:spacing w:line="360" w:lineRule="auto"/>
              <w:jc w:val="left"/>
              <w:rPr>
                <w:rFonts w:ascii="宋体" w:eastAsia="宋体" w:hAnsi="宋体" w:cs="宋体"/>
                <w:color w:val="000000"/>
                <w:sz w:val="24"/>
                <w:szCs w:val="24"/>
              </w:rPr>
            </w:pPr>
            <w:r>
              <w:rPr>
                <w:rFonts w:ascii="宋体" w:eastAsia="宋体" w:hAnsi="宋体" w:cs="宋体" w:hint="eastAsia"/>
                <w:color w:val="000000"/>
                <w:sz w:val="24"/>
                <w:szCs w:val="24"/>
              </w:rPr>
              <w:t>医疗事业群通用</w:t>
            </w:r>
            <w:r w:rsidR="004D5123">
              <w:rPr>
                <w:rFonts w:ascii="宋体" w:eastAsia="宋体" w:hAnsi="宋体" w:cs="宋体" w:hint="eastAsia"/>
                <w:color w:val="000000"/>
                <w:sz w:val="24"/>
                <w:szCs w:val="24"/>
              </w:rPr>
              <w:t>研发部总经理：范小峰</w:t>
            </w:r>
            <w:r w:rsidR="00677BB1">
              <w:rPr>
                <w:rFonts w:ascii="宋体" w:eastAsia="宋体" w:hAnsi="宋体" w:cs="宋体" w:hint="eastAsia"/>
                <w:color w:val="000000"/>
                <w:sz w:val="24"/>
                <w:szCs w:val="24"/>
              </w:rPr>
              <w:t>先生</w:t>
            </w:r>
          </w:p>
          <w:p w14:paraId="342A49FD" w14:textId="513C5BDE" w:rsidR="00C27B8F" w:rsidRPr="00C27B8F" w:rsidRDefault="00C27B8F" w:rsidP="007525C1">
            <w:pPr>
              <w:spacing w:line="360" w:lineRule="auto"/>
              <w:jc w:val="left"/>
              <w:rPr>
                <w:rFonts w:ascii="宋体" w:eastAsia="宋体" w:hAnsi="宋体" w:cs="宋体"/>
                <w:color w:val="000000"/>
                <w:sz w:val="24"/>
                <w:szCs w:val="24"/>
              </w:rPr>
            </w:pPr>
            <w:r>
              <w:rPr>
                <w:rFonts w:ascii="宋体" w:eastAsia="宋体" w:hAnsi="宋体" w:cs="宋体" w:hint="eastAsia"/>
                <w:color w:val="000000"/>
                <w:sz w:val="24"/>
                <w:szCs w:val="24"/>
              </w:rPr>
              <w:t>投资者关系管理总监：罗钰熹先生</w:t>
            </w:r>
          </w:p>
        </w:tc>
      </w:tr>
      <w:tr w:rsidR="00C71F7D" w:rsidRPr="008C0E5D" w14:paraId="5787D31C" w14:textId="77777777" w:rsidTr="0072593A">
        <w:trPr>
          <w:trHeight w:val="497"/>
        </w:trPr>
        <w:tc>
          <w:tcPr>
            <w:tcW w:w="1996" w:type="dxa"/>
            <w:shd w:val="clear" w:color="auto" w:fill="auto"/>
          </w:tcPr>
          <w:p w14:paraId="2A4B77EC" w14:textId="77777777" w:rsidR="00C71F7D" w:rsidRPr="008C0E5D" w:rsidRDefault="00C71F7D" w:rsidP="0072593A">
            <w:pPr>
              <w:spacing w:line="480" w:lineRule="auto"/>
              <w:jc w:val="left"/>
              <w:rPr>
                <w:rFonts w:ascii="宋体" w:eastAsia="宋体" w:hAnsi="宋体" w:cs="宋体"/>
                <w:b/>
                <w:color w:val="000000"/>
                <w:sz w:val="24"/>
                <w:szCs w:val="24"/>
              </w:rPr>
            </w:pPr>
            <w:r w:rsidRPr="008C0E5D">
              <w:rPr>
                <w:rFonts w:ascii="宋体" w:eastAsia="宋体" w:hAnsi="宋体" w:cs="宋体" w:hint="eastAsia"/>
                <w:b/>
                <w:color w:val="000000"/>
                <w:sz w:val="24"/>
                <w:szCs w:val="24"/>
              </w:rPr>
              <w:t>主题</w:t>
            </w:r>
          </w:p>
        </w:tc>
        <w:tc>
          <w:tcPr>
            <w:tcW w:w="6300" w:type="dxa"/>
            <w:gridSpan w:val="3"/>
            <w:shd w:val="clear" w:color="auto" w:fill="auto"/>
          </w:tcPr>
          <w:p w14:paraId="2C446949" w14:textId="58BB0D4C" w:rsidR="00C71F7D" w:rsidRPr="008C0E5D" w:rsidRDefault="007525C1" w:rsidP="0072593A">
            <w:pPr>
              <w:spacing w:line="480" w:lineRule="auto"/>
              <w:jc w:val="left"/>
              <w:rPr>
                <w:rFonts w:ascii="宋体" w:eastAsia="宋体" w:hAnsi="宋体" w:cs="宋体"/>
                <w:b/>
                <w:color w:val="000000"/>
                <w:sz w:val="24"/>
                <w:szCs w:val="24"/>
              </w:rPr>
            </w:pPr>
            <w:r>
              <w:rPr>
                <w:rFonts w:ascii="宋体" w:eastAsia="宋体" w:hAnsi="宋体" w:cs="宋体" w:hint="eastAsia"/>
                <w:b/>
                <w:color w:val="000000"/>
                <w:sz w:val="24"/>
                <w:szCs w:val="24"/>
              </w:rPr>
              <w:t>机构调研</w:t>
            </w:r>
          </w:p>
        </w:tc>
      </w:tr>
      <w:tr w:rsidR="00C71F7D" w:rsidRPr="008C0E5D" w14:paraId="7C46ABF3" w14:textId="77777777" w:rsidTr="0072593A">
        <w:trPr>
          <w:trHeight w:val="287"/>
        </w:trPr>
        <w:tc>
          <w:tcPr>
            <w:tcW w:w="1996" w:type="dxa"/>
            <w:shd w:val="clear" w:color="auto" w:fill="auto"/>
          </w:tcPr>
          <w:p w14:paraId="10BABEDA" w14:textId="77777777" w:rsidR="00C71F7D" w:rsidRPr="008C0E5D" w:rsidRDefault="00C71F7D" w:rsidP="0072593A">
            <w:pPr>
              <w:spacing w:line="480" w:lineRule="auto"/>
              <w:jc w:val="left"/>
              <w:rPr>
                <w:rFonts w:ascii="宋体" w:eastAsia="宋体" w:hAnsi="宋体" w:cs="宋体"/>
                <w:b/>
                <w:color w:val="000000"/>
                <w:sz w:val="24"/>
                <w:szCs w:val="24"/>
              </w:rPr>
            </w:pPr>
            <w:r w:rsidRPr="008C0E5D">
              <w:rPr>
                <w:rFonts w:ascii="宋体" w:eastAsia="宋体" w:hAnsi="宋体" w:cs="宋体" w:hint="eastAsia"/>
                <w:b/>
                <w:color w:val="000000"/>
                <w:sz w:val="24"/>
                <w:szCs w:val="24"/>
              </w:rPr>
              <w:lastRenderedPageBreak/>
              <w:t>附件清单（如有）</w:t>
            </w:r>
          </w:p>
        </w:tc>
        <w:tc>
          <w:tcPr>
            <w:tcW w:w="6300" w:type="dxa"/>
            <w:gridSpan w:val="3"/>
            <w:shd w:val="clear" w:color="auto" w:fill="auto"/>
          </w:tcPr>
          <w:p w14:paraId="67387753" w14:textId="77777777" w:rsidR="00C71F7D" w:rsidRPr="008C0E5D" w:rsidRDefault="00C71F7D" w:rsidP="0072593A">
            <w:pPr>
              <w:spacing w:line="480" w:lineRule="auto"/>
              <w:jc w:val="left"/>
              <w:rPr>
                <w:rFonts w:ascii="宋体" w:eastAsia="宋体" w:hAnsi="宋体" w:cs="宋体"/>
                <w:b/>
                <w:color w:val="000000"/>
                <w:sz w:val="24"/>
                <w:szCs w:val="24"/>
              </w:rPr>
            </w:pPr>
          </w:p>
        </w:tc>
      </w:tr>
      <w:tr w:rsidR="00C71F7D" w:rsidRPr="008C0E5D" w14:paraId="27EB959A" w14:textId="77777777" w:rsidTr="0072593A">
        <w:tc>
          <w:tcPr>
            <w:tcW w:w="8296" w:type="dxa"/>
            <w:gridSpan w:val="4"/>
            <w:shd w:val="clear" w:color="auto" w:fill="auto"/>
          </w:tcPr>
          <w:p w14:paraId="3E3F92B2" w14:textId="77777777" w:rsidR="00C71F7D" w:rsidRPr="008C0E5D" w:rsidRDefault="00C71F7D" w:rsidP="0072593A">
            <w:pPr>
              <w:spacing w:line="480" w:lineRule="auto"/>
              <w:jc w:val="center"/>
              <w:rPr>
                <w:rFonts w:ascii="宋体" w:eastAsia="宋体" w:hAnsi="宋体" w:cs="宋体"/>
                <w:b/>
                <w:color w:val="000000"/>
                <w:sz w:val="24"/>
                <w:szCs w:val="24"/>
              </w:rPr>
            </w:pPr>
            <w:r w:rsidRPr="008C0E5D">
              <w:rPr>
                <w:rFonts w:ascii="宋体" w:eastAsia="宋体" w:hAnsi="宋体" w:cs="宋体" w:hint="eastAsia"/>
                <w:b/>
                <w:color w:val="000000"/>
                <w:sz w:val="24"/>
                <w:szCs w:val="24"/>
              </w:rPr>
              <w:t>投资者关系活动主要内容</w:t>
            </w:r>
          </w:p>
        </w:tc>
      </w:tr>
      <w:tr w:rsidR="00C71F7D" w:rsidRPr="00D4344B" w14:paraId="2D4423E9" w14:textId="77777777" w:rsidTr="0072593A">
        <w:trPr>
          <w:trHeight w:val="2136"/>
        </w:trPr>
        <w:tc>
          <w:tcPr>
            <w:tcW w:w="8296" w:type="dxa"/>
            <w:gridSpan w:val="4"/>
            <w:shd w:val="clear" w:color="auto" w:fill="auto"/>
          </w:tcPr>
          <w:p w14:paraId="6178E277" w14:textId="5EA1DCAE" w:rsidR="006B484B" w:rsidRPr="00C45B28" w:rsidRDefault="006B484B" w:rsidP="006B484B">
            <w:pPr>
              <w:spacing w:line="276" w:lineRule="auto"/>
              <w:rPr>
                <w:rFonts w:ascii="宋体" w:eastAsia="宋体" w:hAnsi="宋体"/>
                <w:b/>
                <w:sz w:val="24"/>
                <w:szCs w:val="24"/>
              </w:rPr>
            </w:pPr>
            <w:bookmarkStart w:id="0" w:name="_Hlk127449690"/>
            <w:r>
              <w:rPr>
                <w:rFonts w:ascii="宋体" w:eastAsia="宋体" w:hAnsi="宋体"/>
                <w:b/>
                <w:sz w:val="24"/>
                <w:szCs w:val="24"/>
              </w:rPr>
              <w:t>1</w:t>
            </w:r>
            <w:r w:rsidRPr="00C45B28">
              <w:rPr>
                <w:rFonts w:ascii="宋体" w:eastAsia="宋体" w:hAnsi="宋体" w:hint="eastAsia"/>
                <w:b/>
                <w:sz w:val="24"/>
                <w:szCs w:val="24"/>
              </w:rPr>
              <w:t>、公司现有的医疗业务领域在本次合作中的优势体现在哪方面？</w:t>
            </w:r>
          </w:p>
          <w:p w14:paraId="7594CCE3" w14:textId="77777777" w:rsidR="006B484B" w:rsidRDefault="006B484B" w:rsidP="006B484B">
            <w:pPr>
              <w:spacing w:line="276" w:lineRule="auto"/>
              <w:rPr>
                <w:rFonts w:ascii="宋体" w:eastAsia="宋体" w:hAnsi="宋体"/>
                <w:sz w:val="24"/>
                <w:szCs w:val="24"/>
              </w:rPr>
            </w:pPr>
            <w:r>
              <w:rPr>
                <w:rFonts w:ascii="宋体" w:eastAsia="宋体" w:hAnsi="宋体" w:hint="eastAsia"/>
                <w:sz w:val="24"/>
                <w:szCs w:val="24"/>
              </w:rPr>
              <w:t>答：</w:t>
            </w:r>
            <w:r w:rsidRPr="00753128">
              <w:rPr>
                <w:rFonts w:ascii="宋体" w:eastAsia="宋体" w:hAnsi="宋体" w:hint="eastAsia"/>
                <w:sz w:val="24"/>
                <w:szCs w:val="24"/>
              </w:rPr>
              <w:t>首先，麦迪科技长期专注于智慧医疗急危重症领域，拥有重点业务场景的经验，此次合作的机器人领域本质上是现有场景的拓展；另外，公司目前终端用户覆盖全国32个省份，超过2300家医疗机构，在</w:t>
            </w:r>
            <w:proofErr w:type="gramStart"/>
            <w:r w:rsidRPr="00753128">
              <w:rPr>
                <w:rFonts w:ascii="宋体" w:eastAsia="宋体" w:hAnsi="宋体" w:hint="eastAsia"/>
                <w:sz w:val="24"/>
                <w:szCs w:val="24"/>
              </w:rPr>
              <w:t>深耕近</w:t>
            </w:r>
            <w:proofErr w:type="gramEnd"/>
            <w:r w:rsidRPr="00753128">
              <w:rPr>
                <w:rFonts w:ascii="宋体" w:eastAsia="宋体" w:hAnsi="宋体" w:hint="eastAsia"/>
                <w:sz w:val="24"/>
                <w:szCs w:val="24"/>
              </w:rPr>
              <w:t>20年医疗领域中，积累了丰富珍贵的数据，可以基于不同的医疗机构应用场景，为机器人深度学习、训练提供数据支撑。</w:t>
            </w:r>
          </w:p>
          <w:p w14:paraId="322EFCAB" w14:textId="77777777" w:rsidR="00753128" w:rsidRDefault="00753128" w:rsidP="00753128">
            <w:pPr>
              <w:rPr>
                <w:rFonts w:ascii="宋体" w:eastAsia="宋体" w:hAnsi="宋体"/>
                <w:sz w:val="24"/>
                <w:szCs w:val="24"/>
              </w:rPr>
            </w:pPr>
          </w:p>
          <w:p w14:paraId="36CA7C53" w14:textId="39B371DB" w:rsidR="009C5A07" w:rsidRPr="00C45B28" w:rsidRDefault="009C5A07" w:rsidP="009C5A07">
            <w:pPr>
              <w:spacing w:line="276" w:lineRule="auto"/>
              <w:rPr>
                <w:rFonts w:ascii="宋体" w:eastAsia="宋体" w:hAnsi="宋体"/>
                <w:b/>
                <w:sz w:val="24"/>
                <w:szCs w:val="24"/>
              </w:rPr>
            </w:pPr>
            <w:r>
              <w:rPr>
                <w:rFonts w:ascii="宋体" w:eastAsia="宋体" w:hAnsi="宋体" w:hint="eastAsia"/>
                <w:b/>
                <w:sz w:val="24"/>
                <w:szCs w:val="24"/>
              </w:rPr>
              <w:t>2</w:t>
            </w:r>
            <w:r w:rsidRPr="00C45B28">
              <w:rPr>
                <w:rFonts w:ascii="宋体" w:eastAsia="宋体" w:hAnsi="宋体" w:hint="eastAsia"/>
                <w:b/>
                <w:sz w:val="24"/>
                <w:szCs w:val="24"/>
              </w:rPr>
              <w:t>、能否谈谈三方的具体合作模式？</w:t>
            </w:r>
          </w:p>
          <w:p w14:paraId="77FABCCC" w14:textId="3A5287DC" w:rsidR="009C5A07" w:rsidRDefault="009C5A07" w:rsidP="009C5A07">
            <w:pPr>
              <w:spacing w:line="276" w:lineRule="auto"/>
              <w:rPr>
                <w:rFonts w:ascii="宋体" w:eastAsia="宋体" w:hAnsi="宋体"/>
                <w:sz w:val="24"/>
                <w:szCs w:val="24"/>
              </w:rPr>
            </w:pPr>
            <w:r>
              <w:rPr>
                <w:rFonts w:ascii="宋体" w:eastAsia="宋体" w:hAnsi="宋体" w:hint="eastAsia"/>
                <w:sz w:val="24"/>
                <w:szCs w:val="24"/>
              </w:rPr>
              <w:t>答：</w:t>
            </w:r>
            <w:r w:rsidRPr="00753128">
              <w:rPr>
                <w:rFonts w:ascii="宋体" w:eastAsia="宋体" w:hAnsi="宋体" w:hint="eastAsia"/>
                <w:sz w:val="24"/>
                <w:szCs w:val="24"/>
              </w:rPr>
              <w:t>公司与中科</w:t>
            </w:r>
            <w:proofErr w:type="gramStart"/>
            <w:r w:rsidRPr="00753128">
              <w:rPr>
                <w:rFonts w:ascii="宋体" w:eastAsia="宋体" w:hAnsi="宋体" w:hint="eastAsia"/>
                <w:sz w:val="24"/>
                <w:szCs w:val="24"/>
              </w:rPr>
              <w:t>行智未来拟</w:t>
            </w:r>
            <w:proofErr w:type="gramEnd"/>
            <w:r w:rsidRPr="00753128">
              <w:rPr>
                <w:rFonts w:ascii="宋体" w:eastAsia="宋体" w:hAnsi="宋体" w:hint="eastAsia"/>
                <w:sz w:val="24"/>
                <w:szCs w:val="24"/>
              </w:rPr>
              <w:t>组建技术团队来对接整体应用市场；主要以傅利叶通用机器人平台为核心，三方整合技术研发、场景应用、市场推广等资源。麦迪科技拥有大模型落地的医疗场景和文字、视频等多模态数据，以及</w:t>
            </w:r>
            <w:proofErr w:type="gramStart"/>
            <w:r w:rsidRPr="00753128">
              <w:rPr>
                <w:rFonts w:ascii="宋体" w:eastAsia="宋体" w:hAnsi="宋体" w:hint="eastAsia"/>
                <w:sz w:val="24"/>
                <w:szCs w:val="24"/>
              </w:rPr>
              <w:t>医疗大</w:t>
            </w:r>
            <w:proofErr w:type="gramEnd"/>
            <w:r w:rsidRPr="00753128">
              <w:rPr>
                <w:rFonts w:ascii="宋体" w:eastAsia="宋体" w:hAnsi="宋体" w:hint="eastAsia"/>
                <w:sz w:val="24"/>
                <w:szCs w:val="24"/>
              </w:rPr>
              <w:t>健康应用渠道、场景的先天优势。三方将结合各自优势共同推动产业发展。</w:t>
            </w:r>
          </w:p>
          <w:p w14:paraId="055F5EF4" w14:textId="77777777" w:rsidR="009C5A07" w:rsidRDefault="009C5A07" w:rsidP="00753128">
            <w:pPr>
              <w:rPr>
                <w:rFonts w:ascii="宋体" w:eastAsia="宋体" w:hAnsi="宋体"/>
                <w:sz w:val="24"/>
                <w:szCs w:val="24"/>
              </w:rPr>
            </w:pPr>
          </w:p>
          <w:p w14:paraId="45C744FD" w14:textId="5A182AB5" w:rsidR="00753128" w:rsidRPr="00C45B28" w:rsidRDefault="009C5A07" w:rsidP="00237B74">
            <w:pPr>
              <w:spacing w:line="276" w:lineRule="auto"/>
              <w:rPr>
                <w:rFonts w:ascii="宋体" w:eastAsia="宋体" w:hAnsi="宋体"/>
                <w:b/>
                <w:sz w:val="24"/>
                <w:szCs w:val="24"/>
              </w:rPr>
            </w:pPr>
            <w:r>
              <w:rPr>
                <w:rFonts w:ascii="宋体" w:eastAsia="宋体" w:hAnsi="宋体" w:hint="eastAsia"/>
                <w:b/>
                <w:sz w:val="24"/>
                <w:szCs w:val="24"/>
              </w:rPr>
              <w:t>3</w:t>
            </w:r>
            <w:r w:rsidR="00753128" w:rsidRPr="00C45B28">
              <w:rPr>
                <w:rFonts w:ascii="宋体" w:eastAsia="宋体" w:hAnsi="宋体" w:hint="eastAsia"/>
                <w:b/>
                <w:sz w:val="24"/>
                <w:szCs w:val="24"/>
              </w:rPr>
              <w:t>、能否</w:t>
            </w:r>
            <w:proofErr w:type="gramStart"/>
            <w:r w:rsidR="00753128" w:rsidRPr="00C45B28">
              <w:rPr>
                <w:rFonts w:ascii="宋体" w:eastAsia="宋体" w:hAnsi="宋体" w:hint="eastAsia"/>
                <w:b/>
                <w:sz w:val="24"/>
                <w:szCs w:val="24"/>
              </w:rPr>
              <w:t>谈谈康养机器人</w:t>
            </w:r>
            <w:proofErr w:type="gramEnd"/>
            <w:r w:rsidR="00753128" w:rsidRPr="00C45B28">
              <w:rPr>
                <w:rFonts w:ascii="宋体" w:eastAsia="宋体" w:hAnsi="宋体" w:hint="eastAsia"/>
                <w:b/>
                <w:sz w:val="24"/>
                <w:szCs w:val="24"/>
              </w:rPr>
              <w:t>后续的落地规划及具体节奏？</w:t>
            </w:r>
          </w:p>
          <w:p w14:paraId="1E8FE14A" w14:textId="24FC2E25" w:rsidR="00753128" w:rsidRDefault="00C45B28" w:rsidP="00237B74">
            <w:pPr>
              <w:spacing w:line="276" w:lineRule="auto"/>
              <w:rPr>
                <w:rFonts w:ascii="宋体" w:eastAsia="宋体" w:hAnsi="宋体"/>
                <w:sz w:val="24"/>
                <w:szCs w:val="24"/>
              </w:rPr>
            </w:pPr>
            <w:r>
              <w:rPr>
                <w:rFonts w:ascii="宋体" w:eastAsia="宋体" w:hAnsi="宋体" w:hint="eastAsia"/>
                <w:sz w:val="24"/>
                <w:szCs w:val="24"/>
              </w:rPr>
              <w:t>答：</w:t>
            </w:r>
            <w:r w:rsidR="00753128" w:rsidRPr="00753128">
              <w:rPr>
                <w:rFonts w:ascii="宋体" w:eastAsia="宋体" w:hAnsi="宋体" w:hint="eastAsia"/>
                <w:sz w:val="24"/>
                <w:szCs w:val="24"/>
              </w:rPr>
              <w:t>公司计划在今年二季度与合作伙伴确定应用场景及技术联合开发，三季度进行样机开发测试，目标是于2024年底前实现首台落地。</w:t>
            </w:r>
          </w:p>
          <w:p w14:paraId="123161B3" w14:textId="77777777" w:rsidR="00753128" w:rsidRDefault="00753128" w:rsidP="00753128">
            <w:pPr>
              <w:rPr>
                <w:rFonts w:ascii="宋体" w:eastAsia="宋体" w:hAnsi="宋体"/>
                <w:sz w:val="24"/>
                <w:szCs w:val="24"/>
              </w:rPr>
            </w:pPr>
          </w:p>
          <w:p w14:paraId="383D3526" w14:textId="537CF22A" w:rsidR="00753128" w:rsidRPr="00C45B28" w:rsidRDefault="009C5A07" w:rsidP="00237B74">
            <w:pPr>
              <w:spacing w:line="276" w:lineRule="auto"/>
              <w:rPr>
                <w:rFonts w:ascii="宋体" w:eastAsia="宋体" w:hAnsi="宋体"/>
                <w:b/>
                <w:sz w:val="24"/>
                <w:szCs w:val="24"/>
              </w:rPr>
            </w:pPr>
            <w:r>
              <w:rPr>
                <w:rFonts w:ascii="宋体" w:eastAsia="宋体" w:hAnsi="宋体" w:hint="eastAsia"/>
                <w:b/>
                <w:sz w:val="24"/>
                <w:szCs w:val="24"/>
              </w:rPr>
              <w:t>4</w:t>
            </w:r>
            <w:r w:rsidR="00753128" w:rsidRPr="00C45B28">
              <w:rPr>
                <w:rFonts w:ascii="宋体" w:eastAsia="宋体" w:hAnsi="宋体" w:hint="eastAsia"/>
                <w:b/>
                <w:sz w:val="24"/>
                <w:szCs w:val="24"/>
              </w:rPr>
              <w:t>、公司在选择傅利叶与中</w:t>
            </w:r>
            <w:proofErr w:type="gramStart"/>
            <w:r w:rsidR="00753128" w:rsidRPr="00C45B28">
              <w:rPr>
                <w:rFonts w:ascii="宋体" w:eastAsia="宋体" w:hAnsi="宋体" w:hint="eastAsia"/>
                <w:b/>
                <w:sz w:val="24"/>
                <w:szCs w:val="24"/>
              </w:rPr>
              <w:t>科行智两家</w:t>
            </w:r>
            <w:proofErr w:type="gramEnd"/>
            <w:r w:rsidR="00753128" w:rsidRPr="00C45B28">
              <w:rPr>
                <w:rFonts w:ascii="宋体" w:eastAsia="宋体" w:hAnsi="宋体" w:hint="eastAsia"/>
                <w:b/>
                <w:sz w:val="24"/>
                <w:szCs w:val="24"/>
              </w:rPr>
              <w:t>合作伙伴方面有何</w:t>
            </w:r>
            <w:proofErr w:type="gramStart"/>
            <w:r w:rsidR="00753128" w:rsidRPr="00C45B28">
              <w:rPr>
                <w:rFonts w:ascii="宋体" w:eastAsia="宋体" w:hAnsi="宋体" w:hint="eastAsia"/>
                <w:b/>
                <w:sz w:val="24"/>
                <w:szCs w:val="24"/>
              </w:rPr>
              <w:t>考量</w:t>
            </w:r>
            <w:proofErr w:type="gramEnd"/>
            <w:r w:rsidR="00753128" w:rsidRPr="00C45B28">
              <w:rPr>
                <w:rFonts w:ascii="宋体" w:eastAsia="宋体" w:hAnsi="宋体" w:hint="eastAsia"/>
                <w:b/>
                <w:sz w:val="24"/>
                <w:szCs w:val="24"/>
              </w:rPr>
              <w:t>？其优势体现在哪方面？</w:t>
            </w:r>
          </w:p>
          <w:p w14:paraId="1F2CC142" w14:textId="7D0FCD5F" w:rsidR="00753128" w:rsidRPr="00753128" w:rsidRDefault="00753128" w:rsidP="00237B74">
            <w:pPr>
              <w:spacing w:line="276" w:lineRule="auto"/>
              <w:rPr>
                <w:rFonts w:ascii="宋体" w:eastAsia="宋体" w:hAnsi="宋体"/>
                <w:sz w:val="24"/>
                <w:szCs w:val="24"/>
              </w:rPr>
            </w:pPr>
            <w:r w:rsidRPr="00753128">
              <w:rPr>
                <w:rFonts w:ascii="宋体" w:eastAsia="宋体" w:hAnsi="宋体" w:hint="eastAsia"/>
                <w:sz w:val="24"/>
                <w:szCs w:val="24"/>
              </w:rPr>
              <w:t>（1）傅利叶是目前国内生产机器人本体（躯干）领域最优秀的企业之一，以全</w:t>
            </w:r>
            <w:proofErr w:type="gramStart"/>
            <w:r w:rsidRPr="00753128">
              <w:rPr>
                <w:rFonts w:ascii="宋体" w:eastAsia="宋体" w:hAnsi="宋体" w:hint="eastAsia"/>
                <w:sz w:val="24"/>
                <w:szCs w:val="24"/>
              </w:rPr>
              <w:t>栈</w:t>
            </w:r>
            <w:proofErr w:type="gramEnd"/>
            <w:r w:rsidRPr="00753128">
              <w:rPr>
                <w:rFonts w:ascii="宋体" w:eastAsia="宋体" w:hAnsi="宋体" w:hint="eastAsia"/>
                <w:sz w:val="24"/>
                <w:szCs w:val="24"/>
              </w:rPr>
              <w:t>式机器人核心技术为基石、以创新型机器人本体产品为载体，已将通用机器人技术在医疗康复场景实现规模化应用。同时，为提升项目落地速度，我们选择与其合作；</w:t>
            </w:r>
          </w:p>
          <w:p w14:paraId="12FEBB46" w14:textId="4D40249B" w:rsidR="00753128" w:rsidRPr="00753128" w:rsidRDefault="00753128" w:rsidP="00237B74">
            <w:pPr>
              <w:spacing w:line="276" w:lineRule="auto"/>
              <w:rPr>
                <w:rFonts w:ascii="宋体" w:eastAsia="宋体" w:hAnsi="宋体"/>
                <w:sz w:val="24"/>
                <w:szCs w:val="24"/>
              </w:rPr>
            </w:pPr>
            <w:r w:rsidRPr="00753128">
              <w:rPr>
                <w:rFonts w:ascii="宋体" w:eastAsia="宋体" w:hAnsi="宋体" w:hint="eastAsia"/>
                <w:sz w:val="24"/>
                <w:szCs w:val="24"/>
              </w:rPr>
              <w:t>（2）机器人的“大脑”部分需要大量的模型及算法做支撑，中</w:t>
            </w:r>
            <w:proofErr w:type="gramStart"/>
            <w:r w:rsidRPr="00753128">
              <w:rPr>
                <w:rFonts w:ascii="宋体" w:eastAsia="宋体" w:hAnsi="宋体" w:hint="eastAsia"/>
                <w:sz w:val="24"/>
                <w:szCs w:val="24"/>
              </w:rPr>
              <w:t>科行智作为</w:t>
            </w:r>
            <w:proofErr w:type="gramEnd"/>
            <w:r w:rsidRPr="00753128">
              <w:rPr>
                <w:rFonts w:ascii="宋体" w:eastAsia="宋体" w:hAnsi="宋体" w:hint="eastAsia"/>
                <w:sz w:val="24"/>
                <w:szCs w:val="24"/>
              </w:rPr>
              <w:t>国内拥有自主核心机器视觉AI技术的领先公司，覆盖2D/3D机器视觉全场景应用，将持续深入开拓3D视觉传感技术，并运用自</w:t>
            </w:r>
            <w:proofErr w:type="gramStart"/>
            <w:r w:rsidRPr="00753128">
              <w:rPr>
                <w:rFonts w:ascii="宋体" w:eastAsia="宋体" w:hAnsi="宋体" w:hint="eastAsia"/>
                <w:sz w:val="24"/>
                <w:szCs w:val="24"/>
              </w:rPr>
              <w:t>研</w:t>
            </w:r>
            <w:proofErr w:type="gramEnd"/>
            <w:r w:rsidRPr="00753128">
              <w:rPr>
                <w:rFonts w:ascii="宋体" w:eastAsia="宋体" w:hAnsi="宋体" w:hint="eastAsia"/>
                <w:sz w:val="24"/>
                <w:szCs w:val="24"/>
              </w:rPr>
              <w:t>底层算法，对不同应用场景中的</w:t>
            </w:r>
            <w:proofErr w:type="gramStart"/>
            <w:r w:rsidRPr="00753128">
              <w:rPr>
                <w:rFonts w:ascii="宋体" w:eastAsia="宋体" w:hAnsi="宋体" w:hint="eastAsia"/>
                <w:sz w:val="24"/>
                <w:szCs w:val="24"/>
              </w:rPr>
              <w:t>智能康养服务型</w:t>
            </w:r>
            <w:proofErr w:type="gramEnd"/>
            <w:r w:rsidRPr="00753128">
              <w:rPr>
                <w:rFonts w:ascii="宋体" w:eastAsia="宋体" w:hAnsi="宋体" w:hint="eastAsia"/>
                <w:sz w:val="24"/>
                <w:szCs w:val="24"/>
              </w:rPr>
              <w:t>机器人进行深度学习训练具有该方面的优势；</w:t>
            </w:r>
          </w:p>
          <w:p w14:paraId="5ABF00BA" w14:textId="2EAEBBA5" w:rsidR="00753128" w:rsidRDefault="00753128" w:rsidP="00237B74">
            <w:pPr>
              <w:spacing w:line="276" w:lineRule="auto"/>
              <w:rPr>
                <w:rFonts w:ascii="宋体" w:eastAsia="宋体" w:hAnsi="宋体"/>
                <w:sz w:val="24"/>
                <w:szCs w:val="24"/>
              </w:rPr>
            </w:pPr>
            <w:r w:rsidRPr="00753128">
              <w:rPr>
                <w:rFonts w:ascii="宋体" w:eastAsia="宋体" w:hAnsi="宋体" w:hint="eastAsia"/>
                <w:sz w:val="24"/>
                <w:szCs w:val="24"/>
              </w:rPr>
              <w:t>（3）麦迪科技自2005年以来一直致力于医疗信息化和大健康产品研发，是国内医疗信息化龙头，公司终端用户覆盖全国32个省份，超过2300多家医疗机构，其中高端市场占有率达到80%以上。通过发挥客户资源的优势为机器人研发提供大模型应用场景及数据支撑。</w:t>
            </w:r>
          </w:p>
          <w:p w14:paraId="7533FE67" w14:textId="77777777" w:rsidR="00753128" w:rsidRDefault="00753128" w:rsidP="00753128">
            <w:pPr>
              <w:rPr>
                <w:rFonts w:ascii="宋体" w:eastAsia="宋体" w:hAnsi="宋体"/>
                <w:sz w:val="24"/>
                <w:szCs w:val="24"/>
              </w:rPr>
            </w:pPr>
          </w:p>
          <w:p w14:paraId="21422D1A" w14:textId="7E85C41A" w:rsidR="00753128" w:rsidRPr="00C45B28" w:rsidRDefault="00834E7A" w:rsidP="00237B74">
            <w:pPr>
              <w:spacing w:line="276" w:lineRule="auto"/>
              <w:rPr>
                <w:rFonts w:ascii="宋体" w:eastAsia="宋体" w:hAnsi="宋体"/>
                <w:b/>
                <w:sz w:val="24"/>
                <w:szCs w:val="24"/>
              </w:rPr>
            </w:pPr>
            <w:r>
              <w:rPr>
                <w:rFonts w:ascii="宋体" w:eastAsia="宋体" w:hAnsi="宋体"/>
                <w:b/>
                <w:sz w:val="24"/>
                <w:szCs w:val="24"/>
              </w:rPr>
              <w:t>5</w:t>
            </w:r>
            <w:r w:rsidR="00753128" w:rsidRPr="00C45B28">
              <w:rPr>
                <w:rFonts w:ascii="宋体" w:eastAsia="宋体" w:hAnsi="宋体" w:hint="eastAsia"/>
                <w:b/>
                <w:sz w:val="24"/>
                <w:szCs w:val="24"/>
              </w:rPr>
              <w:t>、未来会有哪些场景及机器人的产品有望落地？</w:t>
            </w:r>
          </w:p>
          <w:p w14:paraId="02C8F3A6" w14:textId="69E312D8" w:rsidR="00753128" w:rsidRPr="00753128" w:rsidRDefault="00C45B28" w:rsidP="00237B74">
            <w:pPr>
              <w:spacing w:line="276" w:lineRule="auto"/>
              <w:rPr>
                <w:rFonts w:ascii="宋体" w:eastAsia="宋体" w:hAnsi="宋体"/>
                <w:sz w:val="24"/>
                <w:szCs w:val="24"/>
              </w:rPr>
            </w:pPr>
            <w:r>
              <w:rPr>
                <w:rFonts w:ascii="宋体" w:eastAsia="宋体" w:hAnsi="宋体" w:hint="eastAsia"/>
                <w:sz w:val="24"/>
                <w:szCs w:val="24"/>
              </w:rPr>
              <w:t>答：</w:t>
            </w:r>
            <w:r w:rsidR="00753128" w:rsidRPr="00753128">
              <w:rPr>
                <w:rFonts w:ascii="宋体" w:eastAsia="宋体" w:hAnsi="宋体" w:hint="eastAsia"/>
                <w:sz w:val="24"/>
                <w:szCs w:val="24"/>
              </w:rPr>
              <w:t>根据前期的调研，公司将对应不同场景落地相应机器人，包括医疗看护机</w:t>
            </w:r>
            <w:r w:rsidR="00753128" w:rsidRPr="00753128">
              <w:rPr>
                <w:rFonts w:ascii="宋体" w:eastAsia="宋体" w:hAnsi="宋体" w:hint="eastAsia"/>
                <w:sz w:val="24"/>
                <w:szCs w:val="24"/>
              </w:rPr>
              <w:lastRenderedPageBreak/>
              <w:t>器人、病房巡视机器人和陪护机器人等。</w:t>
            </w:r>
          </w:p>
          <w:p w14:paraId="7237D96E" w14:textId="77777777" w:rsidR="00753128" w:rsidRPr="00753128" w:rsidRDefault="00753128" w:rsidP="00237B74">
            <w:pPr>
              <w:spacing w:line="276" w:lineRule="auto"/>
              <w:rPr>
                <w:rFonts w:ascii="宋体" w:eastAsia="宋体" w:hAnsi="宋体"/>
                <w:sz w:val="24"/>
                <w:szCs w:val="24"/>
              </w:rPr>
            </w:pPr>
            <w:r w:rsidRPr="00753128">
              <w:rPr>
                <w:rFonts w:ascii="宋体" w:eastAsia="宋体" w:hAnsi="宋体" w:hint="eastAsia"/>
                <w:sz w:val="24"/>
                <w:szCs w:val="24"/>
              </w:rPr>
              <w:t>将从病房、康复中心、康养中心三个业务场景方面逐步实现落地探索:</w:t>
            </w:r>
          </w:p>
          <w:p w14:paraId="639D3EA8" w14:textId="5A82F2BF" w:rsidR="00753128" w:rsidRPr="00753128" w:rsidRDefault="00C45B28" w:rsidP="00237B74">
            <w:pPr>
              <w:spacing w:line="276" w:lineRule="auto"/>
              <w:rPr>
                <w:rFonts w:ascii="宋体" w:eastAsia="宋体" w:hAnsi="宋体"/>
                <w:sz w:val="24"/>
                <w:szCs w:val="24"/>
              </w:rPr>
            </w:pPr>
            <w:r>
              <w:rPr>
                <w:rFonts w:ascii="宋体" w:eastAsia="宋体" w:hAnsi="宋体" w:hint="eastAsia"/>
                <w:sz w:val="24"/>
                <w:szCs w:val="24"/>
              </w:rPr>
              <w:t>（</w:t>
            </w:r>
            <w:r w:rsidR="00753128" w:rsidRPr="00753128">
              <w:rPr>
                <w:rFonts w:ascii="宋体" w:eastAsia="宋体" w:hAnsi="宋体" w:hint="eastAsia"/>
                <w:sz w:val="24"/>
                <w:szCs w:val="24"/>
              </w:rPr>
              <w:t>1</w:t>
            </w:r>
            <w:r>
              <w:rPr>
                <w:rFonts w:ascii="宋体" w:eastAsia="宋体" w:hAnsi="宋体" w:hint="eastAsia"/>
                <w:sz w:val="24"/>
                <w:szCs w:val="24"/>
              </w:rPr>
              <w:t>）</w:t>
            </w:r>
            <w:r w:rsidR="00753128" w:rsidRPr="00753128">
              <w:rPr>
                <w:rFonts w:ascii="宋体" w:eastAsia="宋体" w:hAnsi="宋体" w:hint="eastAsia"/>
                <w:sz w:val="24"/>
                <w:szCs w:val="24"/>
              </w:rPr>
              <w:t>病房场景：基于麦迪科技长期专注的急危重症场景出发，急危重症患者在手术或重症监护结束后，回到病房，需要患者家属及护士细心看护，基于家属及护士工作量压力，针对该场景研发看护及巡视人型机器人，降低家属和护士的压力。机器人将自动整合患者进病房前在手术室、ICU的数据以及患者病史数据，结合视觉及传感器技术通过AI训练，实现智能看护预警提醒以及辅助患者活动等医疗服务。</w:t>
            </w:r>
          </w:p>
          <w:p w14:paraId="2279A0F4" w14:textId="4EB65AF8" w:rsidR="00753128" w:rsidRPr="00753128" w:rsidRDefault="00C45B28" w:rsidP="00237B74">
            <w:pPr>
              <w:spacing w:line="276" w:lineRule="auto"/>
              <w:rPr>
                <w:rFonts w:ascii="宋体" w:eastAsia="宋体" w:hAnsi="宋体"/>
                <w:sz w:val="24"/>
                <w:szCs w:val="24"/>
              </w:rPr>
            </w:pPr>
            <w:r>
              <w:rPr>
                <w:rFonts w:ascii="宋体" w:eastAsia="宋体" w:hAnsi="宋体" w:hint="eastAsia"/>
                <w:sz w:val="24"/>
                <w:szCs w:val="24"/>
              </w:rPr>
              <w:t>（2）</w:t>
            </w:r>
            <w:r w:rsidR="00753128" w:rsidRPr="00753128">
              <w:rPr>
                <w:rFonts w:ascii="宋体" w:eastAsia="宋体" w:hAnsi="宋体" w:hint="eastAsia"/>
                <w:sz w:val="24"/>
                <w:szCs w:val="24"/>
              </w:rPr>
              <w:t>康复中心场景：部分患者在住院期间，患者需要同时进入康复中心完成康复训练，针对不同的疾病康复训练需求，完成针对性康复机器人，比如针对骨科康复领域完成上肢康复机器人、下肢外骨骼机器人等产品，辅助骨科患者完成康复训练。</w:t>
            </w:r>
          </w:p>
          <w:p w14:paraId="7C4C2A4B" w14:textId="5514A0C3" w:rsidR="00753128" w:rsidRDefault="00C45B28" w:rsidP="00237B74">
            <w:pPr>
              <w:spacing w:line="276" w:lineRule="auto"/>
              <w:rPr>
                <w:rFonts w:ascii="宋体" w:eastAsia="宋体" w:hAnsi="宋体"/>
                <w:sz w:val="24"/>
                <w:szCs w:val="24"/>
              </w:rPr>
            </w:pPr>
            <w:r>
              <w:rPr>
                <w:rFonts w:ascii="宋体" w:eastAsia="宋体" w:hAnsi="宋体" w:hint="eastAsia"/>
                <w:sz w:val="24"/>
                <w:szCs w:val="24"/>
              </w:rPr>
              <w:t>（3）</w:t>
            </w:r>
            <w:r w:rsidR="00753128" w:rsidRPr="00753128">
              <w:rPr>
                <w:rFonts w:ascii="宋体" w:eastAsia="宋体" w:hAnsi="宋体" w:hint="eastAsia"/>
                <w:sz w:val="24"/>
                <w:szCs w:val="24"/>
              </w:rPr>
              <w:t>康养中心场景：康养中心是以老年人的健康需求为中心，老年患者出院后，在康养中心能得到专业化的服务。基于场景开发陪护机器人，提供全天候服务，降低人工护理的压力，提高护理效率；同时陪护机器人具备健康检测功能，能及时发现并预警健康问题，为老人健康长寿保驾护航。另外陪护机器人可以通过智能语音交互、陪伴功能，满足老人情感需求。</w:t>
            </w:r>
          </w:p>
          <w:p w14:paraId="34F72E75" w14:textId="77777777" w:rsidR="00753128" w:rsidRDefault="00753128" w:rsidP="00753128">
            <w:pPr>
              <w:rPr>
                <w:rFonts w:ascii="宋体" w:eastAsia="宋体" w:hAnsi="宋体"/>
                <w:sz w:val="24"/>
                <w:szCs w:val="24"/>
              </w:rPr>
            </w:pPr>
          </w:p>
          <w:p w14:paraId="1E6275B2" w14:textId="414D3F4D" w:rsidR="00753128" w:rsidRPr="00C45B28" w:rsidRDefault="00834E7A" w:rsidP="00237B74">
            <w:pPr>
              <w:spacing w:line="276" w:lineRule="auto"/>
              <w:rPr>
                <w:rFonts w:ascii="宋体" w:eastAsia="宋体" w:hAnsi="宋体"/>
                <w:b/>
                <w:sz w:val="24"/>
                <w:szCs w:val="24"/>
              </w:rPr>
            </w:pPr>
            <w:r>
              <w:rPr>
                <w:rFonts w:ascii="宋体" w:eastAsia="宋体" w:hAnsi="宋体"/>
                <w:b/>
                <w:sz w:val="24"/>
                <w:szCs w:val="24"/>
              </w:rPr>
              <w:t>6</w:t>
            </w:r>
            <w:r w:rsidR="00753128" w:rsidRPr="00C45B28">
              <w:rPr>
                <w:rFonts w:ascii="宋体" w:eastAsia="宋体" w:hAnsi="宋体" w:hint="eastAsia"/>
                <w:b/>
                <w:sz w:val="24"/>
                <w:szCs w:val="24"/>
              </w:rPr>
              <w:t>、本次合作的战略目的是什么？</w:t>
            </w:r>
          </w:p>
          <w:p w14:paraId="4383C970" w14:textId="77777777" w:rsidR="00753128" w:rsidRDefault="00C45B28" w:rsidP="00237B74">
            <w:pPr>
              <w:spacing w:line="276" w:lineRule="auto"/>
              <w:rPr>
                <w:rFonts w:ascii="宋体" w:eastAsia="宋体" w:hAnsi="宋体"/>
                <w:sz w:val="24"/>
                <w:szCs w:val="24"/>
              </w:rPr>
            </w:pPr>
            <w:r>
              <w:rPr>
                <w:rFonts w:ascii="宋体" w:eastAsia="宋体" w:hAnsi="宋体" w:hint="eastAsia"/>
                <w:sz w:val="24"/>
                <w:szCs w:val="24"/>
              </w:rPr>
              <w:t>答：</w:t>
            </w:r>
            <w:r w:rsidR="00753128" w:rsidRPr="00753128">
              <w:rPr>
                <w:rFonts w:ascii="宋体" w:eastAsia="宋体" w:hAnsi="宋体" w:hint="eastAsia"/>
                <w:sz w:val="24"/>
                <w:szCs w:val="24"/>
              </w:rPr>
              <w:t>本次麦迪科技、中科行智、傅利叶智能科技就医疗康养服务机器人的合作是在人口老龄化大背景下，</w:t>
            </w:r>
            <w:proofErr w:type="gramStart"/>
            <w:r w:rsidR="00753128" w:rsidRPr="00753128">
              <w:rPr>
                <w:rFonts w:ascii="宋体" w:eastAsia="宋体" w:hAnsi="宋体" w:hint="eastAsia"/>
                <w:sz w:val="24"/>
                <w:szCs w:val="24"/>
              </w:rPr>
              <w:t>医疗大健康康养</w:t>
            </w:r>
            <w:proofErr w:type="gramEnd"/>
            <w:r w:rsidR="00753128" w:rsidRPr="00753128">
              <w:rPr>
                <w:rFonts w:ascii="宋体" w:eastAsia="宋体" w:hAnsi="宋体" w:hint="eastAsia"/>
                <w:sz w:val="24"/>
                <w:szCs w:val="24"/>
              </w:rPr>
              <w:t>服务需求凸显以及AI、人形机器人等相关技术逐步成熟的基础至上做的战略布局。本次战略布局是结合麦迪科技医疗场景业务经验，中</w:t>
            </w:r>
            <w:proofErr w:type="gramStart"/>
            <w:r w:rsidR="00753128" w:rsidRPr="00753128">
              <w:rPr>
                <w:rFonts w:ascii="宋体" w:eastAsia="宋体" w:hAnsi="宋体" w:hint="eastAsia"/>
                <w:sz w:val="24"/>
                <w:szCs w:val="24"/>
              </w:rPr>
              <w:t>科行智</w:t>
            </w:r>
            <w:proofErr w:type="gramEnd"/>
            <w:r w:rsidR="00753128" w:rsidRPr="00753128">
              <w:rPr>
                <w:rFonts w:ascii="宋体" w:eastAsia="宋体" w:hAnsi="宋体" w:hint="eastAsia"/>
                <w:sz w:val="24"/>
                <w:szCs w:val="24"/>
              </w:rPr>
              <w:t>AI视觉算法经验，傅利叶智能人形机器人经验，整合医疗场景，机器人，人工智能等新质生产力方面的优势，携手助力服务型机器人在</w:t>
            </w:r>
            <w:proofErr w:type="gramStart"/>
            <w:r w:rsidR="00753128" w:rsidRPr="00753128">
              <w:rPr>
                <w:rFonts w:ascii="宋体" w:eastAsia="宋体" w:hAnsi="宋体" w:hint="eastAsia"/>
                <w:sz w:val="24"/>
                <w:szCs w:val="24"/>
              </w:rPr>
              <w:t>医疗大</w:t>
            </w:r>
            <w:proofErr w:type="gramEnd"/>
            <w:r w:rsidR="00753128" w:rsidRPr="00753128">
              <w:rPr>
                <w:rFonts w:ascii="宋体" w:eastAsia="宋体" w:hAnsi="宋体" w:hint="eastAsia"/>
                <w:sz w:val="24"/>
                <w:szCs w:val="24"/>
              </w:rPr>
              <w:t>健康产业化落地。</w:t>
            </w:r>
          </w:p>
          <w:p w14:paraId="1FEE564B" w14:textId="77777777" w:rsidR="007B52ED" w:rsidRDefault="007B52ED" w:rsidP="00237B74">
            <w:pPr>
              <w:spacing w:line="276" w:lineRule="auto"/>
              <w:rPr>
                <w:rFonts w:ascii="宋体" w:eastAsia="宋体" w:hAnsi="宋体"/>
                <w:sz w:val="24"/>
                <w:szCs w:val="24"/>
              </w:rPr>
            </w:pPr>
          </w:p>
          <w:p w14:paraId="15714DAC" w14:textId="5DC7038C" w:rsidR="007B52ED" w:rsidRPr="00C45B28" w:rsidRDefault="00834E7A" w:rsidP="007B52ED">
            <w:pPr>
              <w:spacing w:line="276" w:lineRule="auto"/>
              <w:rPr>
                <w:rFonts w:ascii="宋体" w:eastAsia="宋体" w:hAnsi="宋体"/>
                <w:b/>
                <w:sz w:val="24"/>
                <w:szCs w:val="24"/>
              </w:rPr>
            </w:pPr>
            <w:r>
              <w:rPr>
                <w:rFonts w:ascii="宋体" w:eastAsia="宋体" w:hAnsi="宋体"/>
                <w:b/>
                <w:sz w:val="24"/>
                <w:szCs w:val="24"/>
              </w:rPr>
              <w:t>7</w:t>
            </w:r>
            <w:r w:rsidR="007B52ED" w:rsidRPr="00C45B28">
              <w:rPr>
                <w:rFonts w:ascii="宋体" w:eastAsia="宋体" w:hAnsi="宋体" w:hint="eastAsia"/>
                <w:b/>
                <w:sz w:val="24"/>
                <w:szCs w:val="24"/>
              </w:rPr>
              <w:t>、9GW投产状态？现阶段开工率如何？</w:t>
            </w:r>
          </w:p>
          <w:p w14:paraId="36BD6B78" w14:textId="77777777" w:rsidR="007B52ED" w:rsidRPr="00753128" w:rsidRDefault="007B52ED" w:rsidP="007B52ED">
            <w:pPr>
              <w:spacing w:line="276" w:lineRule="auto"/>
              <w:rPr>
                <w:rFonts w:ascii="宋体" w:eastAsia="宋体" w:hAnsi="宋体"/>
                <w:sz w:val="24"/>
                <w:szCs w:val="24"/>
              </w:rPr>
            </w:pPr>
            <w:r w:rsidRPr="00753128">
              <w:rPr>
                <w:rFonts w:ascii="宋体" w:eastAsia="宋体" w:hAnsi="宋体" w:hint="eastAsia"/>
                <w:sz w:val="24"/>
                <w:szCs w:val="24"/>
              </w:rPr>
              <w:t>答：9GW产能已于2023年第四季度投建完成；目前阶段性60~70%的开工率，</w:t>
            </w:r>
            <w:proofErr w:type="gramStart"/>
            <w:r w:rsidRPr="00753128">
              <w:rPr>
                <w:rFonts w:ascii="宋体" w:eastAsia="宋体" w:hAnsi="宋体" w:hint="eastAsia"/>
                <w:sz w:val="24"/>
                <w:szCs w:val="24"/>
              </w:rPr>
              <w:t>产线开工</w:t>
            </w:r>
            <w:proofErr w:type="gramEnd"/>
            <w:r w:rsidRPr="00753128">
              <w:rPr>
                <w:rFonts w:ascii="宋体" w:eastAsia="宋体" w:hAnsi="宋体" w:hint="eastAsia"/>
                <w:sz w:val="24"/>
                <w:szCs w:val="24"/>
              </w:rPr>
              <w:t>主要以市场需求为导向。第二季度仍需要考察市场情况，预期二季度电池片会相对紧俏，二三季度下游需求持续旺盛，再加上硅片去库存成本能够继续下行，电池</w:t>
            </w:r>
            <w:proofErr w:type="gramStart"/>
            <w:r w:rsidRPr="00753128">
              <w:rPr>
                <w:rFonts w:ascii="宋体" w:eastAsia="宋体" w:hAnsi="宋体" w:hint="eastAsia"/>
                <w:sz w:val="24"/>
                <w:szCs w:val="24"/>
              </w:rPr>
              <w:t>片供应</w:t>
            </w:r>
            <w:proofErr w:type="gramEnd"/>
            <w:r w:rsidRPr="00753128">
              <w:rPr>
                <w:rFonts w:ascii="宋体" w:eastAsia="宋体" w:hAnsi="宋体" w:hint="eastAsia"/>
                <w:sz w:val="24"/>
                <w:szCs w:val="24"/>
              </w:rPr>
              <w:t>会成为比较核心的供应，达到相对紧缺状态。</w:t>
            </w:r>
          </w:p>
          <w:p w14:paraId="5D2C02A2" w14:textId="77777777" w:rsidR="007B52ED" w:rsidRPr="00753128" w:rsidRDefault="007B52ED" w:rsidP="007B52ED">
            <w:pPr>
              <w:rPr>
                <w:rFonts w:ascii="宋体" w:eastAsia="宋体" w:hAnsi="宋体"/>
                <w:sz w:val="24"/>
                <w:szCs w:val="24"/>
              </w:rPr>
            </w:pPr>
          </w:p>
          <w:p w14:paraId="7C6DE819" w14:textId="21F68761" w:rsidR="007B52ED" w:rsidRPr="00C45B28" w:rsidRDefault="009C5A07" w:rsidP="007B52ED">
            <w:pPr>
              <w:spacing w:line="276" w:lineRule="auto"/>
              <w:rPr>
                <w:rFonts w:ascii="宋体" w:eastAsia="宋体" w:hAnsi="宋体"/>
                <w:b/>
                <w:sz w:val="24"/>
                <w:szCs w:val="24"/>
              </w:rPr>
            </w:pPr>
            <w:r>
              <w:rPr>
                <w:rFonts w:ascii="宋体" w:eastAsia="宋体" w:hAnsi="宋体" w:hint="eastAsia"/>
                <w:b/>
                <w:sz w:val="24"/>
                <w:szCs w:val="24"/>
              </w:rPr>
              <w:t>8</w:t>
            </w:r>
            <w:r w:rsidR="007B52ED" w:rsidRPr="00C45B28">
              <w:rPr>
                <w:rFonts w:ascii="宋体" w:eastAsia="宋体" w:hAnsi="宋体" w:hint="eastAsia"/>
                <w:b/>
                <w:sz w:val="24"/>
                <w:szCs w:val="24"/>
              </w:rPr>
              <w:t>、后续扩产规划？</w:t>
            </w:r>
          </w:p>
          <w:p w14:paraId="1F6E12D3" w14:textId="7429E05C" w:rsidR="007B52ED" w:rsidRPr="00753128" w:rsidRDefault="007B52ED" w:rsidP="007B52ED">
            <w:pPr>
              <w:spacing w:line="276" w:lineRule="auto"/>
              <w:rPr>
                <w:rFonts w:ascii="宋体" w:eastAsia="宋体" w:hAnsi="宋体"/>
                <w:sz w:val="24"/>
                <w:szCs w:val="24"/>
              </w:rPr>
            </w:pPr>
            <w:r w:rsidRPr="00753128">
              <w:rPr>
                <w:rFonts w:ascii="宋体" w:eastAsia="宋体" w:hAnsi="宋体" w:hint="eastAsia"/>
                <w:sz w:val="24"/>
                <w:szCs w:val="24"/>
              </w:rPr>
              <w:t>答：目前整个市场的产能还是比较多的，仍处在一个</w:t>
            </w:r>
            <w:r w:rsidR="006B484B">
              <w:rPr>
                <w:rFonts w:ascii="宋体" w:eastAsia="宋体" w:hAnsi="宋体" w:hint="eastAsia"/>
                <w:sz w:val="24"/>
                <w:szCs w:val="24"/>
              </w:rPr>
              <w:t>低端产能</w:t>
            </w:r>
            <w:r w:rsidRPr="00753128">
              <w:rPr>
                <w:rFonts w:ascii="宋体" w:eastAsia="宋体" w:hAnsi="宋体" w:hint="eastAsia"/>
                <w:sz w:val="24"/>
                <w:szCs w:val="24"/>
              </w:rPr>
              <w:t>出清的过程，我们首先需要确保稳定生产，同时保证产品质量。后续二期目前已经有预留相应的厂房用地、政府的前期准备工作也一直在进行中，包括基建、道路、配电、污水处理等。未来二期将</w:t>
            </w:r>
            <w:proofErr w:type="gramStart"/>
            <w:r w:rsidR="00EE4569">
              <w:rPr>
                <w:rFonts w:ascii="宋体" w:eastAsia="宋体" w:hAnsi="宋体" w:hint="eastAsia"/>
                <w:sz w:val="24"/>
                <w:szCs w:val="24"/>
              </w:rPr>
              <w:t>视行业</w:t>
            </w:r>
            <w:proofErr w:type="gramEnd"/>
            <w:r w:rsidR="007E7319">
              <w:rPr>
                <w:rFonts w:ascii="宋体" w:eastAsia="宋体" w:hAnsi="宋体" w:hint="eastAsia"/>
                <w:sz w:val="24"/>
                <w:szCs w:val="24"/>
              </w:rPr>
              <w:t>及</w:t>
            </w:r>
            <w:r w:rsidR="00EE4569">
              <w:rPr>
                <w:rFonts w:ascii="宋体" w:eastAsia="宋体" w:hAnsi="宋体" w:hint="eastAsia"/>
                <w:sz w:val="24"/>
                <w:szCs w:val="24"/>
              </w:rPr>
              <w:t>市场情况，</w:t>
            </w:r>
            <w:r w:rsidR="007E7319">
              <w:rPr>
                <w:rFonts w:ascii="宋体" w:eastAsia="宋体" w:hAnsi="宋体" w:hint="eastAsia"/>
                <w:sz w:val="24"/>
                <w:szCs w:val="24"/>
              </w:rPr>
              <w:t>在</w:t>
            </w:r>
            <w:r w:rsidRPr="00753128">
              <w:rPr>
                <w:rFonts w:ascii="宋体" w:eastAsia="宋体" w:hAnsi="宋体" w:hint="eastAsia"/>
                <w:sz w:val="24"/>
                <w:szCs w:val="24"/>
              </w:rPr>
              <w:t>一期产能和销售达到</w:t>
            </w:r>
            <w:r w:rsidR="00FD1C00">
              <w:rPr>
                <w:rFonts w:ascii="宋体" w:eastAsia="宋体" w:hAnsi="宋体" w:hint="eastAsia"/>
                <w:sz w:val="24"/>
                <w:szCs w:val="24"/>
              </w:rPr>
              <w:t>预期</w:t>
            </w:r>
            <w:r w:rsidRPr="00753128">
              <w:rPr>
                <w:rFonts w:ascii="宋体" w:eastAsia="宋体" w:hAnsi="宋体" w:hint="eastAsia"/>
                <w:sz w:val="24"/>
                <w:szCs w:val="24"/>
              </w:rPr>
              <w:t>后，再全力推进扩产。</w:t>
            </w:r>
          </w:p>
          <w:p w14:paraId="5CD4F959" w14:textId="77777777" w:rsidR="007B52ED" w:rsidRPr="00753128" w:rsidRDefault="007B52ED" w:rsidP="007B52ED">
            <w:pPr>
              <w:rPr>
                <w:rFonts w:ascii="宋体" w:eastAsia="宋体" w:hAnsi="宋体"/>
                <w:sz w:val="24"/>
                <w:szCs w:val="24"/>
              </w:rPr>
            </w:pPr>
          </w:p>
          <w:p w14:paraId="716EBD38" w14:textId="64300927" w:rsidR="007B52ED" w:rsidRPr="00C45B28" w:rsidRDefault="009C5A07" w:rsidP="007B52ED">
            <w:pPr>
              <w:spacing w:line="276" w:lineRule="auto"/>
              <w:rPr>
                <w:rFonts w:ascii="宋体" w:eastAsia="宋体" w:hAnsi="宋体"/>
                <w:b/>
                <w:sz w:val="24"/>
                <w:szCs w:val="24"/>
              </w:rPr>
            </w:pPr>
            <w:r>
              <w:rPr>
                <w:rFonts w:ascii="宋体" w:eastAsia="宋体" w:hAnsi="宋体" w:hint="eastAsia"/>
                <w:b/>
                <w:sz w:val="24"/>
                <w:szCs w:val="24"/>
              </w:rPr>
              <w:lastRenderedPageBreak/>
              <w:t>9</w:t>
            </w:r>
            <w:r w:rsidR="007B52ED" w:rsidRPr="00C45B28">
              <w:rPr>
                <w:rFonts w:ascii="宋体" w:eastAsia="宋体" w:hAnsi="宋体" w:hint="eastAsia"/>
                <w:b/>
                <w:sz w:val="24"/>
                <w:szCs w:val="24"/>
              </w:rPr>
              <w:t>、今年年底目标效率达到多少？</w:t>
            </w:r>
          </w:p>
          <w:p w14:paraId="405E1125" w14:textId="01410121" w:rsidR="007B52ED" w:rsidRPr="00753128" w:rsidRDefault="007B52ED" w:rsidP="007B52ED">
            <w:pPr>
              <w:spacing w:line="276" w:lineRule="auto"/>
              <w:rPr>
                <w:rFonts w:ascii="宋体" w:eastAsia="宋体" w:hAnsi="宋体"/>
                <w:sz w:val="24"/>
                <w:szCs w:val="24"/>
              </w:rPr>
            </w:pPr>
            <w:r w:rsidRPr="00753128">
              <w:rPr>
                <w:rFonts w:ascii="宋体" w:eastAsia="宋体" w:hAnsi="宋体" w:hint="eastAsia"/>
                <w:sz w:val="24"/>
                <w:szCs w:val="24"/>
              </w:rPr>
              <w:t>答:</w:t>
            </w:r>
            <w:r w:rsidR="00A40E26">
              <w:rPr>
                <w:rFonts w:ascii="宋体" w:eastAsia="宋体" w:hAnsi="宋体" w:hint="eastAsia"/>
                <w:sz w:val="24"/>
                <w:szCs w:val="24"/>
              </w:rPr>
              <w:t>公司将通过去除SE、背面poly减薄等多种技术工艺改良，提高产品效率，目标</w:t>
            </w:r>
            <w:proofErr w:type="gramStart"/>
            <w:r w:rsidR="00A40E26">
              <w:rPr>
                <w:rFonts w:ascii="宋体" w:eastAsia="宋体" w:hAnsi="宋体" w:hint="eastAsia"/>
                <w:sz w:val="24"/>
                <w:szCs w:val="24"/>
              </w:rPr>
              <w:t>将产线效率</w:t>
            </w:r>
            <w:proofErr w:type="gramEnd"/>
            <w:r w:rsidR="00A40E26">
              <w:rPr>
                <w:rFonts w:ascii="宋体" w:eastAsia="宋体" w:hAnsi="宋体" w:hint="eastAsia"/>
                <w:sz w:val="24"/>
                <w:szCs w:val="24"/>
              </w:rPr>
              <w:t>提升到</w:t>
            </w:r>
            <w:r w:rsidRPr="00753128">
              <w:rPr>
                <w:rFonts w:ascii="宋体" w:eastAsia="宋体" w:hAnsi="宋体" w:hint="eastAsia"/>
                <w:sz w:val="24"/>
                <w:szCs w:val="24"/>
              </w:rPr>
              <w:t>26.</w:t>
            </w:r>
            <w:r w:rsidR="006B484B">
              <w:rPr>
                <w:rFonts w:ascii="宋体" w:eastAsia="宋体" w:hAnsi="宋体" w:hint="eastAsia"/>
                <w:sz w:val="24"/>
                <w:szCs w:val="24"/>
              </w:rPr>
              <w:t>7</w:t>
            </w:r>
            <w:r w:rsidRPr="00753128">
              <w:rPr>
                <w:rFonts w:ascii="宋体" w:eastAsia="宋体" w:hAnsi="宋体" w:hint="eastAsia"/>
                <w:sz w:val="24"/>
                <w:szCs w:val="24"/>
              </w:rPr>
              <w:t>%</w:t>
            </w:r>
            <w:r w:rsidR="00A40E26">
              <w:rPr>
                <w:rFonts w:ascii="宋体" w:eastAsia="宋体" w:hAnsi="宋体" w:hint="eastAsia"/>
                <w:sz w:val="24"/>
                <w:szCs w:val="24"/>
              </w:rPr>
              <w:t>。公司</w:t>
            </w:r>
            <w:r w:rsidRPr="00753128">
              <w:rPr>
                <w:rFonts w:ascii="宋体" w:eastAsia="宋体" w:hAnsi="宋体" w:hint="eastAsia"/>
                <w:sz w:val="24"/>
                <w:szCs w:val="24"/>
              </w:rPr>
              <w:t>目前</w:t>
            </w:r>
            <w:proofErr w:type="gramStart"/>
            <w:r w:rsidR="00A40E26">
              <w:rPr>
                <w:rFonts w:ascii="宋体" w:eastAsia="宋体" w:hAnsi="宋体" w:hint="eastAsia"/>
                <w:sz w:val="24"/>
                <w:szCs w:val="24"/>
              </w:rPr>
              <w:t>产线</w:t>
            </w:r>
            <w:r w:rsidR="006B484B">
              <w:rPr>
                <w:rFonts w:ascii="宋体" w:eastAsia="宋体" w:hAnsi="宋体" w:hint="eastAsia"/>
                <w:sz w:val="24"/>
                <w:szCs w:val="24"/>
              </w:rPr>
              <w:t>平均</w:t>
            </w:r>
            <w:proofErr w:type="gramEnd"/>
            <w:r w:rsidRPr="00753128">
              <w:rPr>
                <w:rFonts w:ascii="宋体" w:eastAsia="宋体" w:hAnsi="宋体" w:hint="eastAsia"/>
                <w:sz w:val="24"/>
                <w:szCs w:val="24"/>
              </w:rPr>
              <w:t>量产效率已达26%。</w:t>
            </w:r>
          </w:p>
          <w:p w14:paraId="6F78FB89" w14:textId="77777777" w:rsidR="007B52ED" w:rsidRDefault="007B52ED" w:rsidP="006B484B">
            <w:pPr>
              <w:spacing w:line="276" w:lineRule="auto"/>
              <w:rPr>
                <w:rFonts w:ascii="宋体" w:eastAsia="宋体" w:hAnsi="宋体"/>
                <w:b/>
                <w:sz w:val="24"/>
                <w:szCs w:val="24"/>
              </w:rPr>
            </w:pPr>
          </w:p>
          <w:p w14:paraId="3EDA0737" w14:textId="09D5B56B" w:rsidR="00D658E2" w:rsidRDefault="00D658E2" w:rsidP="006B484B">
            <w:pPr>
              <w:spacing w:line="276" w:lineRule="auto"/>
              <w:rPr>
                <w:rFonts w:ascii="宋体" w:eastAsia="宋体" w:hAnsi="宋体"/>
                <w:b/>
                <w:sz w:val="24"/>
                <w:szCs w:val="24"/>
              </w:rPr>
            </w:pPr>
            <w:r>
              <w:rPr>
                <w:rFonts w:ascii="宋体" w:eastAsia="宋体" w:hAnsi="宋体" w:hint="eastAsia"/>
                <w:b/>
                <w:sz w:val="24"/>
                <w:szCs w:val="24"/>
              </w:rPr>
              <w:t>10、公司近年分红情况如何？</w:t>
            </w:r>
          </w:p>
          <w:p w14:paraId="64C9BE07" w14:textId="77777777" w:rsidR="003E0A9B" w:rsidRDefault="00D658E2" w:rsidP="006B484B">
            <w:pPr>
              <w:spacing w:line="276" w:lineRule="auto"/>
              <w:rPr>
                <w:rFonts w:ascii="宋体" w:eastAsia="宋体" w:hAnsi="宋体"/>
                <w:sz w:val="24"/>
                <w:szCs w:val="24"/>
              </w:rPr>
            </w:pPr>
            <w:r w:rsidRPr="00753128">
              <w:rPr>
                <w:rFonts w:ascii="宋体" w:eastAsia="宋体" w:hAnsi="宋体" w:hint="eastAsia"/>
                <w:sz w:val="24"/>
                <w:szCs w:val="24"/>
              </w:rPr>
              <w:t>答:</w:t>
            </w:r>
            <w:r w:rsidRPr="00D658E2">
              <w:rPr>
                <w:rFonts w:ascii="宋体" w:eastAsia="宋体" w:hAnsi="宋体" w:hint="eastAsia"/>
                <w:sz w:val="24"/>
                <w:szCs w:val="24"/>
              </w:rPr>
              <w:t>公司关注公司股东权益，积极分红。因2023年度公司财务数据及权益分派方案尚未披露，故以2020-2022年度计算，公司2020年度派发现金红利1,076.63万元。 2021 年以集中竞价交易方式回购公司股份累计支付资金 7,069.19万元，2022年度因投建光</w:t>
            </w:r>
            <w:proofErr w:type="gramStart"/>
            <w:r w:rsidRPr="00D658E2">
              <w:rPr>
                <w:rFonts w:ascii="宋体" w:eastAsia="宋体" w:hAnsi="宋体" w:hint="eastAsia"/>
                <w:sz w:val="24"/>
                <w:szCs w:val="24"/>
              </w:rPr>
              <w:t>伏</w:t>
            </w:r>
            <w:proofErr w:type="gramEnd"/>
            <w:r w:rsidRPr="00D658E2">
              <w:rPr>
                <w:rFonts w:ascii="宋体" w:eastAsia="宋体" w:hAnsi="宋体" w:hint="eastAsia"/>
                <w:sz w:val="24"/>
                <w:szCs w:val="24"/>
              </w:rPr>
              <w:t>项目未派发现金红利。根据《上海证券交易所上市公司自律监管指引第 7 号——回购股份》第八条规定，上市公司以现金为对价，采用集中竞价方式回购股份的，视同现金分红金额计算。公司2020-2022年度公司累计涉及金额8,145.82万元。</w:t>
            </w:r>
          </w:p>
          <w:p w14:paraId="376B5FBA" w14:textId="000BEE83" w:rsidR="00D658E2" w:rsidRPr="007B52ED" w:rsidRDefault="00D658E2" w:rsidP="006B484B">
            <w:pPr>
              <w:spacing w:line="276" w:lineRule="auto"/>
              <w:rPr>
                <w:rFonts w:ascii="宋体" w:eastAsia="宋体" w:hAnsi="宋体" w:hint="eastAsia"/>
                <w:b/>
                <w:sz w:val="24"/>
                <w:szCs w:val="24"/>
              </w:rPr>
            </w:pPr>
            <w:r w:rsidRPr="00D658E2">
              <w:rPr>
                <w:rFonts w:ascii="宋体" w:eastAsia="宋体" w:hAnsi="宋体" w:hint="eastAsia"/>
                <w:sz w:val="24"/>
                <w:szCs w:val="24"/>
              </w:rPr>
              <w:t>截至 2024 年 3 月 31 日，公司2024年以集中竞价交易方式回购公司股份 1,806.75万元。</w:t>
            </w:r>
          </w:p>
        </w:tc>
      </w:tr>
      <w:bookmarkEnd w:id="0"/>
    </w:tbl>
    <w:p w14:paraId="2A22641C" w14:textId="77777777" w:rsidR="00406764" w:rsidRPr="002E36E8" w:rsidRDefault="00406764"/>
    <w:sectPr w:rsidR="00406764" w:rsidRPr="002E36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6427F" w14:textId="77777777" w:rsidR="00B32F86" w:rsidRDefault="00B32F86" w:rsidP="00F93A46">
      <w:r>
        <w:separator/>
      </w:r>
    </w:p>
  </w:endnote>
  <w:endnote w:type="continuationSeparator" w:id="0">
    <w:p w14:paraId="53A0972D" w14:textId="77777777" w:rsidR="00B32F86" w:rsidRDefault="00B32F86" w:rsidP="00F9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8D287" w14:textId="77777777" w:rsidR="00B32F86" w:rsidRDefault="00B32F86" w:rsidP="00F93A46">
      <w:r>
        <w:separator/>
      </w:r>
    </w:p>
  </w:footnote>
  <w:footnote w:type="continuationSeparator" w:id="0">
    <w:p w14:paraId="3BA3B096" w14:textId="77777777" w:rsidR="00B32F86" w:rsidRDefault="00B32F86" w:rsidP="00F93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3AEEF"/>
    <w:multiLevelType w:val="singleLevel"/>
    <w:tmpl w:val="5633AEEF"/>
    <w:lvl w:ilvl="0">
      <w:start w:val="1"/>
      <w:numFmt w:val="chineseCounting"/>
      <w:suff w:val="nothing"/>
      <w:lvlText w:val="（%1）"/>
      <w:lvlJc w:val="left"/>
      <w:rPr>
        <w:rFonts w:hint="eastAsia"/>
        <w:sz w:val="24"/>
        <w:szCs w:val="24"/>
      </w:rPr>
    </w:lvl>
  </w:abstractNum>
  <w:num w:numId="1" w16cid:durableId="48498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F7D"/>
    <w:rsid w:val="00004457"/>
    <w:rsid w:val="00006E98"/>
    <w:rsid w:val="00013ACF"/>
    <w:rsid w:val="00045A35"/>
    <w:rsid w:val="00046501"/>
    <w:rsid w:val="00057FE0"/>
    <w:rsid w:val="00075EA2"/>
    <w:rsid w:val="000853D4"/>
    <w:rsid w:val="00091580"/>
    <w:rsid w:val="000920BE"/>
    <w:rsid w:val="000C4B97"/>
    <w:rsid w:val="000E1CA3"/>
    <w:rsid w:val="000F2368"/>
    <w:rsid w:val="0011478C"/>
    <w:rsid w:val="0012121C"/>
    <w:rsid w:val="001262B6"/>
    <w:rsid w:val="00135D05"/>
    <w:rsid w:val="001753F1"/>
    <w:rsid w:val="0017551A"/>
    <w:rsid w:val="00180EAD"/>
    <w:rsid w:val="001D4CA2"/>
    <w:rsid w:val="002047CC"/>
    <w:rsid w:val="002121BC"/>
    <w:rsid w:val="00221491"/>
    <w:rsid w:val="00230134"/>
    <w:rsid w:val="0023218F"/>
    <w:rsid w:val="00237B74"/>
    <w:rsid w:val="00255C10"/>
    <w:rsid w:val="002564D4"/>
    <w:rsid w:val="00264CEE"/>
    <w:rsid w:val="00276606"/>
    <w:rsid w:val="002904D2"/>
    <w:rsid w:val="00290821"/>
    <w:rsid w:val="002A2AF2"/>
    <w:rsid w:val="002A4336"/>
    <w:rsid w:val="002B0C8B"/>
    <w:rsid w:val="002C1D0D"/>
    <w:rsid w:val="002E36E8"/>
    <w:rsid w:val="002F77E4"/>
    <w:rsid w:val="00301B3B"/>
    <w:rsid w:val="003056CD"/>
    <w:rsid w:val="003103D6"/>
    <w:rsid w:val="00327458"/>
    <w:rsid w:val="00334026"/>
    <w:rsid w:val="00356472"/>
    <w:rsid w:val="00374C18"/>
    <w:rsid w:val="003775D4"/>
    <w:rsid w:val="003B2CA2"/>
    <w:rsid w:val="003E0A9B"/>
    <w:rsid w:val="003E79FB"/>
    <w:rsid w:val="003F38FB"/>
    <w:rsid w:val="0040074E"/>
    <w:rsid w:val="00404745"/>
    <w:rsid w:val="00406764"/>
    <w:rsid w:val="00434C10"/>
    <w:rsid w:val="00435D32"/>
    <w:rsid w:val="00473E1E"/>
    <w:rsid w:val="004757B9"/>
    <w:rsid w:val="00480F5E"/>
    <w:rsid w:val="00490ECF"/>
    <w:rsid w:val="004A5B58"/>
    <w:rsid w:val="004D5123"/>
    <w:rsid w:val="004E3194"/>
    <w:rsid w:val="004E7095"/>
    <w:rsid w:val="004F2622"/>
    <w:rsid w:val="004F63C5"/>
    <w:rsid w:val="00506964"/>
    <w:rsid w:val="0051034A"/>
    <w:rsid w:val="0052062D"/>
    <w:rsid w:val="00530B57"/>
    <w:rsid w:val="00545D59"/>
    <w:rsid w:val="005642A1"/>
    <w:rsid w:val="0058642F"/>
    <w:rsid w:val="00586725"/>
    <w:rsid w:val="0059535A"/>
    <w:rsid w:val="005C0ABA"/>
    <w:rsid w:val="006047B7"/>
    <w:rsid w:val="00634400"/>
    <w:rsid w:val="0067180E"/>
    <w:rsid w:val="00672233"/>
    <w:rsid w:val="00677BB1"/>
    <w:rsid w:val="00694C84"/>
    <w:rsid w:val="006B484B"/>
    <w:rsid w:val="006C3D7B"/>
    <w:rsid w:val="006D6998"/>
    <w:rsid w:val="0072329C"/>
    <w:rsid w:val="00724194"/>
    <w:rsid w:val="007327EE"/>
    <w:rsid w:val="007525C1"/>
    <w:rsid w:val="00753128"/>
    <w:rsid w:val="007829C7"/>
    <w:rsid w:val="00787B11"/>
    <w:rsid w:val="00797EB5"/>
    <w:rsid w:val="007B52ED"/>
    <w:rsid w:val="007C1847"/>
    <w:rsid w:val="007E7319"/>
    <w:rsid w:val="00801D17"/>
    <w:rsid w:val="00805556"/>
    <w:rsid w:val="00811E44"/>
    <w:rsid w:val="00816EE4"/>
    <w:rsid w:val="008214AE"/>
    <w:rsid w:val="00834E7A"/>
    <w:rsid w:val="008371BA"/>
    <w:rsid w:val="00860629"/>
    <w:rsid w:val="00861566"/>
    <w:rsid w:val="00864B37"/>
    <w:rsid w:val="00870412"/>
    <w:rsid w:val="00877E27"/>
    <w:rsid w:val="00892C28"/>
    <w:rsid w:val="00895471"/>
    <w:rsid w:val="008A03CE"/>
    <w:rsid w:val="008C6602"/>
    <w:rsid w:val="008E182C"/>
    <w:rsid w:val="008E6A9F"/>
    <w:rsid w:val="009269C3"/>
    <w:rsid w:val="00930CF0"/>
    <w:rsid w:val="00935815"/>
    <w:rsid w:val="00940BD0"/>
    <w:rsid w:val="009534DA"/>
    <w:rsid w:val="009A2ACD"/>
    <w:rsid w:val="009C5A07"/>
    <w:rsid w:val="009D7B48"/>
    <w:rsid w:val="00A36F2C"/>
    <w:rsid w:val="00A40E26"/>
    <w:rsid w:val="00A7497B"/>
    <w:rsid w:val="00A7671D"/>
    <w:rsid w:val="00A83526"/>
    <w:rsid w:val="00A861C8"/>
    <w:rsid w:val="00A92B90"/>
    <w:rsid w:val="00A9381D"/>
    <w:rsid w:val="00A97E5C"/>
    <w:rsid w:val="00AB3869"/>
    <w:rsid w:val="00AB5865"/>
    <w:rsid w:val="00AB5B16"/>
    <w:rsid w:val="00AC1055"/>
    <w:rsid w:val="00B232FA"/>
    <w:rsid w:val="00B32F86"/>
    <w:rsid w:val="00B40B35"/>
    <w:rsid w:val="00B733A0"/>
    <w:rsid w:val="00B7725B"/>
    <w:rsid w:val="00BD583A"/>
    <w:rsid w:val="00C21D54"/>
    <w:rsid w:val="00C267AF"/>
    <w:rsid w:val="00C27B8F"/>
    <w:rsid w:val="00C45B28"/>
    <w:rsid w:val="00C461E2"/>
    <w:rsid w:val="00C614A4"/>
    <w:rsid w:val="00C71F7D"/>
    <w:rsid w:val="00CC2FAE"/>
    <w:rsid w:val="00CF47D8"/>
    <w:rsid w:val="00D25EA4"/>
    <w:rsid w:val="00D4344B"/>
    <w:rsid w:val="00D543E1"/>
    <w:rsid w:val="00D658E2"/>
    <w:rsid w:val="00E0085B"/>
    <w:rsid w:val="00E22AAF"/>
    <w:rsid w:val="00E32598"/>
    <w:rsid w:val="00E54709"/>
    <w:rsid w:val="00E6430F"/>
    <w:rsid w:val="00E84039"/>
    <w:rsid w:val="00E85075"/>
    <w:rsid w:val="00EA4EB5"/>
    <w:rsid w:val="00EA65AC"/>
    <w:rsid w:val="00EB304B"/>
    <w:rsid w:val="00EB6DF2"/>
    <w:rsid w:val="00EC2599"/>
    <w:rsid w:val="00EC5F10"/>
    <w:rsid w:val="00EC622C"/>
    <w:rsid w:val="00ED700F"/>
    <w:rsid w:val="00EE37AF"/>
    <w:rsid w:val="00EE4569"/>
    <w:rsid w:val="00F04EE1"/>
    <w:rsid w:val="00F27419"/>
    <w:rsid w:val="00F300E1"/>
    <w:rsid w:val="00F43400"/>
    <w:rsid w:val="00F53CF4"/>
    <w:rsid w:val="00F54390"/>
    <w:rsid w:val="00F7045F"/>
    <w:rsid w:val="00F93A46"/>
    <w:rsid w:val="00FC0F0E"/>
    <w:rsid w:val="00FD1C00"/>
    <w:rsid w:val="00FD4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8054A"/>
  <w15:chartTrackingRefBased/>
  <w15:docId w15:val="{8B3C9CEA-EF51-4EDB-82F8-EF0849E2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52ED"/>
    <w:pPr>
      <w:widowControl w:val="0"/>
      <w:jc w:val="both"/>
    </w:pPr>
    <w:rPr>
      <w:rFonts w:ascii="黑体" w:eastAsia="黑体"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A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93A46"/>
    <w:rPr>
      <w:rFonts w:ascii="黑体" w:eastAsia="黑体" w:hAnsi="Times New Roman" w:cs="Times New Roman"/>
      <w:sz w:val="18"/>
      <w:szCs w:val="18"/>
    </w:rPr>
  </w:style>
  <w:style w:type="paragraph" w:styleId="a5">
    <w:name w:val="footer"/>
    <w:basedOn w:val="a"/>
    <w:link w:val="a6"/>
    <w:uiPriority w:val="99"/>
    <w:unhideWhenUsed/>
    <w:rsid w:val="00F93A46"/>
    <w:pPr>
      <w:tabs>
        <w:tab w:val="center" w:pos="4153"/>
        <w:tab w:val="right" w:pos="8306"/>
      </w:tabs>
      <w:snapToGrid w:val="0"/>
      <w:jc w:val="left"/>
    </w:pPr>
    <w:rPr>
      <w:sz w:val="18"/>
      <w:szCs w:val="18"/>
    </w:rPr>
  </w:style>
  <w:style w:type="character" w:customStyle="1" w:styleId="a6">
    <w:name w:val="页脚 字符"/>
    <w:basedOn w:val="a0"/>
    <w:link w:val="a5"/>
    <w:uiPriority w:val="99"/>
    <w:rsid w:val="00F93A46"/>
    <w:rPr>
      <w:rFonts w:ascii="黑体" w:eastAsia="黑体" w:hAnsi="Times New Roman" w:cs="Times New Roman"/>
      <w:sz w:val="18"/>
      <w:szCs w:val="18"/>
    </w:rPr>
  </w:style>
  <w:style w:type="paragraph" w:styleId="a7">
    <w:name w:val="Revision"/>
    <w:hidden/>
    <w:uiPriority w:val="99"/>
    <w:semiHidden/>
    <w:rsid w:val="006B484B"/>
    <w:rPr>
      <w:rFonts w:ascii="黑体" w:eastAsia="黑体"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86BC9AD9-07A2-40F6-9E4B-0D686EB1FA89}">
  <ds:schemaRefs>
    <ds:schemaRef ds:uri="http://schemas.openxmlformats.org/officeDocument/2006/bibliography"/>
  </ds:schemaRefs>
</ds:datastoreItem>
</file>

<file path=customXml/itemProps2.xml><?xml version="1.0" encoding="utf-8"?>
<ds:datastoreItem xmlns:ds="http://schemas.openxmlformats.org/officeDocument/2006/customXml" ds:itemID="{8EFD5E7D-479F-42FE-AB71-228506D7C107}">
  <ds:schemaRefs>
    <ds:schemaRef ds:uri="http://www.yonyou.com/datasource"/>
  </ds:schemaRefs>
</ds:datastoreItem>
</file>

<file path=customXml/itemProps3.xml><?xml version="1.0" encoding="utf-8"?>
<ds:datastoreItem xmlns:ds="http://schemas.openxmlformats.org/officeDocument/2006/customXml" ds:itemID="{9BCE0663-07A7-42D0-A5D1-DE59FDA790E9}">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陈梦迪</dc:creator>
  <cp:keywords/>
  <dc:description/>
  <cp:lastModifiedBy>M2059</cp:lastModifiedBy>
  <cp:revision>8</cp:revision>
  <cp:lastPrinted>2023-05-12T07:36:00Z</cp:lastPrinted>
  <dcterms:created xsi:type="dcterms:W3CDTF">2024-04-12T09:44:00Z</dcterms:created>
  <dcterms:modified xsi:type="dcterms:W3CDTF">2024-04-15T00:50:00Z</dcterms:modified>
</cp:coreProperties>
</file>