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77"/>
        <w:ind w:left="120" w:firstLine="240" w:firstLineChars="100"/>
        <w:rPr>
          <w:rFonts w:ascii="宋体" w:hAnsi="宋体" w:eastAsia="宋体" w:cs="宋体"/>
          <w:sz w:val="24"/>
          <w:lang w:val="zh-CN" w:bidi="zh-CN"/>
        </w:rPr>
      </w:pPr>
      <w:r>
        <w:rPr>
          <w:rFonts w:ascii="宋体" w:hAnsi="宋体" w:eastAsia="宋体" w:cs="宋体"/>
          <w:sz w:val="24"/>
          <w:lang w:val="zh-CN" w:bidi="zh-CN"/>
        </w:rPr>
        <w:t>证券代码</w:t>
      </w:r>
      <w:r>
        <w:rPr>
          <w:rFonts w:hint="eastAsia" w:ascii="宋体" w:hAnsi="宋体" w:eastAsia="宋体" w:cs="宋体"/>
          <w:sz w:val="24"/>
          <w:lang w:val="zh-CN" w:bidi="zh-CN"/>
        </w:rPr>
        <w:t>：</w:t>
      </w:r>
      <w:r>
        <w:rPr>
          <w:rFonts w:ascii="宋体" w:hAnsi="宋体" w:eastAsia="宋体" w:cs="宋体"/>
          <w:sz w:val="24"/>
          <w:lang w:val="zh-CN" w:bidi="zh-CN"/>
        </w:rPr>
        <w:t>60</w:t>
      </w:r>
      <w:r>
        <w:rPr>
          <w:rFonts w:hint="eastAsia" w:ascii="宋体" w:hAnsi="宋体" w:eastAsia="宋体" w:cs="宋体"/>
          <w:sz w:val="24"/>
          <w:lang w:bidi="zh-CN"/>
        </w:rPr>
        <w:t xml:space="preserve">0528                                </w:t>
      </w:r>
      <w:r>
        <w:rPr>
          <w:rFonts w:ascii="宋体" w:hAnsi="宋体" w:eastAsia="宋体" w:cs="宋体"/>
          <w:sz w:val="24"/>
          <w:lang w:val="zh-CN" w:bidi="zh-CN"/>
        </w:rPr>
        <w:t>证券简称：</w:t>
      </w:r>
      <w:r>
        <w:rPr>
          <w:rFonts w:hint="eastAsia" w:ascii="宋体" w:hAnsi="宋体" w:eastAsia="宋体" w:cs="宋体"/>
          <w:sz w:val="24"/>
          <w:lang w:val="zh-CN" w:bidi="zh-CN"/>
        </w:rPr>
        <w:t>中铁工业</w:t>
      </w:r>
      <w:r>
        <w:rPr>
          <w:rFonts w:ascii="宋体" w:hAnsi="宋体" w:eastAsia="宋体" w:cs="宋体"/>
          <w:sz w:val="24"/>
          <w:lang w:val="zh-CN" w:bidi="zh-CN"/>
        </w:rPr>
        <w:t xml:space="preserve"> </w:t>
      </w:r>
    </w:p>
    <w:p>
      <w:pPr>
        <w:autoSpaceDE w:val="0"/>
        <w:autoSpaceDN w:val="0"/>
        <w:ind w:firstLine="402"/>
        <w:rPr>
          <w:rFonts w:ascii="宋体" w:hAnsi="宋体" w:eastAsia="宋体" w:cs="宋体"/>
          <w:sz w:val="20"/>
          <w:lang w:val="zh-CN" w:bidi="zh-CN"/>
        </w:rPr>
      </w:pPr>
    </w:p>
    <w:p>
      <w:pPr>
        <w:autoSpaceDE w:val="0"/>
        <w:autoSpaceDN w:val="0"/>
        <w:spacing w:before="7"/>
        <w:ind w:firstLine="341"/>
        <w:rPr>
          <w:rFonts w:ascii="宋体" w:hAnsi="宋体" w:eastAsia="宋体" w:cs="宋体"/>
          <w:sz w:val="17"/>
          <w:lang w:val="zh-CN" w:bidi="zh-CN"/>
        </w:rPr>
      </w:pPr>
    </w:p>
    <w:p>
      <w:pPr>
        <w:autoSpaceDE w:val="0"/>
        <w:autoSpaceDN w:val="0"/>
        <w:spacing w:line="429" w:lineRule="exact"/>
        <w:jc w:val="center"/>
        <w:rPr>
          <w:rFonts w:ascii="Microsoft JhengHei" w:hAnsi="宋体" w:eastAsia="Microsoft JhengHei" w:cs="宋体"/>
          <w:b/>
          <w:kern w:val="0"/>
          <w:sz w:val="24"/>
          <w:szCs w:val="22"/>
          <w:lang w:val="zh-CN" w:bidi="zh-CN"/>
        </w:rPr>
      </w:pPr>
      <w:r>
        <w:rPr>
          <w:rFonts w:hint="eastAsia" w:ascii="方正小标宋简体" w:hAnsi="方正小标宋简体" w:eastAsia="方正小标宋简体" w:cs="方正小标宋简体"/>
          <w:bCs/>
          <w:kern w:val="0"/>
          <w:sz w:val="36"/>
          <w:szCs w:val="36"/>
          <w:lang w:val="zh-CN" w:bidi="zh-CN"/>
        </w:rPr>
        <w:t>中铁高新工业股份有限公司投资者关系活动记录表</w:t>
      </w:r>
    </w:p>
    <w:p>
      <w:pPr>
        <w:autoSpaceDE w:val="0"/>
        <w:autoSpaceDN w:val="0"/>
        <w:spacing w:before="194" w:after="15"/>
        <w:ind w:left="2"/>
        <w:jc w:val="center"/>
        <w:rPr>
          <w:rFonts w:ascii="宋体" w:hAnsi="宋体" w:eastAsia="宋体" w:cs="宋体"/>
          <w:sz w:val="24"/>
          <w:lang w:bidi="zh-CN"/>
        </w:rPr>
      </w:pPr>
      <w:r>
        <w:rPr>
          <w:rFonts w:ascii="宋体" w:hAnsi="宋体" w:eastAsia="宋体" w:cs="宋体"/>
          <w:sz w:val="24"/>
          <w:lang w:val="zh-CN" w:bidi="zh-CN"/>
        </w:rPr>
        <w:t xml:space="preserve">                                                       编号：202</w:t>
      </w:r>
      <w:r>
        <w:rPr>
          <w:rFonts w:ascii="宋体" w:hAnsi="宋体" w:eastAsia="宋体" w:cs="宋体"/>
          <w:sz w:val="24"/>
          <w:lang w:bidi="zh-CN"/>
        </w:rPr>
        <w:t>4</w:t>
      </w:r>
      <w:r>
        <w:rPr>
          <w:rFonts w:ascii="宋体" w:hAnsi="宋体" w:eastAsia="宋体" w:cs="宋体"/>
          <w:sz w:val="24"/>
          <w:lang w:val="zh-CN" w:bidi="zh-CN"/>
        </w:rPr>
        <w:t>-</w:t>
      </w:r>
      <w:r>
        <w:rPr>
          <w:rFonts w:hint="eastAsia" w:ascii="宋体" w:hAnsi="宋体" w:eastAsia="宋体" w:cs="宋体"/>
          <w:sz w:val="24"/>
          <w:lang w:bidi="zh-CN"/>
        </w:rPr>
        <w:t>0</w:t>
      </w:r>
      <w:r>
        <w:rPr>
          <w:rFonts w:ascii="宋体" w:hAnsi="宋体" w:eastAsia="宋体" w:cs="宋体"/>
          <w:sz w:val="24"/>
          <w:lang w:bidi="zh-CN"/>
        </w:rPr>
        <w:t>3</w:t>
      </w:r>
    </w:p>
    <w:p>
      <w:pPr>
        <w:autoSpaceDE w:val="0"/>
        <w:autoSpaceDN w:val="0"/>
        <w:spacing w:before="194" w:after="15"/>
        <w:ind w:left="2"/>
        <w:jc w:val="center"/>
        <w:rPr>
          <w:rFonts w:ascii="宋体" w:hAnsi="宋体" w:eastAsia="宋体" w:cs="宋体"/>
          <w:sz w:val="24"/>
          <w:lang w:val="zh-CN" w:bidi="zh-CN"/>
        </w:rPr>
      </w:pPr>
    </w:p>
    <w:tbl>
      <w:tblPr>
        <w:tblStyle w:val="4"/>
        <w:tblW w:w="8462" w:type="dxa"/>
        <w:tblInd w:w="1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2"/>
        <w:gridCol w:w="7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0" w:hRule="atLeast"/>
        </w:trPr>
        <w:tc>
          <w:tcPr>
            <w:tcW w:w="1462" w:type="dxa"/>
            <w:vAlign w:val="center"/>
          </w:tcPr>
          <w:p>
            <w:pPr>
              <w:autoSpaceDE w:val="0"/>
              <w:autoSpaceDN w:val="0"/>
              <w:spacing w:before="91" w:line="261" w:lineRule="auto"/>
              <w:ind w:left="107" w:right="96"/>
              <w:jc w:val="center"/>
              <w:rPr>
                <w:rFonts w:ascii="方正小标宋简体" w:hAnsi="方正小标宋简体" w:eastAsia="方正小标宋简体" w:cs="方正小标宋简体"/>
                <w:bCs/>
                <w:sz w:val="24"/>
                <w:lang w:val="zh-CN" w:bidi="zh-CN"/>
              </w:rPr>
            </w:pPr>
            <w:r>
              <w:rPr>
                <w:rFonts w:hint="eastAsia" w:ascii="方正小标宋简体" w:hAnsi="方正小标宋简体" w:eastAsia="方正小标宋简体" w:cs="方正小标宋简体"/>
                <w:bCs/>
                <w:sz w:val="24"/>
                <w:lang w:val="zh-CN" w:bidi="zh-CN"/>
              </w:rPr>
              <w:t>投资者关系活动</w:t>
            </w:r>
          </w:p>
          <w:p>
            <w:pPr>
              <w:autoSpaceDE w:val="0"/>
              <w:autoSpaceDN w:val="0"/>
              <w:spacing w:before="91" w:line="261" w:lineRule="auto"/>
              <w:ind w:left="107" w:right="96"/>
              <w:jc w:val="center"/>
              <w:rPr>
                <w:rFonts w:ascii="Microsoft JhengHei" w:hAnsi="宋体" w:eastAsia="宋体" w:cs="宋体"/>
                <w:b/>
                <w:sz w:val="24"/>
                <w:szCs w:val="22"/>
                <w:lang w:val="zh-CN" w:bidi="zh-CN"/>
              </w:rPr>
            </w:pPr>
            <w:r>
              <w:rPr>
                <w:rFonts w:hint="eastAsia" w:ascii="方正小标宋简体" w:hAnsi="方正小标宋简体" w:eastAsia="方正小标宋简体" w:cs="方正小标宋简体"/>
                <w:bCs/>
                <w:sz w:val="24"/>
                <w:lang w:val="zh-CN" w:bidi="zh-CN"/>
              </w:rPr>
              <w:t>类别</w:t>
            </w:r>
          </w:p>
        </w:tc>
        <w:tc>
          <w:tcPr>
            <w:tcW w:w="7000" w:type="dxa"/>
          </w:tcPr>
          <w:p>
            <w:pPr>
              <w:autoSpaceDE w:val="0"/>
              <w:autoSpaceDN w:val="0"/>
              <w:spacing w:before="170"/>
              <w:rPr>
                <w:rFonts w:ascii="宋体" w:hAnsi="宋体" w:eastAsia="宋体" w:cs="宋体"/>
                <w:sz w:val="24"/>
                <w:szCs w:val="22"/>
                <w:lang w:val="zh-CN" w:bidi="zh-CN"/>
              </w:rPr>
            </w:pPr>
            <w:r>
              <w:rPr>
                <w:rFonts w:hint="eastAsia" w:ascii="宋体" w:hAnsi="宋体" w:eastAsia="宋体" w:cs="宋体"/>
                <w:sz w:val="24"/>
                <w:szCs w:val="22"/>
                <w:lang w:val="zh-CN" w:bidi="zh-CN"/>
              </w:rPr>
              <w:t>□</w:t>
            </w:r>
            <w:r>
              <w:rPr>
                <w:rFonts w:ascii="宋体" w:hAnsi="宋体" w:eastAsia="宋体" w:cs="宋体"/>
                <w:sz w:val="24"/>
                <w:szCs w:val="22"/>
                <w:lang w:val="zh-CN" w:bidi="zh-CN"/>
              </w:rPr>
              <w:t>特定对象调研</w:t>
            </w:r>
            <w:r>
              <w:rPr>
                <w:rFonts w:ascii="宋体" w:hAnsi="宋体" w:eastAsia="宋体" w:cs="宋体"/>
                <w:b/>
                <w:bCs/>
                <w:sz w:val="24"/>
                <w:szCs w:val="22"/>
                <w:lang w:val="zh-CN" w:bidi="zh-CN"/>
              </w:rPr>
              <w:t xml:space="preserve"> </w:t>
            </w:r>
            <w:r>
              <w:rPr>
                <w:rFonts w:ascii="宋体" w:hAnsi="宋体" w:eastAsia="宋体" w:cs="宋体"/>
                <w:sz w:val="24"/>
                <w:szCs w:val="22"/>
                <w:lang w:val="zh-CN" w:bidi="zh-CN"/>
              </w:rPr>
              <w:t xml:space="preserve">       □分析师会议 </w:t>
            </w:r>
          </w:p>
          <w:p>
            <w:pPr>
              <w:autoSpaceDE w:val="0"/>
              <w:autoSpaceDN w:val="0"/>
              <w:spacing w:before="172"/>
              <w:rPr>
                <w:rFonts w:ascii="宋体" w:hAnsi="宋体" w:eastAsia="宋体" w:cs="宋体"/>
                <w:sz w:val="24"/>
                <w:szCs w:val="22"/>
                <w:lang w:val="zh-CN" w:bidi="zh-CN"/>
              </w:rPr>
            </w:pPr>
            <w:r>
              <w:rPr>
                <w:rFonts w:hint="eastAsia" w:ascii="宋体" w:hAnsi="宋体" w:eastAsia="宋体" w:cs="宋体"/>
                <w:sz w:val="24"/>
                <w:szCs w:val="22"/>
                <w:lang w:val="zh-CN" w:bidi="zh-CN"/>
              </w:rPr>
              <w:t>□</w:t>
            </w:r>
            <w:r>
              <w:rPr>
                <w:rFonts w:ascii="宋体" w:hAnsi="宋体" w:eastAsia="宋体" w:cs="宋体"/>
                <w:sz w:val="24"/>
                <w:szCs w:val="22"/>
                <w:lang w:val="zh-CN" w:bidi="zh-CN"/>
              </w:rPr>
              <w:t xml:space="preserve">媒体采访            □业绩说明会 </w:t>
            </w:r>
          </w:p>
          <w:p>
            <w:pPr>
              <w:autoSpaceDE w:val="0"/>
              <w:autoSpaceDN w:val="0"/>
              <w:spacing w:before="173"/>
              <w:rPr>
                <w:rFonts w:ascii="宋体" w:hAnsi="宋体" w:eastAsia="宋体" w:cs="宋体"/>
                <w:sz w:val="24"/>
                <w:szCs w:val="22"/>
                <w:lang w:val="zh-CN" w:bidi="zh-CN"/>
              </w:rPr>
            </w:pPr>
            <w:r>
              <w:rPr>
                <w:rFonts w:ascii="宋体" w:hAnsi="宋体" w:eastAsia="宋体" w:cs="宋体"/>
                <w:sz w:val="24"/>
                <w:szCs w:val="22"/>
                <w:lang w:val="zh-CN" w:bidi="zh-CN"/>
              </w:rPr>
              <w:t xml:space="preserve">□新闻发布会 </w:t>
            </w:r>
            <w:r>
              <w:rPr>
                <w:rFonts w:hint="eastAsia" w:ascii="宋体" w:hAnsi="宋体" w:eastAsia="宋体" w:cs="宋体"/>
                <w:sz w:val="24"/>
                <w:szCs w:val="22"/>
                <w:lang w:bidi="zh-CN"/>
              </w:rPr>
              <w:t xml:space="preserve">         </w:t>
            </w:r>
            <w:r>
              <w:rPr>
                <w:rFonts w:ascii="宋体" w:hAnsi="宋体" w:eastAsia="宋体" w:cs="宋体"/>
                <w:b/>
                <w:bCs/>
                <w:sz w:val="24"/>
                <w:szCs w:val="22"/>
                <w:lang w:val="zh-CN" w:bidi="zh-CN"/>
              </w:rPr>
              <w:sym w:font="Wingdings 2" w:char="0052"/>
            </w:r>
            <w:r>
              <w:rPr>
                <w:rFonts w:ascii="宋体" w:hAnsi="宋体" w:eastAsia="宋体" w:cs="宋体"/>
                <w:b/>
                <w:bCs/>
                <w:sz w:val="24"/>
                <w:szCs w:val="22"/>
                <w:lang w:val="zh-CN" w:bidi="zh-CN"/>
              </w:rPr>
              <w:t>路演活动</w:t>
            </w:r>
            <w:r>
              <w:rPr>
                <w:rFonts w:ascii="宋体" w:hAnsi="宋体" w:eastAsia="宋体" w:cs="宋体"/>
                <w:sz w:val="24"/>
                <w:szCs w:val="22"/>
                <w:lang w:val="zh-CN" w:bidi="zh-CN"/>
              </w:rPr>
              <w:t xml:space="preserve"> </w:t>
            </w:r>
          </w:p>
          <w:p>
            <w:pPr>
              <w:tabs>
                <w:tab w:val="left" w:pos="3154"/>
              </w:tabs>
              <w:autoSpaceDE w:val="0"/>
              <w:autoSpaceDN w:val="0"/>
              <w:spacing w:before="173"/>
              <w:rPr>
                <w:rFonts w:ascii="宋体" w:hAnsi="宋体" w:eastAsia="宋体" w:cs="宋体"/>
                <w:sz w:val="24"/>
                <w:szCs w:val="22"/>
                <w:lang w:val="zh-CN" w:bidi="zh-CN"/>
              </w:rPr>
            </w:pPr>
            <w:r>
              <w:rPr>
                <w:rFonts w:ascii="宋体" w:hAnsi="宋体" w:eastAsia="宋体" w:cs="宋体"/>
                <w:b/>
                <w:bCs/>
                <w:sz w:val="24"/>
                <w:szCs w:val="22"/>
                <w:lang w:val="zh-CN" w:bidi="zh-CN"/>
              </w:rPr>
              <w:sym w:font="Wingdings 2" w:char="0052"/>
            </w:r>
            <w:r>
              <w:rPr>
                <w:rFonts w:ascii="宋体" w:hAnsi="宋体" w:eastAsia="宋体" w:cs="宋体"/>
                <w:b/>
                <w:bCs/>
                <w:sz w:val="24"/>
                <w:szCs w:val="22"/>
                <w:lang w:val="zh-CN" w:bidi="zh-CN"/>
              </w:rPr>
              <w:t>现场</w:t>
            </w:r>
            <w:r>
              <w:rPr>
                <w:rFonts w:hint="eastAsia" w:ascii="宋体" w:hAnsi="宋体" w:eastAsia="宋体" w:cs="宋体"/>
                <w:b/>
                <w:bCs/>
                <w:sz w:val="24"/>
                <w:szCs w:val="22"/>
                <w:lang w:val="zh-CN" w:bidi="zh-CN"/>
              </w:rPr>
              <w:t>交流</w:t>
            </w:r>
            <w:r>
              <w:rPr>
                <w:rFonts w:hint="eastAsia" w:ascii="宋体" w:hAnsi="宋体" w:eastAsia="宋体" w:cs="宋体"/>
                <w:sz w:val="24"/>
                <w:szCs w:val="22"/>
                <w:lang w:bidi="zh-CN"/>
              </w:rPr>
              <w:t xml:space="preserve">            </w:t>
            </w:r>
            <w:r>
              <w:rPr>
                <w:rFonts w:ascii="宋体" w:hAnsi="宋体" w:eastAsia="宋体" w:cs="宋体"/>
                <w:sz w:val="24"/>
                <w:szCs w:val="22"/>
                <w:lang w:val="zh-CN" w:bidi="zh-CN"/>
              </w:rPr>
              <w:sym w:font="Wingdings 2" w:char="00A3"/>
            </w:r>
            <w:r>
              <w:rPr>
                <w:rFonts w:hint="eastAsia" w:ascii="宋体" w:hAnsi="宋体" w:eastAsia="宋体" w:cs="宋体"/>
                <w:sz w:val="24"/>
                <w:szCs w:val="22"/>
                <w:lang w:val="zh-CN" w:bidi="zh-CN"/>
              </w:rPr>
              <w:t>电话会议</w:t>
            </w:r>
          </w:p>
          <w:p>
            <w:pPr>
              <w:tabs>
                <w:tab w:val="left" w:pos="3154"/>
              </w:tabs>
              <w:autoSpaceDE w:val="0"/>
              <w:autoSpaceDN w:val="0"/>
              <w:spacing w:before="173"/>
              <w:rPr>
                <w:rFonts w:ascii="宋体" w:hAnsi="宋体" w:eastAsia="宋体" w:cs="宋体"/>
                <w:sz w:val="24"/>
                <w:szCs w:val="22"/>
                <w:lang w:val="zh-CN" w:bidi="zh-CN"/>
              </w:rPr>
            </w:pPr>
            <w:r>
              <w:rPr>
                <w:rFonts w:ascii="宋体" w:hAnsi="宋体" w:eastAsia="宋体" w:cs="宋体"/>
                <w:b/>
                <w:bCs/>
                <w:sz w:val="24"/>
                <w:szCs w:val="22"/>
                <w:lang w:val="zh-CN" w:bidi="zh-CN"/>
              </w:rPr>
              <w:sym w:font="Wingdings 2" w:char="0052"/>
            </w:r>
            <w:r>
              <w:rPr>
                <w:rFonts w:hint="eastAsia" w:ascii="宋体" w:hAnsi="宋体" w:eastAsia="宋体" w:cs="宋体"/>
                <w:b/>
                <w:bCs/>
                <w:sz w:val="24"/>
                <w:szCs w:val="22"/>
                <w:lang w:val="zh-CN" w:bidi="zh-CN"/>
              </w:rPr>
              <w:t>投资策略会</w:t>
            </w:r>
            <w:r>
              <w:rPr>
                <w:rFonts w:hint="eastAsia" w:ascii="宋体" w:hAnsi="宋体" w:eastAsia="宋体" w:cs="宋体"/>
                <w:sz w:val="24"/>
                <w:szCs w:val="22"/>
                <w:lang w:bidi="zh-CN"/>
              </w:rPr>
              <w:t xml:space="preserve">          </w:t>
            </w:r>
            <w:r>
              <w:rPr>
                <w:rFonts w:hint="eastAsia" w:ascii="宋体" w:hAnsi="宋体" w:eastAsia="宋体" w:cs="宋体"/>
                <w:sz w:val="24"/>
                <w:szCs w:val="22"/>
                <w:lang w:val="zh-CN" w:bidi="zh-CN"/>
              </w:rPr>
              <w:t>□</w:t>
            </w:r>
            <w:r>
              <w:rPr>
                <w:rFonts w:ascii="宋体" w:hAnsi="宋体" w:eastAsia="宋体" w:cs="宋体"/>
                <w:sz w:val="24"/>
                <w:szCs w:val="22"/>
                <w:lang w:val="zh-CN" w:bidi="zh-CN"/>
              </w:rPr>
              <w:t xml:space="preserve">其他 </w:t>
            </w:r>
            <w:r>
              <w:rPr>
                <w:rFonts w:hint="eastAsia" w:ascii="宋体" w:hAnsi="宋体" w:eastAsia="宋体" w:cs="宋体"/>
                <w:sz w:val="24"/>
                <w:szCs w:val="22"/>
                <w:lang w:val="zh-CN" w:bidi="zh-CN"/>
              </w:rPr>
              <w:t xml:space="preserve"> </w:t>
            </w:r>
            <w:r>
              <w:rPr>
                <w:rFonts w:hint="eastAsia" w:ascii="宋体" w:hAnsi="宋体" w:eastAsia="宋体" w:cs="宋体"/>
                <w:sz w:val="24"/>
                <w:szCs w:val="22"/>
                <w:lang w:bidi="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9" w:hRule="atLeast"/>
        </w:trPr>
        <w:tc>
          <w:tcPr>
            <w:tcW w:w="1462" w:type="dxa"/>
            <w:vAlign w:val="center"/>
          </w:tcPr>
          <w:p>
            <w:pPr>
              <w:autoSpaceDE w:val="0"/>
              <w:autoSpaceDN w:val="0"/>
              <w:spacing w:before="91" w:line="261" w:lineRule="auto"/>
              <w:ind w:left="107" w:right="96"/>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参与单位名称</w:t>
            </w:r>
          </w:p>
        </w:tc>
        <w:tc>
          <w:tcPr>
            <w:tcW w:w="7000" w:type="dxa"/>
            <w:vAlign w:val="center"/>
          </w:tcPr>
          <w:p>
            <w:pPr>
              <w:autoSpaceDE w:val="0"/>
              <w:autoSpaceDN w:val="0"/>
              <w:spacing w:line="480" w:lineRule="exact"/>
              <w:jc w:val="left"/>
              <w:rPr>
                <w:rFonts w:ascii="宋体" w:hAnsi="宋体" w:eastAsia="宋体" w:cs="宋体"/>
                <w:sz w:val="24"/>
                <w:szCs w:val="22"/>
                <w:lang w:bidi="zh-CN"/>
              </w:rPr>
            </w:pPr>
            <w:r>
              <w:rPr>
                <w:rFonts w:hint="eastAsia" w:ascii="宋体" w:hAnsi="宋体" w:eastAsia="宋体" w:cs="宋体"/>
                <w:sz w:val="24"/>
                <w:szCs w:val="22"/>
                <w:lang w:val="zh-CN" w:bidi="zh-CN"/>
              </w:rPr>
              <w:t>机构</w:t>
            </w:r>
            <w:r>
              <w:rPr>
                <w:rFonts w:ascii="宋体" w:hAnsi="宋体" w:eastAsia="宋体" w:cs="宋体"/>
                <w:sz w:val="24"/>
                <w:szCs w:val="22"/>
                <w:lang w:val="zh-CN" w:bidi="zh-CN"/>
              </w:rPr>
              <w:t xml:space="preserve">名单： </w:t>
            </w:r>
            <w:r>
              <w:rPr>
                <w:rFonts w:hint="eastAsia" w:ascii="宋体" w:hAnsi="宋体" w:eastAsia="宋体" w:cs="宋体"/>
                <w:sz w:val="24"/>
                <w:szCs w:val="22"/>
                <w:lang w:bidi="zh-CN"/>
              </w:rPr>
              <w:t xml:space="preserve">               </w:t>
            </w:r>
          </w:p>
          <w:p>
            <w:pPr>
              <w:autoSpaceDE w:val="0"/>
              <w:autoSpaceDN w:val="0"/>
              <w:spacing w:line="480" w:lineRule="exact"/>
              <w:rPr>
                <w:rFonts w:ascii="宋体" w:hAnsi="宋体" w:eastAsia="宋体" w:cs="宋体"/>
                <w:sz w:val="24"/>
                <w:szCs w:val="22"/>
                <w:lang w:bidi="zh-CN"/>
              </w:rPr>
            </w:pPr>
            <w:r>
              <w:rPr>
                <w:rFonts w:hint="eastAsia" w:ascii="宋体" w:hAnsi="宋体" w:eastAsia="宋体" w:cs="宋体"/>
                <w:sz w:val="24"/>
                <w:szCs w:val="22"/>
                <w:lang w:bidi="zh-CN"/>
              </w:rPr>
              <w:t xml:space="preserve">国金证券 </w:t>
            </w:r>
            <w:r>
              <w:rPr>
                <w:rFonts w:ascii="宋体" w:hAnsi="宋体" w:eastAsia="宋体" w:cs="宋体"/>
                <w:sz w:val="24"/>
                <w:szCs w:val="22"/>
                <w:lang w:bidi="zh-CN"/>
              </w:rPr>
              <w:t xml:space="preserve">   </w:t>
            </w:r>
            <w:r>
              <w:rPr>
                <w:rFonts w:hint="eastAsia" w:ascii="宋体" w:hAnsi="宋体" w:eastAsia="宋体" w:cs="宋体"/>
                <w:sz w:val="24"/>
                <w:szCs w:val="22"/>
                <w:lang w:bidi="zh-CN"/>
              </w:rPr>
              <w:t xml:space="preserve">财通证券 </w:t>
            </w:r>
            <w:r>
              <w:rPr>
                <w:rFonts w:ascii="宋体" w:hAnsi="宋体" w:eastAsia="宋体" w:cs="宋体"/>
                <w:sz w:val="24"/>
                <w:szCs w:val="22"/>
                <w:lang w:bidi="zh-CN"/>
              </w:rPr>
              <w:t xml:space="preserve">   </w:t>
            </w:r>
            <w:r>
              <w:rPr>
                <w:rFonts w:hint="eastAsia" w:ascii="宋体" w:hAnsi="宋体" w:eastAsia="宋体" w:cs="宋体"/>
                <w:sz w:val="24"/>
                <w:szCs w:val="22"/>
                <w:lang w:bidi="zh-CN"/>
              </w:rPr>
              <w:t xml:space="preserve">工银瑞信    华商基金    中欧基金    </w:t>
            </w:r>
          </w:p>
          <w:p>
            <w:pPr>
              <w:autoSpaceDE w:val="0"/>
              <w:autoSpaceDN w:val="0"/>
              <w:spacing w:line="480" w:lineRule="exact"/>
              <w:rPr>
                <w:rFonts w:ascii="宋体" w:hAnsi="宋体" w:eastAsia="宋体" w:cs="宋体"/>
                <w:sz w:val="24"/>
                <w:szCs w:val="22"/>
                <w:lang w:bidi="zh-CN"/>
              </w:rPr>
            </w:pPr>
            <w:r>
              <w:rPr>
                <w:rFonts w:hint="eastAsia" w:ascii="宋体" w:hAnsi="宋体" w:eastAsia="宋体" w:cs="宋体"/>
                <w:sz w:val="24"/>
                <w:szCs w:val="22"/>
                <w:lang w:bidi="zh-CN"/>
              </w:rPr>
              <w:t xml:space="preserve">摩根基金    国寿养老 </w:t>
            </w:r>
            <w:r>
              <w:rPr>
                <w:rFonts w:ascii="宋体" w:hAnsi="宋体" w:eastAsia="宋体" w:cs="宋体"/>
                <w:sz w:val="24"/>
                <w:szCs w:val="22"/>
                <w:lang w:bidi="zh-CN"/>
              </w:rPr>
              <w:t xml:space="preserve">   </w:t>
            </w:r>
            <w:r>
              <w:rPr>
                <w:rFonts w:hint="eastAsia" w:ascii="宋体" w:hAnsi="宋体" w:eastAsia="宋体" w:cs="宋体"/>
                <w:sz w:val="24"/>
                <w:szCs w:val="22"/>
                <w:lang w:bidi="zh-CN"/>
              </w:rPr>
              <w:t>华安基金    华泰资产    南方基金</w:t>
            </w:r>
          </w:p>
          <w:p>
            <w:pPr>
              <w:autoSpaceDE w:val="0"/>
              <w:autoSpaceDN w:val="0"/>
              <w:spacing w:line="480" w:lineRule="exact"/>
              <w:rPr>
                <w:rFonts w:ascii="宋体" w:hAnsi="宋体" w:eastAsia="宋体" w:cs="宋体"/>
                <w:sz w:val="24"/>
                <w:szCs w:val="22"/>
                <w:lang w:bidi="zh-CN"/>
              </w:rPr>
            </w:pPr>
            <w:r>
              <w:rPr>
                <w:rFonts w:hint="eastAsia" w:ascii="宋体" w:hAnsi="宋体" w:eastAsia="宋体" w:cs="宋体"/>
                <w:sz w:val="24"/>
                <w:szCs w:val="22"/>
                <w:lang w:bidi="zh-CN"/>
              </w:rPr>
              <w:t>大家资管    国寿安保基金等机构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5" w:hRule="atLeast"/>
        </w:trPr>
        <w:tc>
          <w:tcPr>
            <w:tcW w:w="1462" w:type="dxa"/>
            <w:vAlign w:val="center"/>
          </w:tcPr>
          <w:p>
            <w:pPr>
              <w:autoSpaceDE w:val="0"/>
              <w:autoSpaceDN w:val="0"/>
              <w:spacing w:before="91" w:line="369" w:lineRule="exact"/>
              <w:ind w:left="107"/>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时  间</w:t>
            </w:r>
          </w:p>
        </w:tc>
        <w:tc>
          <w:tcPr>
            <w:tcW w:w="7000" w:type="dxa"/>
            <w:vAlign w:val="center"/>
          </w:tcPr>
          <w:p>
            <w:pPr>
              <w:autoSpaceDE w:val="0"/>
              <w:autoSpaceDN w:val="0"/>
              <w:spacing w:before="170" w:line="289" w:lineRule="exact"/>
              <w:rPr>
                <w:rFonts w:ascii="宋体" w:hAnsi="宋体" w:eastAsia="宋体" w:cs="宋体"/>
                <w:sz w:val="24"/>
                <w:szCs w:val="22"/>
                <w:lang w:bidi="zh-CN"/>
              </w:rPr>
            </w:pPr>
            <w:r>
              <w:rPr>
                <w:rFonts w:hint="eastAsia" w:ascii="宋体" w:hAnsi="宋体" w:eastAsia="宋体" w:cs="宋体"/>
                <w:sz w:val="24"/>
                <w:szCs w:val="22"/>
                <w:lang w:bidi="zh-CN"/>
              </w:rPr>
              <w:t>202</w:t>
            </w:r>
            <w:r>
              <w:rPr>
                <w:rFonts w:ascii="宋体" w:hAnsi="宋体" w:eastAsia="宋体" w:cs="宋体"/>
                <w:sz w:val="24"/>
                <w:szCs w:val="22"/>
                <w:lang w:bidi="zh-CN"/>
              </w:rPr>
              <w:t>4</w:t>
            </w:r>
            <w:r>
              <w:rPr>
                <w:rFonts w:hint="eastAsia" w:ascii="宋体" w:hAnsi="宋体" w:eastAsia="宋体" w:cs="宋体"/>
                <w:sz w:val="24"/>
                <w:szCs w:val="22"/>
                <w:lang w:bidi="zh-CN"/>
              </w:rPr>
              <w:t>年</w:t>
            </w:r>
            <w:r>
              <w:rPr>
                <w:rFonts w:ascii="宋体" w:hAnsi="宋体" w:eastAsia="宋体" w:cs="宋体"/>
                <w:sz w:val="24"/>
                <w:szCs w:val="22"/>
                <w:lang w:bidi="zh-CN"/>
              </w:rPr>
              <w:t>4</w:t>
            </w:r>
            <w:r>
              <w:rPr>
                <w:rFonts w:hint="eastAsia" w:ascii="宋体" w:hAnsi="宋体" w:eastAsia="宋体" w:cs="宋体"/>
                <w:sz w:val="24"/>
                <w:szCs w:val="22"/>
                <w:lang w:bidi="zh-CN"/>
              </w:rPr>
              <w:t>月</w:t>
            </w:r>
            <w:r>
              <w:rPr>
                <w:rFonts w:ascii="宋体" w:hAnsi="宋体" w:eastAsia="宋体" w:cs="宋体"/>
                <w:sz w:val="24"/>
                <w:szCs w:val="22"/>
                <w:lang w:bidi="zh-CN"/>
              </w:rPr>
              <w:t>8</w:t>
            </w:r>
            <w:r>
              <w:rPr>
                <w:rFonts w:hint="eastAsia" w:ascii="宋体" w:hAnsi="宋体" w:eastAsia="宋体" w:cs="宋体"/>
                <w:sz w:val="24"/>
                <w:szCs w:val="22"/>
                <w:lang w:bidi="zh-CN"/>
              </w:rPr>
              <w:t>日-</w:t>
            </w:r>
            <w:r>
              <w:rPr>
                <w:rFonts w:ascii="宋体" w:hAnsi="宋体" w:eastAsia="宋体" w:cs="宋体"/>
                <w:sz w:val="24"/>
                <w:szCs w:val="22"/>
                <w:lang w:bidi="zh-CN"/>
              </w:rPr>
              <w:t>4</w:t>
            </w:r>
            <w:r>
              <w:rPr>
                <w:rFonts w:hint="eastAsia" w:ascii="宋体" w:hAnsi="宋体" w:eastAsia="宋体" w:cs="宋体"/>
                <w:sz w:val="24"/>
                <w:szCs w:val="22"/>
                <w:lang w:bidi="zh-CN"/>
              </w:rPr>
              <w:t>月</w:t>
            </w:r>
            <w:r>
              <w:rPr>
                <w:rFonts w:ascii="宋体" w:hAnsi="宋体" w:eastAsia="宋体" w:cs="宋体"/>
                <w:sz w:val="24"/>
                <w:szCs w:val="22"/>
                <w:lang w:bidi="zh-CN"/>
              </w:rPr>
              <w:t>12</w:t>
            </w:r>
            <w:r>
              <w:rPr>
                <w:rFonts w:hint="eastAsia" w:ascii="宋体" w:hAnsi="宋体" w:eastAsia="宋体" w:cs="宋体"/>
                <w:sz w:val="24"/>
                <w:szCs w:val="22"/>
                <w:lang w:bidi="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trPr>
        <w:tc>
          <w:tcPr>
            <w:tcW w:w="1462" w:type="dxa"/>
            <w:vAlign w:val="center"/>
          </w:tcPr>
          <w:p>
            <w:pPr>
              <w:autoSpaceDE w:val="0"/>
              <w:autoSpaceDN w:val="0"/>
              <w:spacing w:before="91"/>
              <w:ind w:left="107"/>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地  点</w:t>
            </w:r>
          </w:p>
        </w:tc>
        <w:tc>
          <w:tcPr>
            <w:tcW w:w="7000" w:type="dxa"/>
            <w:vAlign w:val="center"/>
          </w:tcPr>
          <w:p>
            <w:pPr>
              <w:autoSpaceDE w:val="0"/>
              <w:autoSpaceDN w:val="0"/>
              <w:spacing w:before="173" w:line="289" w:lineRule="exact"/>
              <w:rPr>
                <w:rFonts w:ascii="Calibri" w:hAnsi="Calibri" w:eastAsia="宋体" w:cs="Times New Roman"/>
                <w:spacing w:val="-6"/>
                <w:sz w:val="24"/>
              </w:rPr>
            </w:pPr>
            <w:r>
              <w:rPr>
                <w:rFonts w:hint="eastAsia" w:ascii="Calibri" w:hAnsi="Calibri" w:eastAsia="宋体" w:cs="Times New Roman"/>
                <w:spacing w:val="-6"/>
                <w:sz w:val="24"/>
              </w:rPr>
              <w:t>中铁工业总部及北京、上海等地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1462" w:type="dxa"/>
            <w:vAlign w:val="center"/>
          </w:tcPr>
          <w:p>
            <w:pPr>
              <w:autoSpaceDE w:val="0"/>
              <w:autoSpaceDN w:val="0"/>
              <w:spacing w:before="93" w:line="261" w:lineRule="auto"/>
              <w:ind w:left="107" w:right="96"/>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上市公司参加人员姓名</w:t>
            </w:r>
          </w:p>
        </w:tc>
        <w:tc>
          <w:tcPr>
            <w:tcW w:w="7000" w:type="dxa"/>
            <w:vAlign w:val="center"/>
          </w:tcPr>
          <w:p>
            <w:pPr>
              <w:autoSpaceDE w:val="0"/>
              <w:autoSpaceDN w:val="0"/>
              <w:spacing w:line="480" w:lineRule="exact"/>
              <w:jc w:val="left"/>
              <w:rPr>
                <w:rFonts w:ascii="宋体" w:hAnsi="宋体" w:eastAsia="宋体" w:cs="宋体"/>
                <w:sz w:val="24"/>
                <w:szCs w:val="22"/>
                <w:lang w:val="zh-CN" w:bidi="zh-CN"/>
              </w:rPr>
            </w:pPr>
            <w:r>
              <w:rPr>
                <w:rFonts w:hint="eastAsia" w:ascii="宋体" w:hAnsi="宋体" w:eastAsia="宋体" w:cs="宋体"/>
                <w:sz w:val="24"/>
                <w:szCs w:val="22"/>
                <w:lang w:val="zh-CN" w:bidi="zh-CN"/>
              </w:rPr>
              <w:t>葛瑞鹏  董事会秘书</w:t>
            </w:r>
          </w:p>
          <w:p>
            <w:pPr>
              <w:autoSpaceDE w:val="0"/>
              <w:autoSpaceDN w:val="0"/>
              <w:spacing w:line="480" w:lineRule="exact"/>
              <w:jc w:val="left"/>
              <w:rPr>
                <w:rFonts w:ascii="宋体" w:hAnsi="宋体" w:eastAsia="宋体" w:cs="宋体"/>
                <w:sz w:val="24"/>
                <w:szCs w:val="22"/>
                <w:lang w:val="zh-CN" w:bidi="zh-CN"/>
              </w:rPr>
            </w:pPr>
            <w:r>
              <w:rPr>
                <w:rFonts w:hint="eastAsia" w:ascii="宋体" w:hAnsi="宋体" w:eastAsia="宋体" w:cs="宋体"/>
                <w:sz w:val="24"/>
                <w:szCs w:val="22"/>
                <w:lang w:val="zh-CN" w:bidi="zh-CN"/>
              </w:rPr>
              <w:t xml:space="preserve">刘 </w:t>
            </w:r>
            <w:r>
              <w:rPr>
                <w:rFonts w:ascii="宋体" w:hAnsi="宋体" w:eastAsia="宋体" w:cs="宋体"/>
                <w:sz w:val="24"/>
                <w:szCs w:val="22"/>
                <w:lang w:val="zh-CN" w:bidi="zh-CN"/>
              </w:rPr>
              <w:t xml:space="preserve"> </w:t>
            </w:r>
            <w:r>
              <w:rPr>
                <w:rFonts w:hint="eastAsia" w:ascii="宋体" w:hAnsi="宋体" w:eastAsia="宋体" w:cs="宋体"/>
                <w:sz w:val="24"/>
                <w:szCs w:val="22"/>
                <w:lang w:val="zh-CN" w:bidi="zh-CN"/>
              </w:rPr>
              <w:t xml:space="preserve">娜 </w:t>
            </w:r>
            <w:r>
              <w:rPr>
                <w:rFonts w:ascii="宋体" w:hAnsi="宋体" w:eastAsia="宋体" w:cs="宋体"/>
                <w:sz w:val="24"/>
                <w:szCs w:val="22"/>
                <w:lang w:val="zh-CN" w:bidi="zh-CN"/>
              </w:rPr>
              <w:t xml:space="preserve"> </w:t>
            </w:r>
            <w:r>
              <w:rPr>
                <w:rFonts w:hint="eastAsia" w:ascii="宋体" w:hAnsi="宋体" w:eastAsia="宋体" w:cs="宋体"/>
                <w:sz w:val="24"/>
                <w:szCs w:val="22"/>
                <w:lang w:val="zh-CN" w:bidi="zh-CN"/>
              </w:rPr>
              <w:t>证券部部长</w:t>
            </w:r>
          </w:p>
          <w:p>
            <w:pPr>
              <w:autoSpaceDE w:val="0"/>
              <w:autoSpaceDN w:val="0"/>
              <w:spacing w:line="480" w:lineRule="exact"/>
              <w:jc w:val="left"/>
              <w:rPr>
                <w:rFonts w:ascii="宋体" w:hAnsi="宋体" w:eastAsia="宋体" w:cs="宋体"/>
                <w:sz w:val="24"/>
                <w:szCs w:val="22"/>
                <w:lang w:bidi="zh-CN"/>
              </w:rPr>
            </w:pPr>
            <w:r>
              <w:rPr>
                <w:rFonts w:hint="eastAsia" w:ascii="宋体" w:hAnsi="宋体" w:eastAsia="宋体" w:cs="宋体"/>
                <w:sz w:val="24"/>
                <w:szCs w:val="22"/>
                <w:lang w:val="zh-CN" w:bidi="zh-CN"/>
              </w:rPr>
              <w:t>韩  彬  证券部副部长</w:t>
            </w:r>
          </w:p>
        </w:tc>
      </w:tr>
    </w:tbl>
    <w:p>
      <w:pPr>
        <w:spacing w:line="289" w:lineRule="exact"/>
        <w:rPr>
          <w:sz w:val="24"/>
        </w:rPr>
        <w:sectPr>
          <w:pgSz w:w="11910" w:h="16840"/>
          <w:pgMar w:top="1580" w:right="1560" w:bottom="280" w:left="1680" w:header="720" w:footer="720" w:gutter="0"/>
          <w:cols w:space="720" w:num="1"/>
        </w:sectPr>
      </w:pPr>
    </w:p>
    <w:tbl>
      <w:tblPr>
        <w:tblStyle w:val="4"/>
        <w:tblW w:w="86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0"/>
        <w:gridCol w:w="7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69" w:hRule="atLeast"/>
        </w:trPr>
        <w:tc>
          <w:tcPr>
            <w:tcW w:w="1570" w:type="dxa"/>
          </w:tcPr>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spacing w:before="155" w:line="261" w:lineRule="auto"/>
              <w:ind w:left="107" w:right="96"/>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投资者关系活动主要内容介绍</w:t>
            </w:r>
          </w:p>
        </w:tc>
        <w:tc>
          <w:tcPr>
            <w:tcW w:w="7064" w:type="dxa"/>
          </w:tcPr>
          <w:p>
            <w:pPr>
              <w:widowControl/>
              <w:numPr>
                <w:ilvl w:val="255"/>
                <w:numId w:val="0"/>
              </w:numPr>
              <w:spacing w:line="38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 xml:space="preserve">2024年4月8日-4月12日，中铁工业通过开展年度业绩路演、参加券商策略会、接待投资者调研等与投资者进行了沟通和交流，具体如下： </w:t>
            </w:r>
          </w:p>
          <w:p>
            <w:pPr>
              <w:widowControl/>
              <w:numPr>
                <w:ilvl w:val="255"/>
                <w:numId w:val="0"/>
              </w:numPr>
              <w:spacing w:line="380" w:lineRule="exact"/>
              <w:ind w:firstLine="480" w:firstLineChars="200"/>
              <w:rPr>
                <w:rFonts w:ascii="宋体" w:hAnsi="宋体" w:eastAsia="宋体" w:cs="宋体"/>
                <w:sz w:val="24"/>
                <w:szCs w:val="22"/>
                <w:lang w:bidi="zh-CN"/>
              </w:rPr>
            </w:pPr>
          </w:p>
          <w:p>
            <w:pPr>
              <w:widowControl/>
              <w:numPr>
                <w:ilvl w:val="255"/>
                <w:numId w:val="0"/>
              </w:numPr>
              <w:spacing w:line="380" w:lineRule="exact"/>
              <w:ind w:firstLine="482" w:firstLineChars="200"/>
              <w:rPr>
                <w:rFonts w:ascii="宋体" w:hAnsi="宋体" w:eastAsia="宋体" w:cs="宋体"/>
                <w:b/>
                <w:bCs/>
                <w:sz w:val="24"/>
                <w:szCs w:val="22"/>
                <w:lang w:bidi="zh-CN"/>
              </w:rPr>
            </w:pPr>
            <w:r>
              <w:rPr>
                <w:rFonts w:hint="eastAsia" w:ascii="宋体" w:hAnsi="宋体" w:eastAsia="宋体" w:cs="宋体"/>
                <w:b/>
                <w:bCs/>
                <w:sz w:val="24"/>
                <w:szCs w:val="22"/>
                <w:lang w:bidi="zh-CN"/>
              </w:rPr>
              <w:t>1.2023年度主要经营业绩及未来展望。</w:t>
            </w:r>
          </w:p>
          <w:p>
            <w:pPr>
              <w:widowControl/>
              <w:numPr>
                <w:ilvl w:val="255"/>
                <w:numId w:val="0"/>
              </w:numPr>
              <w:spacing w:line="38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答：2023年中铁工业完成新签合同额520.12亿元，同比增长1.12%；实现营业收入300.67亿元，同比增长4.34%；综合毛利率19.08%，同比增长1个百分点；归属于上市公司股东的净利润17.44亿元；基本每股收益0.74元／股；经营活动产生的现金流量净额6.36亿元。在严峻复杂的国内外市场形势下，公司保持了相对较为稳健的发展态势。</w:t>
            </w:r>
          </w:p>
          <w:p>
            <w:pPr>
              <w:widowControl/>
              <w:numPr>
                <w:ilvl w:val="255"/>
                <w:numId w:val="0"/>
              </w:numPr>
              <w:spacing w:line="38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2</w:t>
            </w:r>
            <w:r>
              <w:rPr>
                <w:rFonts w:ascii="宋体" w:hAnsi="宋体" w:eastAsia="宋体" w:cs="宋体"/>
                <w:sz w:val="24"/>
                <w:szCs w:val="22"/>
                <w:lang w:bidi="zh-CN"/>
              </w:rPr>
              <w:t>024</w:t>
            </w:r>
            <w:r>
              <w:rPr>
                <w:rFonts w:hint="eastAsia" w:ascii="宋体" w:hAnsi="宋体" w:eastAsia="宋体" w:cs="宋体"/>
                <w:sz w:val="24"/>
                <w:szCs w:val="22"/>
                <w:lang w:bidi="zh-CN"/>
              </w:rPr>
              <w:t>年公司奋斗目标为“三增两控五优化”：“三增”即新签合同额、营业收入、利润总额同比正向增长，其中新签合同额554亿元，较2023年增长6.51%，营业收入315亿元，较2023年增长4.77%；“两控”即资产负债率、“两金”与营业收入比重同比不增高；“五优化”即净资产收益率、全员劳动生产率、营业现金比率、研发投入同比有所增长，项目平均收入净利润率同比有所提高。</w:t>
            </w:r>
          </w:p>
          <w:p>
            <w:pPr>
              <w:widowControl/>
              <w:numPr>
                <w:ilvl w:val="255"/>
                <w:numId w:val="0"/>
              </w:numPr>
              <w:spacing w:line="380" w:lineRule="exact"/>
              <w:ind w:firstLine="482" w:firstLineChars="200"/>
              <w:rPr>
                <w:rFonts w:ascii="宋体" w:hAnsi="宋体" w:eastAsia="宋体" w:cs="宋体"/>
                <w:b/>
                <w:bCs/>
                <w:sz w:val="24"/>
                <w:szCs w:val="22"/>
                <w:lang w:bidi="zh-CN"/>
              </w:rPr>
            </w:pPr>
            <w:r>
              <w:rPr>
                <w:rFonts w:hint="eastAsia" w:ascii="宋体" w:hAnsi="宋体" w:eastAsia="宋体" w:cs="宋体"/>
                <w:b/>
                <w:bCs/>
                <w:sz w:val="24"/>
                <w:szCs w:val="22"/>
                <w:lang w:bidi="zh-CN"/>
              </w:rPr>
              <w:t>2.2023年隧道施工装备及相关服务业务在各领域的应用及2024年展望。</w:t>
            </w:r>
          </w:p>
          <w:p>
            <w:pPr>
              <w:widowControl/>
              <w:numPr>
                <w:ilvl w:val="255"/>
                <w:numId w:val="0"/>
              </w:numPr>
              <w:spacing w:line="38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答：中铁工业隧道施工装备及相关服务业务板块包括盾构机/TBM新机、再制造、隧道施工专用设备、工程服务等业务类别，2023年完成新签合同额150.02亿元，同比增长4.04%；完成营业收入79.78亿元，同比增长4.71%。</w:t>
            </w:r>
          </w:p>
          <w:p>
            <w:pPr>
              <w:widowControl/>
              <w:numPr>
                <w:ilvl w:val="255"/>
                <w:numId w:val="0"/>
              </w:numPr>
              <w:spacing w:line="38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从该业务板块分领域的应用情况来看，2023年在保持城市轨道交通、铁路等传统市场稳定份额和市场占有率领先的基础上，持续加大水利、抽水蓄能、矿山建设等新领域市场开拓，取得了较好业绩。在水利领域，新签合同额突破30亿元，同比实现大幅增长，在湖北、广东等地承揽了一批重大水利工程项目隧道掘进机订单，持续保持了在该领域60%以上的市场占有率；在矿山领域，新签合同额近10亿元，除煤矿之外，还在辽宁、江西等地承揽了非煤矿山项目订单；在抽水蓄能领域，在福建、山东、山西、新疆等地承揽了项目订单，市场占有率持续保持在80%以上。</w:t>
            </w:r>
          </w:p>
          <w:p>
            <w:pPr>
              <w:widowControl/>
              <w:numPr>
                <w:ilvl w:val="255"/>
                <w:numId w:val="0"/>
              </w:numPr>
              <w:spacing w:line="38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从该业务板块区域分布来看，2023年海外市场实现新签合同额17.3亿元，同比增长35.7%，在上年高增长基数上再次实现大幅增长，在西欧、东南亚和中东区域承揽了铁路、地铁、高速公路项目订单，特别是在欧洲发达国家市场和大直径盾构机/TBM应用方面的市场占有率进一步提升。</w:t>
            </w:r>
          </w:p>
          <w:p>
            <w:pPr>
              <w:widowControl/>
              <w:numPr>
                <w:ilvl w:val="255"/>
                <w:numId w:val="0"/>
              </w:numPr>
              <w:spacing w:line="38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展望2024年及未来一个时期，从国内来看，公司将紧紧抓住国家加大水利水电重大项目建设力度、持续推进铁路重点项目建设、提升战略性矿产资源保障能力等政策机遇，进一步加大在水利水电、铁路、矿山等领域的市场开拓力度；从海外来看，目前公司盾构机/TBM产品已应用于海外地铁、市政、铁路、公路等多个领域，特别是近年来在欧洲发达国家、大直径盾构机/TBM等方面持续取得重大突破；未来公司将在进一步稳定欧洲、东南亚等传统优势市场的基础上，持续加大对中东、澳洲和美洲等市场的拓展，进一步提升市场份额。</w:t>
            </w:r>
          </w:p>
          <w:p>
            <w:pPr>
              <w:widowControl/>
              <w:numPr>
                <w:ilvl w:val="255"/>
                <w:numId w:val="0"/>
              </w:numPr>
              <w:spacing w:line="380" w:lineRule="exact"/>
              <w:ind w:firstLine="482" w:firstLineChars="200"/>
              <w:rPr>
                <w:rFonts w:ascii="宋体" w:hAnsi="宋体" w:eastAsia="宋体" w:cs="宋体"/>
                <w:sz w:val="24"/>
                <w:szCs w:val="22"/>
                <w:lang w:bidi="zh-CN"/>
              </w:rPr>
            </w:pPr>
            <w:r>
              <w:rPr>
                <w:rFonts w:ascii="宋体" w:hAnsi="宋体" w:eastAsia="宋体" w:cs="宋体"/>
                <w:b/>
                <w:bCs/>
                <w:sz w:val="24"/>
                <w:szCs w:val="22"/>
                <w:lang w:bidi="zh-CN"/>
              </w:rPr>
              <w:t>3.</w:t>
            </w:r>
            <w:r>
              <w:rPr>
                <w:rFonts w:hint="eastAsia" w:ascii="宋体" w:hAnsi="宋体" w:eastAsia="宋体" w:cs="宋体"/>
                <w:b/>
                <w:bCs/>
                <w:sz w:val="24"/>
                <w:szCs w:val="22"/>
                <w:lang w:bidi="zh-CN"/>
              </w:rPr>
              <w:t>国资监管层面对公司市值管理考核情况。</w:t>
            </w:r>
          </w:p>
          <w:p>
            <w:pPr>
              <w:widowControl/>
              <w:numPr>
                <w:ilvl w:val="255"/>
                <w:numId w:val="0"/>
              </w:numPr>
              <w:spacing w:line="38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答：中铁工业及控股股东中国中铁始终高度重视公司的市值管理工作，从2</w:t>
            </w:r>
            <w:r>
              <w:rPr>
                <w:rFonts w:ascii="宋体" w:hAnsi="宋体" w:eastAsia="宋体" w:cs="宋体"/>
                <w:sz w:val="24"/>
                <w:szCs w:val="22"/>
                <w:lang w:bidi="zh-CN"/>
              </w:rPr>
              <w:t>022</w:t>
            </w:r>
            <w:r>
              <w:rPr>
                <w:rFonts w:hint="eastAsia" w:ascii="宋体" w:hAnsi="宋体" w:eastAsia="宋体" w:cs="宋体"/>
                <w:sz w:val="24"/>
                <w:szCs w:val="22"/>
                <w:lang w:bidi="zh-CN"/>
              </w:rPr>
              <w:t>年度开始，中国中铁在专项考核中创新性地增加了公司治理指标（上海证券交易所年度信息披露评价）和股价变动率指标（可比公司年度平均股价变动率），旨在督促控股上市公司管理层进一步规范公司治理、加强市值管理，在实现降本增效、提升内在价值的同时持续提升治理水平，强化与投资者的沟通和交流，提升上市公司质量，增强价值创造和价值实现能力。2</w:t>
            </w:r>
            <w:r>
              <w:rPr>
                <w:rFonts w:ascii="宋体" w:hAnsi="宋体" w:eastAsia="宋体" w:cs="宋体"/>
                <w:sz w:val="24"/>
                <w:szCs w:val="22"/>
                <w:lang w:bidi="zh-CN"/>
              </w:rPr>
              <w:t>024</w:t>
            </w:r>
            <w:r>
              <w:rPr>
                <w:rFonts w:hint="eastAsia" w:ascii="宋体" w:hAnsi="宋体" w:eastAsia="宋体" w:cs="宋体"/>
                <w:sz w:val="24"/>
                <w:szCs w:val="22"/>
                <w:lang w:bidi="zh-CN"/>
              </w:rPr>
              <w:t>年1月，国资委提出把“市值管理纳入央企负责人业绩考核，引导中央企业负责人更加重视所控股上市公司的市场表现”，目前公司正积极关注国资监管层面对市值管理考核指标的具体制定情况，努力探索符合公司实际的市值管理举措，并致力于围绕“提高上市公司质量”主线，聚焦效益提升、价值创造，推动公司内强质地，外塑形象，让投资者走得近、听得懂、看得清、有信心，努力打造成为核心竞争力强、市场影响力大的旗舰型龙头上市公司。</w:t>
            </w:r>
          </w:p>
          <w:p>
            <w:pPr>
              <w:widowControl/>
              <w:numPr>
                <w:ilvl w:val="255"/>
                <w:numId w:val="0"/>
              </w:numPr>
              <w:spacing w:line="380" w:lineRule="exact"/>
              <w:ind w:firstLine="482" w:firstLineChars="200"/>
              <w:rPr>
                <w:rFonts w:ascii="宋体" w:hAnsi="宋体" w:eastAsia="宋体" w:cs="宋体"/>
                <w:b/>
                <w:bCs/>
                <w:sz w:val="24"/>
                <w:szCs w:val="22"/>
                <w:lang w:bidi="zh-CN"/>
              </w:rPr>
            </w:pPr>
            <w:r>
              <w:rPr>
                <w:rFonts w:ascii="宋体" w:hAnsi="宋体" w:eastAsia="宋体" w:cs="宋体"/>
                <w:b/>
                <w:bCs/>
                <w:sz w:val="24"/>
                <w:szCs w:val="22"/>
                <w:lang w:bidi="zh-CN"/>
              </w:rPr>
              <w:t>4.</w:t>
            </w:r>
            <w:r>
              <w:rPr>
                <w:rFonts w:hint="eastAsia" w:ascii="宋体" w:hAnsi="宋体" w:eastAsia="宋体" w:cs="宋体"/>
                <w:b/>
                <w:bCs/>
                <w:sz w:val="24"/>
                <w:szCs w:val="22"/>
                <w:lang w:bidi="zh-CN"/>
              </w:rPr>
              <w:t>主要产品收入转化周期。</w:t>
            </w:r>
          </w:p>
          <w:p>
            <w:pPr>
              <w:widowControl/>
              <w:numPr>
                <w:ilvl w:val="255"/>
                <w:numId w:val="0"/>
              </w:numPr>
              <w:spacing w:line="380" w:lineRule="exact"/>
              <w:ind w:firstLine="480" w:firstLineChars="200"/>
              <w:rPr>
                <w:rFonts w:hint="eastAsia" w:ascii="宋体" w:hAnsi="宋体" w:eastAsia="宋体" w:cs="宋体"/>
                <w:sz w:val="24"/>
                <w:szCs w:val="22"/>
                <w:lang w:bidi="zh-CN"/>
              </w:rPr>
            </w:pPr>
            <w:r>
              <w:rPr>
                <w:rFonts w:hint="eastAsia" w:ascii="宋体" w:hAnsi="宋体" w:eastAsia="宋体" w:cs="宋体"/>
                <w:sz w:val="24"/>
                <w:szCs w:val="22"/>
                <w:lang w:bidi="zh-CN"/>
              </w:rPr>
              <w:t>答：公司收入转化周期较长产品的主要为盾构机/</w:t>
            </w:r>
            <w:r>
              <w:rPr>
                <w:rFonts w:ascii="宋体" w:hAnsi="宋体" w:eastAsia="宋体" w:cs="宋体"/>
                <w:sz w:val="24"/>
                <w:szCs w:val="22"/>
                <w:lang w:bidi="zh-CN"/>
              </w:rPr>
              <w:t>TBM</w:t>
            </w:r>
            <w:r>
              <w:rPr>
                <w:rFonts w:hint="eastAsia" w:ascii="宋体" w:hAnsi="宋体" w:eastAsia="宋体" w:cs="宋体"/>
                <w:sz w:val="24"/>
                <w:szCs w:val="22"/>
                <w:lang w:bidi="zh-CN"/>
              </w:rPr>
              <w:t>、钢结构制造与安装。盾构机/</w:t>
            </w:r>
            <w:r>
              <w:rPr>
                <w:rFonts w:ascii="宋体" w:hAnsi="宋体" w:eastAsia="宋体" w:cs="宋体"/>
                <w:sz w:val="24"/>
                <w:szCs w:val="22"/>
                <w:lang w:bidi="zh-CN"/>
              </w:rPr>
              <w:t>TBM</w:t>
            </w:r>
            <w:r>
              <w:rPr>
                <w:rFonts w:hint="eastAsia" w:ascii="宋体" w:hAnsi="宋体" w:eastAsia="宋体" w:cs="宋体"/>
                <w:sz w:val="24"/>
                <w:szCs w:val="22"/>
                <w:lang w:bidi="zh-CN"/>
              </w:rPr>
              <w:t>通常以完成试掘进验收为收入确认时点，不同应用领域、不同直径、不同类别的盾构机/</w:t>
            </w:r>
            <w:r>
              <w:rPr>
                <w:rFonts w:ascii="宋体" w:hAnsi="宋体" w:eastAsia="宋体" w:cs="宋体"/>
                <w:sz w:val="24"/>
                <w:szCs w:val="22"/>
                <w:lang w:bidi="zh-CN"/>
              </w:rPr>
              <w:t>TBM</w:t>
            </w:r>
            <w:r>
              <w:rPr>
                <w:rFonts w:hint="eastAsia" w:ascii="宋体" w:hAnsi="宋体" w:eastAsia="宋体" w:cs="宋体"/>
                <w:sz w:val="24"/>
                <w:szCs w:val="22"/>
                <w:lang w:bidi="zh-CN"/>
              </w:rPr>
              <w:t>收入转化周期差异较大，以地铁用盾构机为例，从签署订单至完成试掘进通常为1</w:t>
            </w:r>
            <w:r>
              <w:rPr>
                <w:rFonts w:ascii="宋体" w:hAnsi="宋体" w:eastAsia="宋体" w:cs="宋体"/>
                <w:sz w:val="24"/>
                <w:szCs w:val="22"/>
                <w:lang w:bidi="zh-CN"/>
              </w:rPr>
              <w:t>-1.5</w:t>
            </w:r>
            <w:r>
              <w:rPr>
                <w:rFonts w:hint="eastAsia" w:ascii="宋体" w:hAnsi="宋体" w:eastAsia="宋体" w:cs="宋体"/>
                <w:sz w:val="24"/>
                <w:szCs w:val="22"/>
                <w:lang w:bidi="zh-CN"/>
              </w:rPr>
              <w:t>年，而铁路用</w:t>
            </w:r>
            <w:r>
              <w:rPr>
                <w:rFonts w:ascii="宋体" w:hAnsi="宋体" w:eastAsia="宋体" w:cs="宋体"/>
                <w:sz w:val="24"/>
                <w:szCs w:val="22"/>
                <w:lang w:bidi="zh-CN"/>
              </w:rPr>
              <w:t>TBM</w:t>
            </w:r>
            <w:r>
              <w:rPr>
                <w:rFonts w:hint="eastAsia" w:ascii="宋体" w:hAnsi="宋体" w:eastAsia="宋体" w:cs="宋体"/>
                <w:sz w:val="24"/>
                <w:szCs w:val="22"/>
                <w:lang w:bidi="zh-CN"/>
              </w:rPr>
              <w:t>等产品相比地铁用盾构机需要更长的厂内制造周期和试掘进周期。钢结构制造与安装业务主要为大型桥梁钢结构，建设周期长，收入在整个钢结构工程项目的建设周期内逐步确认，不同吨位的大桥工期差异较大，以公司参与建造的港珠澳大桥为例，整个项目周期达到9年。</w:t>
            </w:r>
          </w:p>
          <w:p>
            <w:pPr>
              <w:widowControl/>
              <w:numPr>
                <w:ilvl w:val="255"/>
                <w:numId w:val="0"/>
              </w:numPr>
              <w:spacing w:line="380" w:lineRule="exact"/>
              <w:ind w:firstLine="482" w:firstLineChars="200"/>
              <w:rPr>
                <w:rFonts w:ascii="宋体" w:hAnsi="宋体" w:eastAsia="宋体" w:cs="宋体"/>
                <w:b/>
                <w:bCs/>
                <w:sz w:val="24"/>
                <w:szCs w:val="22"/>
                <w:lang w:bidi="zh-CN"/>
              </w:rPr>
            </w:pPr>
            <w:bookmarkStart w:id="0" w:name="_GoBack"/>
            <w:bookmarkEnd w:id="0"/>
            <w:r>
              <w:rPr>
                <w:rFonts w:ascii="宋体" w:hAnsi="宋体" w:eastAsia="宋体" w:cs="宋体"/>
                <w:b/>
                <w:bCs/>
                <w:sz w:val="24"/>
                <w:szCs w:val="22"/>
                <w:lang w:bidi="zh-CN"/>
              </w:rPr>
              <w:t>5.</w:t>
            </w:r>
            <w:r>
              <w:rPr>
                <w:rFonts w:hint="eastAsia" w:ascii="宋体" w:hAnsi="宋体" w:eastAsia="宋体" w:cs="宋体"/>
                <w:b/>
                <w:bCs/>
                <w:sz w:val="24"/>
                <w:szCs w:val="22"/>
                <w:lang w:bidi="zh-CN"/>
              </w:rPr>
              <w:t>公司在提升盈利能力方面的主要做法。</w:t>
            </w:r>
          </w:p>
          <w:p>
            <w:pPr>
              <w:widowControl/>
              <w:numPr>
                <w:ilvl w:val="255"/>
                <w:numId w:val="0"/>
              </w:numPr>
              <w:spacing w:line="38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答：</w:t>
            </w:r>
            <w:r>
              <w:rPr>
                <w:rFonts w:hint="eastAsia" w:ascii="宋体" w:hAnsi="宋体" w:eastAsia="宋体" w:cs="宋体"/>
                <w:b/>
                <w:bCs/>
                <w:sz w:val="24"/>
                <w:szCs w:val="22"/>
                <w:lang w:bidi="zh-CN"/>
              </w:rPr>
              <w:t>在研发管理方面，</w:t>
            </w:r>
            <w:r>
              <w:rPr>
                <w:rFonts w:hint="eastAsia" w:ascii="宋体" w:hAnsi="宋体" w:eastAsia="宋体" w:cs="宋体"/>
                <w:sz w:val="24"/>
                <w:szCs w:val="22"/>
                <w:lang w:bidi="zh-CN"/>
              </w:rPr>
              <w:t>不断开发新技术、新工艺，用技术工艺保障高品质低成本的竞争需要；加大技术攻关力度，瞄准高端化、智能化、绿色化、服务化四大发展方向，助推公司产业升级。</w:t>
            </w:r>
            <w:r>
              <w:rPr>
                <w:rFonts w:hint="eastAsia" w:ascii="宋体" w:hAnsi="宋体" w:eastAsia="宋体" w:cs="宋体"/>
                <w:b/>
                <w:bCs/>
                <w:sz w:val="24"/>
                <w:szCs w:val="22"/>
                <w:lang w:bidi="zh-CN"/>
              </w:rPr>
              <w:t>在经营管理方面，</w:t>
            </w:r>
            <w:r>
              <w:rPr>
                <w:rFonts w:hint="eastAsia" w:ascii="宋体" w:hAnsi="宋体" w:eastAsia="宋体" w:cs="宋体"/>
                <w:sz w:val="24"/>
                <w:szCs w:val="22"/>
                <w:lang w:bidi="zh-CN"/>
              </w:rPr>
              <w:t>提升需求管理的专业化、标准化水平，升级优化经营布局，持续开展经营“调结构”工作，努力提升资金状况佳、合同质量好、业主直接招标的优质项目市场份额。</w:t>
            </w:r>
            <w:r>
              <w:rPr>
                <w:rFonts w:hint="eastAsia" w:ascii="宋体" w:hAnsi="宋体" w:eastAsia="宋体" w:cs="宋体"/>
                <w:b/>
                <w:bCs/>
                <w:sz w:val="24"/>
                <w:szCs w:val="22"/>
                <w:lang w:bidi="zh-CN"/>
              </w:rPr>
              <w:t>在成本管理方面，</w:t>
            </w:r>
            <w:r>
              <w:rPr>
                <w:rFonts w:hint="eastAsia" w:ascii="宋体" w:hAnsi="宋体" w:eastAsia="宋体" w:cs="宋体"/>
                <w:sz w:val="24"/>
                <w:szCs w:val="22"/>
                <w:lang w:bidi="zh-CN"/>
              </w:rPr>
              <w:t>提升项目标前成本测算质量，做好项目责任成本管理；通过生产组织和管理模式优化、生产线智能化改造、推行大商务管理等方式降低生产成本，并设定不同产品的降低成本的阶段性目标。</w:t>
            </w:r>
            <w:r>
              <w:rPr>
                <w:rFonts w:hint="eastAsia" w:ascii="宋体" w:hAnsi="宋体" w:eastAsia="宋体" w:cs="宋体"/>
                <w:b/>
                <w:bCs/>
                <w:sz w:val="24"/>
                <w:szCs w:val="22"/>
                <w:lang w:bidi="zh-CN"/>
              </w:rPr>
              <w:t>在费用控制方面，</w:t>
            </w:r>
            <w:r>
              <w:rPr>
                <w:rFonts w:hint="eastAsia" w:ascii="宋体" w:hAnsi="宋体" w:eastAsia="宋体" w:cs="宋体"/>
                <w:sz w:val="24"/>
                <w:szCs w:val="22"/>
                <w:lang w:bidi="zh-CN"/>
              </w:rPr>
              <w:t>进一步加大对非刚性管理费用的压降力度，努力遏制管理费用的较快增长。</w:t>
            </w:r>
            <w:r>
              <w:rPr>
                <w:rFonts w:hint="eastAsia" w:ascii="宋体" w:hAnsi="宋体" w:eastAsia="宋体" w:cs="宋体"/>
                <w:b/>
                <w:bCs/>
                <w:sz w:val="24"/>
                <w:szCs w:val="22"/>
                <w:lang w:bidi="zh-CN"/>
              </w:rPr>
              <w:t>在应收账款方面，</w:t>
            </w:r>
            <w:r>
              <w:rPr>
                <w:rFonts w:hint="eastAsia" w:ascii="宋体" w:hAnsi="宋体" w:eastAsia="宋体" w:cs="宋体"/>
                <w:sz w:val="24"/>
                <w:szCs w:val="22"/>
                <w:lang w:bidi="zh-CN"/>
              </w:rPr>
              <w:t>加大对应收账款的清理清欠力度，进一步加大刚性考核和激励力度，按照不同产品类别、不同项目状态分类制定清理目标和考核标准，在明确各项奖惩规定及回收期限基础上，根据工作成效进行及时激励。</w:t>
            </w:r>
            <w:r>
              <w:rPr>
                <w:rFonts w:hint="eastAsia" w:ascii="宋体" w:hAnsi="宋体" w:eastAsia="宋体" w:cs="宋体"/>
                <w:b/>
                <w:bCs/>
                <w:sz w:val="24"/>
                <w:szCs w:val="22"/>
                <w:lang w:bidi="zh-CN"/>
              </w:rPr>
              <w:t>在指标指引方面，</w:t>
            </w:r>
            <w:r>
              <w:rPr>
                <w:rFonts w:hint="eastAsia" w:ascii="宋体" w:hAnsi="宋体" w:eastAsia="宋体" w:cs="宋体"/>
                <w:sz w:val="24"/>
                <w:szCs w:val="22"/>
                <w:lang w:bidi="zh-CN"/>
              </w:rPr>
              <w:t>设置“三增两控五优化”奋斗目标，并制定配套的管理制度、机制和流程，努力实现净资产收益率、全员劳动生产率、营业现金比率、研发投入同比有所增长，项目平均收入净利润率同比有所提高。</w:t>
            </w:r>
          </w:p>
          <w:p>
            <w:pPr>
              <w:widowControl/>
              <w:numPr>
                <w:ilvl w:val="255"/>
                <w:numId w:val="0"/>
              </w:numPr>
              <w:spacing w:line="380" w:lineRule="exact"/>
              <w:ind w:firstLine="482" w:firstLineChars="200"/>
              <w:rPr>
                <w:rFonts w:ascii="宋体" w:hAnsi="宋体" w:eastAsia="宋体" w:cs="宋体"/>
                <w:b/>
                <w:bCs/>
                <w:sz w:val="24"/>
                <w:szCs w:val="22"/>
                <w:lang w:bidi="zh-CN"/>
              </w:rPr>
            </w:pPr>
            <w:r>
              <w:rPr>
                <w:rFonts w:ascii="宋体" w:hAnsi="宋体" w:eastAsia="宋体" w:cs="宋体"/>
                <w:b/>
                <w:bCs/>
                <w:sz w:val="24"/>
                <w:szCs w:val="22"/>
                <w:lang w:bidi="zh-CN"/>
              </w:rPr>
              <w:t>6.2023</w:t>
            </w:r>
            <w:r>
              <w:rPr>
                <w:rFonts w:hint="eastAsia" w:ascii="宋体" w:hAnsi="宋体" w:eastAsia="宋体" w:cs="宋体"/>
                <w:b/>
                <w:bCs/>
                <w:sz w:val="24"/>
                <w:szCs w:val="22"/>
                <w:lang w:bidi="zh-CN"/>
              </w:rPr>
              <w:t>年度公司海外业务整体情况。</w:t>
            </w:r>
          </w:p>
          <w:p>
            <w:pPr>
              <w:widowControl/>
              <w:numPr>
                <w:ilvl w:val="255"/>
                <w:numId w:val="0"/>
              </w:numPr>
              <w:spacing w:line="38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答：公司作为全球领先的地下工程装备和轨道交通装备大规模定制化企业，生产的盾构机/TBM、铁路道岔、钢桥梁、工程机械等产品均达到了世界领先水平，产品和服务已遍及全球六大洲40多个国家和地区，尤其是作为“中国名片”的盾构机/TBM产销量连续</w:t>
            </w:r>
            <w:r>
              <w:rPr>
                <w:rFonts w:ascii="宋体" w:hAnsi="宋体" w:eastAsia="宋体" w:cs="宋体"/>
                <w:sz w:val="24"/>
                <w:szCs w:val="22"/>
                <w:lang w:bidi="zh-CN"/>
              </w:rPr>
              <w:t>7</w:t>
            </w:r>
            <w:r>
              <w:rPr>
                <w:rFonts w:hint="eastAsia" w:ascii="宋体" w:hAnsi="宋体" w:eastAsia="宋体" w:cs="宋体"/>
                <w:sz w:val="24"/>
                <w:szCs w:val="22"/>
                <w:lang w:bidi="zh-CN"/>
              </w:rPr>
              <w:t>年世界第一，是我国出口海外盾构机/TBM数量最多、市场占有率最高、品牌知名度最强的企业。</w:t>
            </w:r>
          </w:p>
          <w:p>
            <w:pPr>
              <w:widowControl/>
              <w:numPr>
                <w:ilvl w:val="255"/>
                <w:numId w:val="0"/>
              </w:numPr>
              <w:spacing w:line="38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2023年，公司深挖欧洲、澳洲、东南亚等现有市场，积极开拓中东区域等新兴市场，在盾构机/TBM业务持续保持高速增长的同时，着力推进钢结构、道岔与海外高端客户绑定“走出去”策略落地，积极拓展海外市场。在新签合同额方面，中铁工业全年海外业务新签合同额再创新高，完成海外新签合同额30.71亿元，同比增长8.24%；其中隧道施工装备及相关服务业务实现新签合同额17.3亿元，同比增长35.7%，在欧洲发达国家市场和大直径隧道掘进机应用方面的市场占有率进一步提升，技术壁垒高、价值量大的产品占比得到提高；道岔业务实现新签合同额4.70亿元，同比增长19.37%，在北美、北非、东北亚、东欧、中东等区域承揽了铁路道岔订单，实现整组道岔首进欧洲市场，并在巩固传统优势市场基础上实现在中北美市场的重大突破。在主营业务营业收入方面，中铁工业全年实现海外营业收入18.34亿元，同比增长110.79%。</w:t>
            </w:r>
          </w:p>
          <w:p>
            <w:pPr>
              <w:widowControl/>
              <w:numPr>
                <w:ilvl w:val="255"/>
                <w:numId w:val="0"/>
              </w:numPr>
              <w:spacing w:line="38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未来，公司将持续加大海外市场开拓力度，加强与国际大型知名建筑承包商的紧密合作，进一步巩固和拓展海外市场，保持盾构机/TBM产品产销量全球第一的龙头地位；不断加强属地化建设，进一步降低海外项目生产成本，提升管理效率。</w:t>
            </w:r>
          </w:p>
          <w:p>
            <w:pPr>
              <w:widowControl/>
              <w:numPr>
                <w:ilvl w:val="255"/>
                <w:numId w:val="0"/>
              </w:numPr>
              <w:spacing w:line="380" w:lineRule="exact"/>
              <w:ind w:firstLine="482" w:firstLineChars="200"/>
              <w:rPr>
                <w:rFonts w:ascii="宋体" w:hAnsi="宋体" w:eastAsia="宋体" w:cs="宋体"/>
                <w:b/>
                <w:bCs/>
                <w:sz w:val="24"/>
                <w:szCs w:val="22"/>
                <w:lang w:bidi="zh-CN"/>
              </w:rPr>
            </w:pPr>
            <w:r>
              <w:rPr>
                <w:rFonts w:ascii="宋体" w:hAnsi="宋体" w:eastAsia="宋体" w:cs="宋体"/>
                <w:b/>
                <w:bCs/>
                <w:sz w:val="24"/>
                <w:szCs w:val="22"/>
                <w:lang w:bidi="zh-CN"/>
              </w:rPr>
              <w:t>7</w:t>
            </w:r>
            <w:r>
              <w:rPr>
                <w:rFonts w:hint="eastAsia" w:ascii="宋体" w:hAnsi="宋体" w:eastAsia="宋体" w:cs="宋体"/>
                <w:b/>
                <w:bCs/>
                <w:sz w:val="24"/>
                <w:szCs w:val="22"/>
                <w:lang w:bidi="zh-CN"/>
              </w:rPr>
              <w:t>.国务院提出的推动新一轮大规模设备更新对公司产品未来增长潜力的判断。</w:t>
            </w:r>
          </w:p>
          <w:p>
            <w:pPr>
              <w:widowControl/>
              <w:numPr>
                <w:ilvl w:val="255"/>
                <w:numId w:val="0"/>
              </w:numPr>
              <w:spacing w:line="38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答：2024年3月1日，国务院常务会议审议通过《推动大规模设备更新和消费品以旧换新行动方案》；</w:t>
            </w:r>
            <w:r>
              <w:rPr>
                <w:rFonts w:ascii="宋体" w:hAnsi="宋体" w:eastAsia="宋体" w:cs="宋体"/>
                <w:sz w:val="24"/>
                <w:szCs w:val="22"/>
                <w:lang w:bidi="zh-CN"/>
              </w:rPr>
              <w:t>3</w:t>
            </w:r>
            <w:r>
              <w:rPr>
                <w:rFonts w:hint="eastAsia" w:ascii="宋体" w:hAnsi="宋体" w:eastAsia="宋体" w:cs="宋体"/>
                <w:sz w:val="24"/>
                <w:szCs w:val="22"/>
                <w:lang w:bidi="zh-CN"/>
              </w:rPr>
              <w:t>月2</w:t>
            </w:r>
            <w:r>
              <w:rPr>
                <w:rFonts w:ascii="宋体" w:hAnsi="宋体" w:eastAsia="宋体" w:cs="宋体"/>
                <w:sz w:val="24"/>
                <w:szCs w:val="22"/>
                <w:lang w:bidi="zh-CN"/>
              </w:rPr>
              <w:t>7</w:t>
            </w:r>
            <w:r>
              <w:rPr>
                <w:rFonts w:hint="eastAsia" w:ascii="宋体" w:hAnsi="宋体" w:eastAsia="宋体" w:cs="宋体"/>
                <w:sz w:val="24"/>
                <w:szCs w:val="22"/>
                <w:lang w:bidi="zh-CN"/>
              </w:rPr>
              <w:t>日，工信部等七部门联合印发《推动工业领域设备更新实施方案》，提出到2027年，工业领域设备投资规模较2023年增长25%以上，并提出加大财税支持、加强金融支持和要素保障等措施。</w:t>
            </w:r>
          </w:p>
          <w:p>
            <w:pPr>
              <w:widowControl/>
              <w:numPr>
                <w:ilvl w:val="255"/>
                <w:numId w:val="0"/>
              </w:numPr>
              <w:spacing w:line="380" w:lineRule="exact"/>
              <w:ind w:firstLine="480" w:firstLineChars="200"/>
              <w:rPr>
                <w:rFonts w:ascii="宋体" w:hAnsi="宋体" w:eastAsia="宋体" w:cs="宋体"/>
                <w:sz w:val="24"/>
                <w:szCs w:val="22"/>
                <w:lang w:bidi="zh-CN"/>
              </w:rPr>
            </w:pPr>
            <w:r>
              <w:rPr>
                <w:rFonts w:hint="eastAsia" w:ascii="宋体" w:hAnsi="宋体" w:eastAsia="宋体" w:cs="宋体"/>
                <w:sz w:val="24"/>
                <w:szCs w:val="22"/>
                <w:lang w:bidi="zh-CN"/>
              </w:rPr>
              <w:t>公司作为基建高端装备研发制造企业，隧道施工装备、特种工程机械、道岔等主营产品均与上述政策密切相关，特别是公司市场占有率高居首位的高速铁路道岔产品具有使用频率高、保有量大、关系行车安全和行车速度等特点，与国家所提出的设备更新政策要求契合度高，将对该项业务未来发展空间带来积极影响。</w:t>
            </w:r>
          </w:p>
          <w:p>
            <w:pPr>
              <w:widowControl/>
              <w:numPr>
                <w:ilvl w:val="255"/>
                <w:numId w:val="0"/>
              </w:numPr>
              <w:spacing w:line="380" w:lineRule="exact"/>
              <w:ind w:firstLine="480" w:firstLineChars="200"/>
              <w:rPr>
                <w:rFonts w:ascii="宋体" w:hAnsi="宋体" w:eastAsia="宋体" w:cs="宋体"/>
                <w:sz w:val="24"/>
                <w:szCs w:val="22"/>
                <w:lang w:bidi="zh-CN"/>
              </w:rPr>
            </w:pPr>
          </w:p>
        </w:tc>
      </w:tr>
    </w:tbl>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rPr>
          <w:rFonts w:ascii="Calibri" w:hAnsi="Calibri" w:eastAsia="宋体" w:cs="Times New Roman"/>
        </w:rPr>
      </w:pPr>
    </w:p>
    <w:p/>
    <w:sectPr>
      <w:pgSz w:w="11910" w:h="16840"/>
      <w:pgMar w:top="142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1ZjZjNTE3YTUxMDk1NDMzNDRmODhmYTVhNzQ2MmEifQ=="/>
  </w:docVars>
  <w:rsids>
    <w:rsidRoot w:val="22C02D9E"/>
    <w:rsid w:val="00075A04"/>
    <w:rsid w:val="000A3529"/>
    <w:rsid w:val="000D59AA"/>
    <w:rsid w:val="001908C2"/>
    <w:rsid w:val="001B61C8"/>
    <w:rsid w:val="00220C2E"/>
    <w:rsid w:val="00282FAC"/>
    <w:rsid w:val="002C62BE"/>
    <w:rsid w:val="002E6C89"/>
    <w:rsid w:val="00315A81"/>
    <w:rsid w:val="00334215"/>
    <w:rsid w:val="00344384"/>
    <w:rsid w:val="00350B8F"/>
    <w:rsid w:val="0036654A"/>
    <w:rsid w:val="003B5A70"/>
    <w:rsid w:val="004127AC"/>
    <w:rsid w:val="00477C91"/>
    <w:rsid w:val="00506AF5"/>
    <w:rsid w:val="005145BC"/>
    <w:rsid w:val="00587B4D"/>
    <w:rsid w:val="00595B2E"/>
    <w:rsid w:val="00595F5D"/>
    <w:rsid w:val="005B3801"/>
    <w:rsid w:val="00601807"/>
    <w:rsid w:val="00602295"/>
    <w:rsid w:val="00610649"/>
    <w:rsid w:val="006C2A5A"/>
    <w:rsid w:val="00725083"/>
    <w:rsid w:val="00743D5B"/>
    <w:rsid w:val="00792BDC"/>
    <w:rsid w:val="007B33FF"/>
    <w:rsid w:val="008002B5"/>
    <w:rsid w:val="0085007E"/>
    <w:rsid w:val="0085219E"/>
    <w:rsid w:val="008646D0"/>
    <w:rsid w:val="00877B9F"/>
    <w:rsid w:val="0088533F"/>
    <w:rsid w:val="008B295A"/>
    <w:rsid w:val="008C5F4C"/>
    <w:rsid w:val="009037B7"/>
    <w:rsid w:val="009235B8"/>
    <w:rsid w:val="0098548B"/>
    <w:rsid w:val="009A6BF8"/>
    <w:rsid w:val="009C01A3"/>
    <w:rsid w:val="00A42B88"/>
    <w:rsid w:val="00A75D55"/>
    <w:rsid w:val="00AB146D"/>
    <w:rsid w:val="00AD5E58"/>
    <w:rsid w:val="00AE3D7B"/>
    <w:rsid w:val="00AF125B"/>
    <w:rsid w:val="00B10D2B"/>
    <w:rsid w:val="00B414AD"/>
    <w:rsid w:val="00B44BF4"/>
    <w:rsid w:val="00B529C2"/>
    <w:rsid w:val="00B74E83"/>
    <w:rsid w:val="00B84CFF"/>
    <w:rsid w:val="00B85F0C"/>
    <w:rsid w:val="00B922C4"/>
    <w:rsid w:val="00BD1D5C"/>
    <w:rsid w:val="00C02992"/>
    <w:rsid w:val="00C25B58"/>
    <w:rsid w:val="00C4717F"/>
    <w:rsid w:val="00C77168"/>
    <w:rsid w:val="00CB65B3"/>
    <w:rsid w:val="00CC6DD0"/>
    <w:rsid w:val="00CE5981"/>
    <w:rsid w:val="00CF526C"/>
    <w:rsid w:val="00D11134"/>
    <w:rsid w:val="00D37FD3"/>
    <w:rsid w:val="00D75CEB"/>
    <w:rsid w:val="00D76631"/>
    <w:rsid w:val="00DE1B30"/>
    <w:rsid w:val="00E06F2F"/>
    <w:rsid w:val="00E56062"/>
    <w:rsid w:val="00E921E9"/>
    <w:rsid w:val="00EA7477"/>
    <w:rsid w:val="00F20A66"/>
    <w:rsid w:val="00F25B61"/>
    <w:rsid w:val="00F33667"/>
    <w:rsid w:val="00FD0C7A"/>
    <w:rsid w:val="014075AF"/>
    <w:rsid w:val="01776618"/>
    <w:rsid w:val="0204347A"/>
    <w:rsid w:val="02146827"/>
    <w:rsid w:val="02746CB9"/>
    <w:rsid w:val="029A3351"/>
    <w:rsid w:val="03351957"/>
    <w:rsid w:val="03354BA9"/>
    <w:rsid w:val="036E1AFC"/>
    <w:rsid w:val="03D913C1"/>
    <w:rsid w:val="0400177C"/>
    <w:rsid w:val="04331757"/>
    <w:rsid w:val="049B5AE0"/>
    <w:rsid w:val="05053E22"/>
    <w:rsid w:val="052B37F3"/>
    <w:rsid w:val="05415D5C"/>
    <w:rsid w:val="054F28E5"/>
    <w:rsid w:val="058853EE"/>
    <w:rsid w:val="06491895"/>
    <w:rsid w:val="06C954F9"/>
    <w:rsid w:val="06E32BC5"/>
    <w:rsid w:val="074C0946"/>
    <w:rsid w:val="07683008"/>
    <w:rsid w:val="07C82502"/>
    <w:rsid w:val="08005EC1"/>
    <w:rsid w:val="09147BD1"/>
    <w:rsid w:val="092E7E14"/>
    <w:rsid w:val="09AC3382"/>
    <w:rsid w:val="0A101979"/>
    <w:rsid w:val="0A712513"/>
    <w:rsid w:val="0B585949"/>
    <w:rsid w:val="0B8056F1"/>
    <w:rsid w:val="0C0952FA"/>
    <w:rsid w:val="0CE87AC9"/>
    <w:rsid w:val="0D345C5A"/>
    <w:rsid w:val="0D9C2B47"/>
    <w:rsid w:val="0E1F5F8F"/>
    <w:rsid w:val="0E737D3F"/>
    <w:rsid w:val="0E7C1566"/>
    <w:rsid w:val="0EB5409C"/>
    <w:rsid w:val="0FCD0D0C"/>
    <w:rsid w:val="102E103F"/>
    <w:rsid w:val="103079EA"/>
    <w:rsid w:val="10657B41"/>
    <w:rsid w:val="107447F0"/>
    <w:rsid w:val="116E2D11"/>
    <w:rsid w:val="11ED2806"/>
    <w:rsid w:val="121427F4"/>
    <w:rsid w:val="12215160"/>
    <w:rsid w:val="123A23FE"/>
    <w:rsid w:val="12E26E04"/>
    <w:rsid w:val="136A034F"/>
    <w:rsid w:val="14836F8F"/>
    <w:rsid w:val="14A55986"/>
    <w:rsid w:val="14B4537C"/>
    <w:rsid w:val="15312600"/>
    <w:rsid w:val="15603B98"/>
    <w:rsid w:val="15FF2F49"/>
    <w:rsid w:val="16375667"/>
    <w:rsid w:val="16486D01"/>
    <w:rsid w:val="17236F1E"/>
    <w:rsid w:val="17BB35FC"/>
    <w:rsid w:val="18020E75"/>
    <w:rsid w:val="181A3976"/>
    <w:rsid w:val="18F750BC"/>
    <w:rsid w:val="19D33519"/>
    <w:rsid w:val="19ED57B3"/>
    <w:rsid w:val="1A573973"/>
    <w:rsid w:val="1A6A04AE"/>
    <w:rsid w:val="1A7F45B8"/>
    <w:rsid w:val="1B944F1D"/>
    <w:rsid w:val="1C142612"/>
    <w:rsid w:val="1C1F5442"/>
    <w:rsid w:val="1C213964"/>
    <w:rsid w:val="1CE53D01"/>
    <w:rsid w:val="1D0C271F"/>
    <w:rsid w:val="1E166F81"/>
    <w:rsid w:val="1E4F5FBC"/>
    <w:rsid w:val="1E700E0E"/>
    <w:rsid w:val="1EF74C1E"/>
    <w:rsid w:val="1EFA7E51"/>
    <w:rsid w:val="208E18AB"/>
    <w:rsid w:val="20B724FA"/>
    <w:rsid w:val="20CB1D8C"/>
    <w:rsid w:val="21134F15"/>
    <w:rsid w:val="21720A1F"/>
    <w:rsid w:val="2219319E"/>
    <w:rsid w:val="2292398D"/>
    <w:rsid w:val="22C02D9E"/>
    <w:rsid w:val="23DD70FC"/>
    <w:rsid w:val="23E256F7"/>
    <w:rsid w:val="24445BEF"/>
    <w:rsid w:val="244E4F36"/>
    <w:rsid w:val="24896AB8"/>
    <w:rsid w:val="24D153E7"/>
    <w:rsid w:val="2513542C"/>
    <w:rsid w:val="25404272"/>
    <w:rsid w:val="25444D2D"/>
    <w:rsid w:val="25947FBF"/>
    <w:rsid w:val="267B643F"/>
    <w:rsid w:val="26C72527"/>
    <w:rsid w:val="27655E70"/>
    <w:rsid w:val="276F2CB5"/>
    <w:rsid w:val="27935EA3"/>
    <w:rsid w:val="283A6AB4"/>
    <w:rsid w:val="28706B56"/>
    <w:rsid w:val="28860ECC"/>
    <w:rsid w:val="28A148D5"/>
    <w:rsid w:val="291C069D"/>
    <w:rsid w:val="293C151E"/>
    <w:rsid w:val="297943AC"/>
    <w:rsid w:val="29856BE1"/>
    <w:rsid w:val="29A82D80"/>
    <w:rsid w:val="29E45531"/>
    <w:rsid w:val="2A9F3B8D"/>
    <w:rsid w:val="2AA57B1F"/>
    <w:rsid w:val="2AD02945"/>
    <w:rsid w:val="2B154DE9"/>
    <w:rsid w:val="2B1D177E"/>
    <w:rsid w:val="2B45013E"/>
    <w:rsid w:val="2CD97EAA"/>
    <w:rsid w:val="2D484E6F"/>
    <w:rsid w:val="2D7D7AA7"/>
    <w:rsid w:val="2E493757"/>
    <w:rsid w:val="2E7815C7"/>
    <w:rsid w:val="2EA46D31"/>
    <w:rsid w:val="2EB47CF0"/>
    <w:rsid w:val="2F4534B3"/>
    <w:rsid w:val="2F510246"/>
    <w:rsid w:val="2F564BAE"/>
    <w:rsid w:val="2FBF4E5A"/>
    <w:rsid w:val="2FE166F3"/>
    <w:rsid w:val="2FE311E2"/>
    <w:rsid w:val="30295AA3"/>
    <w:rsid w:val="30E4200A"/>
    <w:rsid w:val="311C3E37"/>
    <w:rsid w:val="3151318A"/>
    <w:rsid w:val="31936F51"/>
    <w:rsid w:val="319932AE"/>
    <w:rsid w:val="327B4792"/>
    <w:rsid w:val="327F2B88"/>
    <w:rsid w:val="32B50D97"/>
    <w:rsid w:val="32B6761A"/>
    <w:rsid w:val="331645B1"/>
    <w:rsid w:val="333431EA"/>
    <w:rsid w:val="33B51B2F"/>
    <w:rsid w:val="3440562E"/>
    <w:rsid w:val="347668DA"/>
    <w:rsid w:val="34D72E0D"/>
    <w:rsid w:val="34E473AF"/>
    <w:rsid w:val="34E672F2"/>
    <w:rsid w:val="35526158"/>
    <w:rsid w:val="357E2C89"/>
    <w:rsid w:val="358E6F01"/>
    <w:rsid w:val="371C5DA4"/>
    <w:rsid w:val="379609DC"/>
    <w:rsid w:val="37D80396"/>
    <w:rsid w:val="37F84B3F"/>
    <w:rsid w:val="37FE7526"/>
    <w:rsid w:val="38041E96"/>
    <w:rsid w:val="382D23F5"/>
    <w:rsid w:val="38F2029B"/>
    <w:rsid w:val="391138B2"/>
    <w:rsid w:val="3A0A0FC6"/>
    <w:rsid w:val="3A14549A"/>
    <w:rsid w:val="3A903116"/>
    <w:rsid w:val="3AA24C9F"/>
    <w:rsid w:val="3AFE1875"/>
    <w:rsid w:val="3B29585C"/>
    <w:rsid w:val="3B3549EE"/>
    <w:rsid w:val="3B60096D"/>
    <w:rsid w:val="3C163E60"/>
    <w:rsid w:val="3C5621E1"/>
    <w:rsid w:val="3CC53C2C"/>
    <w:rsid w:val="3CE912B4"/>
    <w:rsid w:val="3E0C3A82"/>
    <w:rsid w:val="3E0D3E5B"/>
    <w:rsid w:val="3E3825F1"/>
    <w:rsid w:val="3E8D1F15"/>
    <w:rsid w:val="3EC7168E"/>
    <w:rsid w:val="3EE447D9"/>
    <w:rsid w:val="3F47085D"/>
    <w:rsid w:val="3FDA2A51"/>
    <w:rsid w:val="40BF1ED5"/>
    <w:rsid w:val="40C95A74"/>
    <w:rsid w:val="40E24008"/>
    <w:rsid w:val="40F26B35"/>
    <w:rsid w:val="421537A4"/>
    <w:rsid w:val="424051C7"/>
    <w:rsid w:val="42452805"/>
    <w:rsid w:val="42567842"/>
    <w:rsid w:val="425A5222"/>
    <w:rsid w:val="427020C1"/>
    <w:rsid w:val="449A33FE"/>
    <w:rsid w:val="44A91919"/>
    <w:rsid w:val="4530130F"/>
    <w:rsid w:val="45B82DA0"/>
    <w:rsid w:val="460D258F"/>
    <w:rsid w:val="46611D24"/>
    <w:rsid w:val="46961585"/>
    <w:rsid w:val="46B16601"/>
    <w:rsid w:val="471B0185"/>
    <w:rsid w:val="478314B3"/>
    <w:rsid w:val="486F66C7"/>
    <w:rsid w:val="488562C7"/>
    <w:rsid w:val="48B021C6"/>
    <w:rsid w:val="48CC55B6"/>
    <w:rsid w:val="495E27E0"/>
    <w:rsid w:val="496635CC"/>
    <w:rsid w:val="49A57642"/>
    <w:rsid w:val="49B2014C"/>
    <w:rsid w:val="49EC2014"/>
    <w:rsid w:val="4A1F6D47"/>
    <w:rsid w:val="4A3E3505"/>
    <w:rsid w:val="4AB96E81"/>
    <w:rsid w:val="4B6058FF"/>
    <w:rsid w:val="4B7E10D3"/>
    <w:rsid w:val="4B8868F7"/>
    <w:rsid w:val="4BEA2C60"/>
    <w:rsid w:val="4C2C2C6D"/>
    <w:rsid w:val="4C95294D"/>
    <w:rsid w:val="4D7475CF"/>
    <w:rsid w:val="4DAB14EE"/>
    <w:rsid w:val="4DC872D1"/>
    <w:rsid w:val="4DCE2C5D"/>
    <w:rsid w:val="4DF80DB9"/>
    <w:rsid w:val="4E1354F7"/>
    <w:rsid w:val="4F1C169F"/>
    <w:rsid w:val="4F5A600F"/>
    <w:rsid w:val="500A107C"/>
    <w:rsid w:val="502C7AAB"/>
    <w:rsid w:val="503A2BCA"/>
    <w:rsid w:val="504C565A"/>
    <w:rsid w:val="505F68CC"/>
    <w:rsid w:val="50701412"/>
    <w:rsid w:val="508B7B19"/>
    <w:rsid w:val="510A20CD"/>
    <w:rsid w:val="51311BD9"/>
    <w:rsid w:val="51AA1E80"/>
    <w:rsid w:val="51E16832"/>
    <w:rsid w:val="51E34174"/>
    <w:rsid w:val="533725EE"/>
    <w:rsid w:val="533F3AB3"/>
    <w:rsid w:val="53755C44"/>
    <w:rsid w:val="53B25CD5"/>
    <w:rsid w:val="53C020FC"/>
    <w:rsid w:val="543F343F"/>
    <w:rsid w:val="54460AFF"/>
    <w:rsid w:val="54552A11"/>
    <w:rsid w:val="546141A1"/>
    <w:rsid w:val="549F386A"/>
    <w:rsid w:val="55007CB9"/>
    <w:rsid w:val="55C87014"/>
    <w:rsid w:val="55D76548"/>
    <w:rsid w:val="56197FF3"/>
    <w:rsid w:val="56651060"/>
    <w:rsid w:val="569C51E4"/>
    <w:rsid w:val="572A5DFA"/>
    <w:rsid w:val="5793080B"/>
    <w:rsid w:val="57C85932"/>
    <w:rsid w:val="57E92765"/>
    <w:rsid w:val="588329AC"/>
    <w:rsid w:val="58D81AFC"/>
    <w:rsid w:val="58F454E2"/>
    <w:rsid w:val="599026A6"/>
    <w:rsid w:val="59D4409D"/>
    <w:rsid w:val="5A1102F9"/>
    <w:rsid w:val="5A583808"/>
    <w:rsid w:val="5A8C7275"/>
    <w:rsid w:val="5ABE6659"/>
    <w:rsid w:val="5B586CA2"/>
    <w:rsid w:val="5C247843"/>
    <w:rsid w:val="5C55137A"/>
    <w:rsid w:val="5C5525A0"/>
    <w:rsid w:val="5C945C52"/>
    <w:rsid w:val="5CCC3393"/>
    <w:rsid w:val="5D51749F"/>
    <w:rsid w:val="5D545C81"/>
    <w:rsid w:val="5E046864"/>
    <w:rsid w:val="5E452065"/>
    <w:rsid w:val="5ED828B4"/>
    <w:rsid w:val="5EDE5F3A"/>
    <w:rsid w:val="5EFF5A8E"/>
    <w:rsid w:val="5F2A50BF"/>
    <w:rsid w:val="5F8C52D4"/>
    <w:rsid w:val="5FA5294F"/>
    <w:rsid w:val="5FB60E80"/>
    <w:rsid w:val="5FF14891"/>
    <w:rsid w:val="5FFD7F05"/>
    <w:rsid w:val="605908A1"/>
    <w:rsid w:val="60937CF0"/>
    <w:rsid w:val="6097361E"/>
    <w:rsid w:val="60C37A33"/>
    <w:rsid w:val="60EB32BE"/>
    <w:rsid w:val="60F63018"/>
    <w:rsid w:val="6122209C"/>
    <w:rsid w:val="614C5F46"/>
    <w:rsid w:val="62051ED7"/>
    <w:rsid w:val="62E64CBC"/>
    <w:rsid w:val="630C47C7"/>
    <w:rsid w:val="63400147"/>
    <w:rsid w:val="63B46BBD"/>
    <w:rsid w:val="63C128AF"/>
    <w:rsid w:val="63F243ED"/>
    <w:rsid w:val="645C4936"/>
    <w:rsid w:val="65201F66"/>
    <w:rsid w:val="6523130F"/>
    <w:rsid w:val="66003D71"/>
    <w:rsid w:val="66D47C91"/>
    <w:rsid w:val="66E463DE"/>
    <w:rsid w:val="67AF7155"/>
    <w:rsid w:val="68281439"/>
    <w:rsid w:val="6896208D"/>
    <w:rsid w:val="68A04A58"/>
    <w:rsid w:val="68AB3DD0"/>
    <w:rsid w:val="68D832EC"/>
    <w:rsid w:val="68E81ABC"/>
    <w:rsid w:val="68E8766E"/>
    <w:rsid w:val="693C033C"/>
    <w:rsid w:val="696B4984"/>
    <w:rsid w:val="696C6056"/>
    <w:rsid w:val="6A42419F"/>
    <w:rsid w:val="6A464CB0"/>
    <w:rsid w:val="6A4E0447"/>
    <w:rsid w:val="6B24785D"/>
    <w:rsid w:val="6BDF7649"/>
    <w:rsid w:val="6CAE1317"/>
    <w:rsid w:val="6CB30B6E"/>
    <w:rsid w:val="6CBD0A9A"/>
    <w:rsid w:val="6D0468E8"/>
    <w:rsid w:val="6DA33507"/>
    <w:rsid w:val="6DF644C8"/>
    <w:rsid w:val="6E2231D4"/>
    <w:rsid w:val="6E6F0B3C"/>
    <w:rsid w:val="6E711093"/>
    <w:rsid w:val="6F3D0C04"/>
    <w:rsid w:val="6F716CD6"/>
    <w:rsid w:val="6F7D25E3"/>
    <w:rsid w:val="6FA4432C"/>
    <w:rsid w:val="6FB8065A"/>
    <w:rsid w:val="70487187"/>
    <w:rsid w:val="70CA272F"/>
    <w:rsid w:val="70F91928"/>
    <w:rsid w:val="710C67BE"/>
    <w:rsid w:val="71A42734"/>
    <w:rsid w:val="71F16312"/>
    <w:rsid w:val="72151F22"/>
    <w:rsid w:val="72455BE8"/>
    <w:rsid w:val="73105145"/>
    <w:rsid w:val="73A2411E"/>
    <w:rsid w:val="73A609D6"/>
    <w:rsid w:val="73BF1B65"/>
    <w:rsid w:val="74057D8F"/>
    <w:rsid w:val="74171C8C"/>
    <w:rsid w:val="742A0A1E"/>
    <w:rsid w:val="75537A58"/>
    <w:rsid w:val="75A35CCF"/>
    <w:rsid w:val="75EF44B1"/>
    <w:rsid w:val="766156E5"/>
    <w:rsid w:val="76D25753"/>
    <w:rsid w:val="76DE0B94"/>
    <w:rsid w:val="776C55D6"/>
    <w:rsid w:val="78F64BF0"/>
    <w:rsid w:val="796A7452"/>
    <w:rsid w:val="79A4784C"/>
    <w:rsid w:val="79AA5EC1"/>
    <w:rsid w:val="79B4469B"/>
    <w:rsid w:val="7A1A4B8D"/>
    <w:rsid w:val="7A672CBD"/>
    <w:rsid w:val="7A8003EE"/>
    <w:rsid w:val="7A923C37"/>
    <w:rsid w:val="7AA43769"/>
    <w:rsid w:val="7B432F32"/>
    <w:rsid w:val="7C98665E"/>
    <w:rsid w:val="7C9B3495"/>
    <w:rsid w:val="7D3674C0"/>
    <w:rsid w:val="7DA85FAB"/>
    <w:rsid w:val="7DDC1A9F"/>
    <w:rsid w:val="7EA50649"/>
    <w:rsid w:val="7EAF147F"/>
    <w:rsid w:val="7F0B4D0E"/>
    <w:rsid w:val="7F855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tabs>
        <w:tab w:val="center" w:pos="4153"/>
        <w:tab w:val="right" w:pos="8306"/>
      </w:tabs>
      <w:snapToGrid w:val="0"/>
      <w:jc w:val="center"/>
    </w:pPr>
    <w:rPr>
      <w:sz w:val="18"/>
      <w:szCs w:val="18"/>
    </w:rPr>
  </w:style>
  <w:style w:type="character" w:customStyle="1" w:styleId="6">
    <w:name w:val="页眉 字符"/>
    <w:basedOn w:val="5"/>
    <w:link w:val="3"/>
    <w:uiPriority w:val="0"/>
    <w:rPr>
      <w:kern w:val="2"/>
      <w:sz w:val="18"/>
      <w:szCs w:val="18"/>
    </w:rPr>
  </w:style>
  <w:style w:type="character" w:customStyle="1" w:styleId="7">
    <w:name w:val="页脚 字符"/>
    <w:basedOn w:val="5"/>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592</Words>
  <Characters>3375</Characters>
  <Lines>28</Lines>
  <Paragraphs>7</Paragraphs>
  <TotalTime>225</TotalTime>
  <ScaleCrop>false</ScaleCrop>
  <LinksUpToDate>false</LinksUpToDate>
  <CharactersWithSpaces>3960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2023-11-27T06:11:00Z</dcterms:created>
  <dc:creator>WH</dc:creator>
  <cp:lastModifiedBy>WH</cp:lastModifiedBy>
  <dcterms:modified xsi:type="dcterms:W3CDTF">2024-04-16T10:49:41Z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F83C8A734DFD4A8FBDF263E848998402_13</vt:lpwstr>
  </property>
</Properties>
</file>