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B7" w:rsidRDefault="00E302C8">
      <w:pPr>
        <w:spacing w:line="240" w:lineRule="auto"/>
        <w:jc w:val="center"/>
        <w:rPr>
          <w:rFonts w:ascii="宋体" w:hAnsi="宋体"/>
          <w:sz w:val="30"/>
          <w:szCs w:val="30"/>
        </w:rPr>
      </w:pPr>
      <w:r>
        <w:rPr>
          <w:rFonts w:ascii="宋体" w:hAnsi="宋体" w:hint="eastAsia"/>
          <w:sz w:val="30"/>
          <w:szCs w:val="30"/>
        </w:rPr>
        <w:t>中国巨石</w:t>
      </w:r>
      <w:r>
        <w:rPr>
          <w:rFonts w:ascii="宋体" w:hAnsi="宋体" w:hint="eastAsia"/>
          <w:sz w:val="30"/>
          <w:szCs w:val="30"/>
        </w:rPr>
        <w:t>2023</w:t>
      </w:r>
      <w:r>
        <w:rPr>
          <w:rFonts w:ascii="宋体" w:hAnsi="宋体" w:hint="eastAsia"/>
          <w:sz w:val="30"/>
          <w:szCs w:val="30"/>
        </w:rPr>
        <w:t>年年度</w:t>
      </w:r>
      <w:r>
        <w:rPr>
          <w:rFonts w:ascii="宋体" w:hAnsi="宋体" w:hint="eastAsia"/>
          <w:sz w:val="30"/>
          <w:szCs w:val="30"/>
        </w:rPr>
        <w:t>集体</w:t>
      </w:r>
      <w:r>
        <w:rPr>
          <w:rFonts w:ascii="宋体" w:hAnsi="宋体" w:hint="eastAsia"/>
          <w:sz w:val="30"/>
          <w:szCs w:val="30"/>
        </w:rPr>
        <w:t>业绩说明会会议记录</w:t>
      </w:r>
    </w:p>
    <w:p w:rsidR="007267B7" w:rsidRDefault="007267B7">
      <w:pPr>
        <w:spacing w:line="240" w:lineRule="auto"/>
        <w:rPr>
          <w:rFonts w:ascii="宋体" w:hAnsi="宋体"/>
          <w:b/>
          <w:bCs/>
          <w:sz w:val="24"/>
          <w:szCs w:val="24"/>
        </w:rPr>
      </w:pPr>
    </w:p>
    <w:p w:rsidR="007267B7" w:rsidRDefault="00E302C8">
      <w:pPr>
        <w:spacing w:after="0" w:line="240" w:lineRule="auto"/>
        <w:rPr>
          <w:rFonts w:ascii="宋体" w:hAnsi="宋体"/>
          <w:sz w:val="24"/>
          <w:szCs w:val="24"/>
        </w:rPr>
      </w:pPr>
      <w:r>
        <w:rPr>
          <w:rFonts w:ascii="宋体" w:hAnsi="宋体"/>
          <w:b/>
          <w:bCs/>
          <w:sz w:val="24"/>
          <w:szCs w:val="24"/>
        </w:rPr>
        <w:t>调研时间</w:t>
      </w:r>
      <w:r>
        <w:rPr>
          <w:rFonts w:ascii="宋体" w:hAnsi="宋体" w:hint="eastAsia"/>
          <w:b/>
          <w:bCs/>
          <w:sz w:val="24"/>
          <w:szCs w:val="24"/>
        </w:rPr>
        <w:t>：</w:t>
      </w:r>
      <w:r>
        <w:rPr>
          <w:rFonts w:ascii="宋体" w:hAnsi="宋体"/>
          <w:sz w:val="24"/>
          <w:szCs w:val="24"/>
        </w:rPr>
        <w:t>202</w:t>
      </w:r>
      <w:r>
        <w:rPr>
          <w:rFonts w:ascii="宋体" w:hAnsi="宋体" w:hint="eastAsia"/>
          <w:sz w:val="24"/>
          <w:szCs w:val="24"/>
        </w:rPr>
        <w:t>4</w:t>
      </w:r>
      <w:r>
        <w:rPr>
          <w:rFonts w:ascii="宋体" w:hAnsi="宋体"/>
          <w:sz w:val="24"/>
          <w:szCs w:val="24"/>
        </w:rPr>
        <w:t>年</w:t>
      </w:r>
      <w:r>
        <w:rPr>
          <w:rFonts w:ascii="宋体" w:hAnsi="宋体" w:hint="eastAsia"/>
          <w:sz w:val="24"/>
          <w:szCs w:val="24"/>
        </w:rPr>
        <w:t>4</w:t>
      </w:r>
      <w:r>
        <w:rPr>
          <w:rFonts w:ascii="宋体" w:hAnsi="宋体"/>
          <w:sz w:val="24"/>
          <w:szCs w:val="24"/>
        </w:rPr>
        <w:t>月</w:t>
      </w:r>
      <w:r>
        <w:rPr>
          <w:rFonts w:ascii="宋体" w:hAnsi="宋体" w:hint="eastAsia"/>
          <w:sz w:val="24"/>
          <w:szCs w:val="24"/>
        </w:rPr>
        <w:t>16</w:t>
      </w:r>
      <w:r>
        <w:rPr>
          <w:rFonts w:ascii="宋体" w:hAnsi="宋体" w:hint="eastAsia"/>
          <w:sz w:val="24"/>
          <w:szCs w:val="24"/>
        </w:rPr>
        <w:t>日</w:t>
      </w:r>
      <w:r>
        <w:rPr>
          <w:rFonts w:ascii="宋体" w:hAnsi="宋体" w:hint="eastAsia"/>
          <w:sz w:val="24"/>
          <w:szCs w:val="24"/>
        </w:rPr>
        <w:t>14:00-17:30</w:t>
      </w:r>
    </w:p>
    <w:p w:rsidR="007267B7" w:rsidRDefault="00E302C8">
      <w:pPr>
        <w:spacing w:after="0" w:line="240" w:lineRule="auto"/>
        <w:rPr>
          <w:rFonts w:ascii="宋体" w:hAnsi="宋体"/>
          <w:sz w:val="24"/>
          <w:szCs w:val="24"/>
        </w:rPr>
      </w:pPr>
      <w:r>
        <w:rPr>
          <w:rFonts w:ascii="宋体" w:hAnsi="宋体" w:hint="eastAsia"/>
          <w:b/>
          <w:bCs/>
          <w:sz w:val="24"/>
          <w:szCs w:val="24"/>
        </w:rPr>
        <w:t>调研地点：</w:t>
      </w:r>
      <w:r>
        <w:rPr>
          <w:rFonts w:ascii="宋体" w:hAnsi="宋体" w:hint="eastAsia"/>
          <w:sz w:val="24"/>
          <w:szCs w:val="24"/>
        </w:rPr>
        <w:t>1</w:t>
      </w:r>
      <w:r>
        <w:rPr>
          <w:rFonts w:ascii="宋体" w:hAnsi="宋体" w:hint="eastAsia"/>
          <w:sz w:val="24"/>
          <w:szCs w:val="24"/>
        </w:rPr>
        <w:t>、“互动易”平台“云访谈”栏目（</w:t>
      </w:r>
      <w:r>
        <w:rPr>
          <w:rFonts w:ascii="宋体" w:hAnsi="宋体" w:hint="eastAsia"/>
          <w:sz w:val="24"/>
          <w:szCs w:val="24"/>
        </w:rPr>
        <w:t>https://irm.cninfo.com.cn/</w:t>
      </w:r>
      <w:r>
        <w:rPr>
          <w:rFonts w:ascii="宋体" w:hAnsi="宋体" w:hint="eastAsia"/>
          <w:sz w:val="24"/>
          <w:szCs w:val="24"/>
        </w:rPr>
        <w:t>）</w:t>
      </w:r>
    </w:p>
    <w:p w:rsidR="007267B7" w:rsidRDefault="00E302C8">
      <w:pPr>
        <w:spacing w:after="0" w:line="240" w:lineRule="auto"/>
        <w:ind w:firstLineChars="500" w:firstLine="1200"/>
        <w:rPr>
          <w:rFonts w:ascii="宋体" w:hAnsi="宋体"/>
          <w:sz w:val="24"/>
          <w:szCs w:val="24"/>
        </w:rPr>
      </w:pPr>
      <w:r>
        <w:rPr>
          <w:rFonts w:ascii="宋体" w:hAnsi="宋体" w:hint="eastAsia"/>
          <w:sz w:val="24"/>
          <w:szCs w:val="24"/>
        </w:rPr>
        <w:t>2</w:t>
      </w:r>
      <w:r>
        <w:rPr>
          <w:rFonts w:ascii="宋体" w:hAnsi="宋体" w:hint="eastAsia"/>
          <w:sz w:val="24"/>
          <w:szCs w:val="24"/>
        </w:rPr>
        <w:t>、上</w:t>
      </w:r>
      <w:proofErr w:type="gramStart"/>
      <w:r>
        <w:rPr>
          <w:rFonts w:ascii="宋体" w:hAnsi="宋体" w:hint="eastAsia"/>
          <w:sz w:val="24"/>
          <w:szCs w:val="24"/>
        </w:rPr>
        <w:t>证路演中心</w:t>
      </w:r>
      <w:proofErr w:type="gramEnd"/>
      <w:r>
        <w:rPr>
          <w:rFonts w:ascii="宋体" w:hAnsi="宋体" w:hint="eastAsia"/>
          <w:sz w:val="24"/>
          <w:szCs w:val="24"/>
        </w:rPr>
        <w:t>平台（</w:t>
      </w:r>
      <w:r>
        <w:rPr>
          <w:rFonts w:ascii="宋体" w:hAnsi="宋体" w:hint="eastAsia"/>
          <w:sz w:val="24"/>
          <w:szCs w:val="24"/>
        </w:rPr>
        <w:t>https://roadshow.sseinfo.com/</w:t>
      </w:r>
      <w:r>
        <w:rPr>
          <w:rFonts w:ascii="宋体" w:hAnsi="宋体" w:hint="eastAsia"/>
          <w:sz w:val="24"/>
          <w:szCs w:val="24"/>
        </w:rPr>
        <w:t>）</w:t>
      </w:r>
    </w:p>
    <w:p w:rsidR="007267B7" w:rsidRDefault="00E302C8">
      <w:pPr>
        <w:spacing w:after="0"/>
        <w:rPr>
          <w:rFonts w:ascii="宋体" w:hAnsi="宋体" w:cs="宋体"/>
          <w:color w:val="000000"/>
          <w:sz w:val="24"/>
          <w:szCs w:val="24"/>
        </w:rPr>
      </w:pPr>
      <w:r>
        <w:rPr>
          <w:rFonts w:ascii="宋体" w:hAnsi="宋体" w:hint="eastAsia"/>
          <w:b/>
          <w:bCs/>
          <w:sz w:val="24"/>
          <w:szCs w:val="24"/>
        </w:rPr>
        <w:t>调研机构：</w:t>
      </w:r>
      <w:r w:rsidRPr="00F470CD">
        <w:rPr>
          <w:rFonts w:ascii="宋体" w:hAnsi="宋体" w:hint="eastAsia"/>
          <w:sz w:val="24"/>
          <w:szCs w:val="24"/>
        </w:rPr>
        <w:t>高盛</w:t>
      </w:r>
      <w:r w:rsidRPr="00F470CD">
        <w:rPr>
          <w:rFonts w:ascii="宋体" w:hAnsi="宋体" w:hint="eastAsia"/>
          <w:sz w:val="24"/>
          <w:szCs w:val="24"/>
        </w:rPr>
        <w:t>(</w:t>
      </w:r>
      <w:r w:rsidRPr="00F470CD">
        <w:rPr>
          <w:rFonts w:ascii="宋体" w:hAnsi="宋体" w:hint="eastAsia"/>
          <w:sz w:val="24"/>
          <w:szCs w:val="24"/>
        </w:rPr>
        <w:t>亚洲</w:t>
      </w:r>
      <w:r w:rsidRPr="00F470CD">
        <w:rPr>
          <w:rFonts w:ascii="宋体" w:hAnsi="宋体" w:hint="eastAsia"/>
          <w:sz w:val="24"/>
          <w:szCs w:val="24"/>
        </w:rPr>
        <w:t>)</w:t>
      </w:r>
      <w:r w:rsidRPr="00F470CD">
        <w:rPr>
          <w:rFonts w:ascii="宋体" w:hAnsi="宋体" w:hint="eastAsia"/>
          <w:sz w:val="24"/>
          <w:szCs w:val="24"/>
        </w:rPr>
        <w:t>、</w:t>
      </w:r>
      <w:r w:rsidRPr="00F470CD">
        <w:rPr>
          <w:rFonts w:ascii="宋体" w:hAnsi="宋体" w:hint="eastAsia"/>
          <w:sz w:val="24"/>
          <w:szCs w:val="24"/>
        </w:rPr>
        <w:t>中金证券</w:t>
      </w:r>
      <w:r w:rsidRPr="00F470CD">
        <w:rPr>
          <w:rFonts w:ascii="宋体" w:hAnsi="宋体" w:hint="eastAsia"/>
          <w:sz w:val="24"/>
          <w:szCs w:val="24"/>
        </w:rPr>
        <w:t>、</w:t>
      </w:r>
      <w:r w:rsidRPr="00F470CD">
        <w:rPr>
          <w:rFonts w:ascii="宋体" w:hAnsi="宋体" w:hint="eastAsia"/>
          <w:sz w:val="24"/>
          <w:szCs w:val="24"/>
        </w:rPr>
        <w:t>东北证券</w:t>
      </w:r>
      <w:r w:rsidRPr="00F470CD">
        <w:rPr>
          <w:rFonts w:ascii="宋体" w:hAnsi="宋体" w:hint="eastAsia"/>
          <w:sz w:val="24"/>
          <w:szCs w:val="24"/>
        </w:rPr>
        <w:t>、</w:t>
      </w:r>
      <w:r w:rsidRPr="00F470CD">
        <w:rPr>
          <w:rFonts w:ascii="宋体" w:hAnsi="宋体" w:hint="eastAsia"/>
          <w:sz w:val="24"/>
          <w:szCs w:val="24"/>
        </w:rPr>
        <w:t>民生证券</w:t>
      </w:r>
      <w:r w:rsidRPr="00F470CD">
        <w:rPr>
          <w:rFonts w:ascii="宋体" w:hAnsi="宋体" w:hint="eastAsia"/>
          <w:sz w:val="24"/>
          <w:szCs w:val="24"/>
        </w:rPr>
        <w:t>、</w:t>
      </w:r>
      <w:r w:rsidRPr="00F470CD">
        <w:rPr>
          <w:rFonts w:ascii="宋体" w:hAnsi="宋体" w:hint="eastAsia"/>
          <w:sz w:val="24"/>
          <w:szCs w:val="24"/>
        </w:rPr>
        <w:t>长江证券</w:t>
      </w:r>
      <w:r w:rsidRPr="00F470CD">
        <w:rPr>
          <w:rFonts w:ascii="宋体" w:hAnsi="宋体" w:hint="eastAsia"/>
          <w:sz w:val="24"/>
          <w:szCs w:val="24"/>
        </w:rPr>
        <w:t>、</w:t>
      </w:r>
      <w:r w:rsidRPr="00F470CD">
        <w:rPr>
          <w:rFonts w:ascii="宋体" w:hAnsi="宋体" w:hint="eastAsia"/>
          <w:sz w:val="24"/>
          <w:szCs w:val="24"/>
        </w:rPr>
        <w:t>中信证券</w:t>
      </w:r>
      <w:r w:rsidRPr="00F470CD">
        <w:rPr>
          <w:rFonts w:ascii="宋体" w:hAnsi="宋体" w:hint="eastAsia"/>
          <w:sz w:val="24"/>
          <w:szCs w:val="24"/>
        </w:rPr>
        <w:t>、</w:t>
      </w:r>
      <w:r w:rsidRPr="00F470CD">
        <w:rPr>
          <w:rFonts w:ascii="宋体" w:hAnsi="宋体" w:hint="eastAsia"/>
          <w:sz w:val="24"/>
          <w:szCs w:val="24"/>
        </w:rPr>
        <w:t>中信建投</w:t>
      </w:r>
      <w:r w:rsidRPr="00F470CD">
        <w:rPr>
          <w:rFonts w:ascii="宋体" w:hAnsi="宋体" w:hint="eastAsia"/>
          <w:sz w:val="24"/>
          <w:szCs w:val="24"/>
        </w:rPr>
        <w:t>、</w:t>
      </w:r>
      <w:r w:rsidRPr="00F470CD">
        <w:rPr>
          <w:rFonts w:ascii="宋体" w:hAnsi="宋体" w:hint="eastAsia"/>
          <w:sz w:val="24"/>
          <w:szCs w:val="24"/>
        </w:rPr>
        <w:t>华泰证券</w:t>
      </w:r>
      <w:r w:rsidRPr="00F470CD">
        <w:rPr>
          <w:rFonts w:ascii="宋体" w:hAnsi="宋体" w:hint="eastAsia"/>
          <w:sz w:val="24"/>
          <w:szCs w:val="24"/>
        </w:rPr>
        <w:t>、</w:t>
      </w:r>
      <w:r w:rsidRPr="00F470CD">
        <w:rPr>
          <w:rFonts w:ascii="宋体" w:hAnsi="宋体" w:hint="eastAsia"/>
          <w:sz w:val="24"/>
          <w:szCs w:val="24"/>
        </w:rPr>
        <w:t>光大证券</w:t>
      </w:r>
      <w:r w:rsidRPr="00F470CD">
        <w:rPr>
          <w:rFonts w:ascii="宋体" w:hAnsi="宋体" w:hint="eastAsia"/>
          <w:sz w:val="24"/>
          <w:szCs w:val="24"/>
        </w:rPr>
        <w:t>、</w:t>
      </w:r>
      <w:r w:rsidRPr="00F470CD">
        <w:rPr>
          <w:rFonts w:ascii="宋体" w:hAnsi="宋体" w:hint="eastAsia"/>
          <w:sz w:val="24"/>
          <w:szCs w:val="24"/>
        </w:rPr>
        <w:t>西部证券</w:t>
      </w:r>
      <w:r w:rsidRPr="00F470CD">
        <w:rPr>
          <w:rFonts w:ascii="宋体" w:hAnsi="宋体" w:hint="eastAsia"/>
          <w:sz w:val="24"/>
          <w:szCs w:val="24"/>
        </w:rPr>
        <w:t>、</w:t>
      </w:r>
      <w:r w:rsidRPr="00F470CD">
        <w:rPr>
          <w:rFonts w:ascii="宋体" w:hAnsi="宋体" w:hint="eastAsia"/>
          <w:sz w:val="24"/>
          <w:szCs w:val="24"/>
        </w:rPr>
        <w:t>国泰君安、申万宏源、国盛证券、天风证券、长城证券、招商证券、中泰证券、华龙证券、国联证券、华西证券、华鑫证券、富国基金、北京国建易创投资、中海基金、</w:t>
      </w:r>
      <w:proofErr w:type="gramStart"/>
      <w:r w:rsidRPr="00F470CD">
        <w:rPr>
          <w:rFonts w:ascii="宋体" w:hAnsi="宋体" w:hint="eastAsia"/>
          <w:sz w:val="24"/>
          <w:szCs w:val="24"/>
        </w:rPr>
        <w:t>国投瑞银</w:t>
      </w:r>
      <w:proofErr w:type="gramEnd"/>
      <w:r w:rsidRPr="00F470CD">
        <w:rPr>
          <w:rFonts w:ascii="宋体" w:hAnsi="宋体" w:hint="eastAsia"/>
          <w:sz w:val="24"/>
          <w:szCs w:val="24"/>
        </w:rPr>
        <w:t>基金、宝盈基金、</w:t>
      </w:r>
      <w:proofErr w:type="gramStart"/>
      <w:r w:rsidRPr="00F470CD">
        <w:rPr>
          <w:rFonts w:ascii="宋体" w:hAnsi="宋体" w:hint="eastAsia"/>
          <w:sz w:val="24"/>
          <w:szCs w:val="24"/>
        </w:rPr>
        <w:t>旦</w:t>
      </w:r>
      <w:proofErr w:type="gramEnd"/>
      <w:r w:rsidRPr="00F470CD">
        <w:rPr>
          <w:rFonts w:ascii="宋体" w:hAnsi="宋体" w:hint="eastAsia"/>
          <w:sz w:val="24"/>
          <w:szCs w:val="24"/>
        </w:rPr>
        <w:t>恩资本、博时基金、贝莱德基金、三峡资本、思</w:t>
      </w:r>
      <w:proofErr w:type="gramStart"/>
      <w:r w:rsidRPr="00F470CD">
        <w:rPr>
          <w:rFonts w:ascii="宋体" w:hAnsi="宋体" w:hint="eastAsia"/>
          <w:sz w:val="24"/>
          <w:szCs w:val="24"/>
        </w:rPr>
        <w:t>梵</w:t>
      </w:r>
      <w:proofErr w:type="gramEnd"/>
      <w:r w:rsidRPr="00F470CD">
        <w:rPr>
          <w:rFonts w:ascii="宋体" w:hAnsi="宋体" w:hint="eastAsia"/>
          <w:sz w:val="24"/>
          <w:szCs w:val="24"/>
        </w:rPr>
        <w:t>私募基金、进化论资产、长河投资、利</w:t>
      </w:r>
      <w:proofErr w:type="gramStart"/>
      <w:r w:rsidRPr="00F470CD">
        <w:rPr>
          <w:rFonts w:ascii="宋体" w:hAnsi="宋体" w:hint="eastAsia"/>
          <w:sz w:val="24"/>
          <w:szCs w:val="24"/>
        </w:rPr>
        <w:t>檀</w:t>
      </w:r>
      <w:proofErr w:type="gramEnd"/>
      <w:r w:rsidRPr="00F470CD">
        <w:rPr>
          <w:rFonts w:ascii="宋体" w:hAnsi="宋体" w:hint="eastAsia"/>
          <w:sz w:val="24"/>
          <w:szCs w:val="24"/>
        </w:rPr>
        <w:t>投资、正奇资本、天风天成资管、建信养老金等</w:t>
      </w:r>
    </w:p>
    <w:p w:rsidR="007267B7" w:rsidRDefault="007267B7">
      <w:pPr>
        <w:spacing w:after="0"/>
        <w:rPr>
          <w:rFonts w:ascii="宋体" w:hAnsi="宋体" w:cs="宋体"/>
          <w:color w:val="000000"/>
          <w:sz w:val="24"/>
          <w:szCs w:val="24"/>
        </w:rPr>
      </w:pPr>
    </w:p>
    <w:p w:rsidR="007267B7" w:rsidRDefault="00E302C8">
      <w:pPr>
        <w:spacing w:after="0" w:line="240" w:lineRule="auto"/>
        <w:jc w:val="both"/>
        <w:rPr>
          <w:rFonts w:ascii="宋体" w:hAnsi="宋体" w:cs="Times New Roman"/>
          <w:b/>
          <w:color w:val="000000"/>
          <w:sz w:val="24"/>
          <w:szCs w:val="24"/>
        </w:rPr>
      </w:pPr>
      <w:r>
        <w:rPr>
          <w:rFonts w:ascii="宋体" w:hAnsi="宋体" w:cs="Times New Roman" w:hint="eastAsia"/>
          <w:b/>
          <w:color w:val="000000"/>
          <w:sz w:val="24"/>
          <w:szCs w:val="24"/>
        </w:rPr>
        <w:t>重点问题及答复：</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1</w:t>
      </w:r>
      <w:r>
        <w:rPr>
          <w:rFonts w:ascii="宋体" w:hAnsi="宋体" w:cs="Times New Roman" w:hint="eastAsia"/>
          <w:bCs/>
          <w:color w:val="000000"/>
          <w:sz w:val="24"/>
          <w:szCs w:val="24"/>
        </w:rPr>
        <w:t>、公司对今年行业供需格局的展望</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回复：</w:t>
      </w:r>
    </w:p>
    <w:p w:rsidR="007267B7" w:rsidRDefault="00E302C8" w:rsidP="00F470CD">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w:t>
      </w:r>
      <w:r>
        <w:rPr>
          <w:rFonts w:ascii="宋体" w:hAnsi="宋体" w:cs="Times New Roman" w:hint="eastAsia"/>
          <w:bCs/>
          <w:color w:val="000000"/>
          <w:sz w:val="24"/>
          <w:szCs w:val="24"/>
        </w:rPr>
        <w:t>1</w:t>
      </w:r>
      <w:r>
        <w:rPr>
          <w:rFonts w:ascii="宋体" w:hAnsi="宋体" w:cs="Times New Roman" w:hint="eastAsia"/>
          <w:bCs/>
          <w:color w:val="000000"/>
          <w:sz w:val="24"/>
          <w:szCs w:val="24"/>
        </w:rPr>
        <w:t>）供给方面：为应对阶段性产能过剩、供需失衡状态，从</w:t>
      </w:r>
      <w:r>
        <w:rPr>
          <w:rFonts w:ascii="宋体" w:hAnsi="宋体" w:cs="Times New Roman" w:hint="eastAsia"/>
          <w:bCs/>
          <w:color w:val="000000"/>
          <w:sz w:val="24"/>
          <w:szCs w:val="24"/>
        </w:rPr>
        <w:t>2023</w:t>
      </w:r>
      <w:r>
        <w:rPr>
          <w:rFonts w:ascii="宋体" w:hAnsi="宋体" w:cs="Times New Roman" w:hint="eastAsia"/>
          <w:bCs/>
          <w:color w:val="000000"/>
          <w:sz w:val="24"/>
          <w:szCs w:val="24"/>
        </w:rPr>
        <w:t>年开始，龙头企业主动减慢生产线建设进度，提前启动在产</w:t>
      </w:r>
      <w:proofErr w:type="gramStart"/>
      <w:r>
        <w:rPr>
          <w:rFonts w:ascii="宋体" w:hAnsi="宋体" w:cs="Times New Roman" w:hint="eastAsia"/>
          <w:bCs/>
          <w:color w:val="000000"/>
          <w:sz w:val="24"/>
          <w:szCs w:val="24"/>
        </w:rPr>
        <w:t>产</w:t>
      </w:r>
      <w:proofErr w:type="gramEnd"/>
      <w:r>
        <w:rPr>
          <w:rFonts w:ascii="宋体" w:hAnsi="宋体" w:cs="Times New Roman" w:hint="eastAsia"/>
          <w:bCs/>
          <w:color w:val="000000"/>
          <w:sz w:val="24"/>
          <w:szCs w:val="24"/>
        </w:rPr>
        <w:t>线的冷修，减少行业新增产能投放。部分</w:t>
      </w:r>
      <w:r w:rsidR="00F470CD">
        <w:rPr>
          <w:rFonts w:ascii="宋体" w:hAnsi="宋体" w:cs="Times New Roman" w:hint="eastAsia"/>
          <w:bCs/>
          <w:color w:val="000000"/>
          <w:sz w:val="24"/>
          <w:szCs w:val="24"/>
        </w:rPr>
        <w:t>球窑及中小坩埚拉丝生产企业则采取不同程度减产措施</w:t>
      </w:r>
      <w:r>
        <w:rPr>
          <w:rFonts w:ascii="宋体" w:hAnsi="宋体" w:cs="Times New Roman" w:hint="eastAsia"/>
          <w:bCs/>
          <w:color w:val="000000"/>
          <w:sz w:val="24"/>
          <w:szCs w:val="24"/>
        </w:rPr>
        <w:t>。</w:t>
      </w:r>
      <w:r>
        <w:rPr>
          <w:rFonts w:ascii="宋体" w:hAnsi="宋体" w:cs="Times New Roman" w:hint="eastAsia"/>
          <w:bCs/>
          <w:color w:val="000000"/>
          <w:sz w:val="24"/>
          <w:szCs w:val="24"/>
        </w:rPr>
        <w:t>2023</w:t>
      </w:r>
      <w:r>
        <w:rPr>
          <w:rFonts w:ascii="宋体" w:hAnsi="宋体" w:cs="Times New Roman" w:hint="eastAsia"/>
          <w:bCs/>
          <w:color w:val="000000"/>
          <w:sz w:val="24"/>
          <w:szCs w:val="24"/>
        </w:rPr>
        <w:t>年，全年实际有效产能增加在</w:t>
      </w:r>
      <w:r>
        <w:rPr>
          <w:rFonts w:ascii="宋体" w:hAnsi="宋体" w:cs="Times New Roman" w:hint="eastAsia"/>
          <w:bCs/>
          <w:color w:val="000000"/>
          <w:sz w:val="24"/>
          <w:szCs w:val="24"/>
        </w:rPr>
        <w:t>30-40</w:t>
      </w:r>
      <w:r>
        <w:rPr>
          <w:rFonts w:ascii="宋体" w:hAnsi="宋体" w:cs="Times New Roman" w:hint="eastAsia"/>
          <w:bCs/>
          <w:color w:val="000000"/>
          <w:sz w:val="24"/>
          <w:szCs w:val="24"/>
        </w:rPr>
        <w:t>万吨左右。</w:t>
      </w:r>
      <w:r>
        <w:rPr>
          <w:rFonts w:ascii="宋体" w:hAnsi="宋体" w:cs="Times New Roman" w:hint="eastAsia"/>
          <w:bCs/>
          <w:color w:val="000000"/>
          <w:sz w:val="24"/>
          <w:szCs w:val="24"/>
        </w:rPr>
        <w:t>预计</w:t>
      </w:r>
      <w:r>
        <w:rPr>
          <w:rFonts w:ascii="宋体" w:hAnsi="宋体" w:cs="Times New Roman" w:hint="eastAsia"/>
          <w:bCs/>
          <w:color w:val="000000"/>
          <w:sz w:val="24"/>
          <w:szCs w:val="24"/>
        </w:rPr>
        <w:t>2024</w:t>
      </w:r>
      <w:r>
        <w:rPr>
          <w:rFonts w:ascii="宋体" w:hAnsi="宋体" w:cs="Times New Roman" w:hint="eastAsia"/>
          <w:bCs/>
          <w:color w:val="000000"/>
          <w:sz w:val="24"/>
          <w:szCs w:val="24"/>
        </w:rPr>
        <w:t>年全球新增</w:t>
      </w:r>
      <w:r>
        <w:rPr>
          <w:rFonts w:ascii="宋体" w:hAnsi="宋体" w:cs="Times New Roman" w:hint="eastAsia"/>
          <w:bCs/>
          <w:color w:val="000000"/>
          <w:sz w:val="24"/>
          <w:szCs w:val="24"/>
        </w:rPr>
        <w:t>产</w:t>
      </w:r>
      <w:proofErr w:type="gramStart"/>
      <w:r>
        <w:rPr>
          <w:rFonts w:ascii="宋体" w:hAnsi="宋体" w:cs="Times New Roman" w:hint="eastAsia"/>
          <w:bCs/>
          <w:color w:val="000000"/>
          <w:sz w:val="24"/>
          <w:szCs w:val="24"/>
        </w:rPr>
        <w:t>能</w:t>
      </w:r>
      <w:r>
        <w:rPr>
          <w:rFonts w:ascii="宋体" w:hAnsi="宋体" w:cs="Times New Roman" w:hint="eastAsia"/>
          <w:bCs/>
          <w:color w:val="000000"/>
          <w:sz w:val="24"/>
          <w:szCs w:val="24"/>
        </w:rPr>
        <w:t>主要</w:t>
      </w:r>
      <w:proofErr w:type="gramEnd"/>
      <w:r>
        <w:rPr>
          <w:rFonts w:ascii="宋体" w:hAnsi="宋体" w:cs="Times New Roman" w:hint="eastAsia"/>
          <w:bCs/>
          <w:color w:val="000000"/>
          <w:sz w:val="24"/>
          <w:szCs w:val="24"/>
        </w:rPr>
        <w:t>以头部企业为主，总体可控。</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w:t>
      </w:r>
      <w:r>
        <w:rPr>
          <w:rFonts w:ascii="宋体" w:hAnsi="宋体" w:cs="Times New Roman" w:hint="eastAsia"/>
          <w:bCs/>
          <w:color w:val="000000"/>
          <w:sz w:val="24"/>
          <w:szCs w:val="24"/>
        </w:rPr>
        <w:t>2</w:t>
      </w:r>
      <w:r>
        <w:rPr>
          <w:rFonts w:ascii="宋体" w:hAnsi="宋体" w:cs="Times New Roman" w:hint="eastAsia"/>
          <w:bCs/>
          <w:color w:val="000000"/>
          <w:sz w:val="24"/>
          <w:szCs w:val="24"/>
        </w:rPr>
        <w:t>）需求方面：</w:t>
      </w:r>
      <w:r>
        <w:rPr>
          <w:rFonts w:ascii="宋体" w:hAnsi="宋体" w:cs="Times New Roman" w:hint="eastAsia"/>
          <w:bCs/>
          <w:color w:val="000000"/>
          <w:sz w:val="24"/>
          <w:szCs w:val="24"/>
        </w:rPr>
        <w:t>2023</w:t>
      </w:r>
      <w:r>
        <w:rPr>
          <w:rFonts w:ascii="宋体" w:hAnsi="宋体" w:cs="Times New Roman" w:hint="eastAsia"/>
          <w:bCs/>
          <w:color w:val="000000"/>
          <w:sz w:val="24"/>
          <w:szCs w:val="24"/>
        </w:rPr>
        <w:t>年，受整体市场需求复苏缓慢及产能供需失衡影响，各大玻纤应用细分市场需求增长普遍不及预期。玻纤生产企业库存处于高位，玻纤产品价格维持低位运行，市场竞争异常激烈。虽然玻纤需</w:t>
      </w:r>
      <w:r>
        <w:rPr>
          <w:rFonts w:ascii="宋体" w:hAnsi="宋体" w:cs="Times New Roman" w:hint="eastAsia"/>
          <w:bCs/>
          <w:color w:val="000000"/>
          <w:sz w:val="24"/>
          <w:szCs w:val="24"/>
        </w:rPr>
        <w:t>求短期承压，但其作为一种轻质高强、性能稳定且优异的高性能纤维材料，在应用领域拓展方面仍然具有较大增长潜力。展望</w:t>
      </w:r>
      <w:r>
        <w:rPr>
          <w:rFonts w:ascii="宋体" w:hAnsi="宋体" w:cs="Times New Roman" w:hint="eastAsia"/>
          <w:bCs/>
          <w:color w:val="000000"/>
          <w:sz w:val="24"/>
          <w:szCs w:val="24"/>
        </w:rPr>
        <w:t>2024</w:t>
      </w:r>
      <w:r>
        <w:rPr>
          <w:rFonts w:ascii="宋体" w:hAnsi="宋体" w:cs="Times New Roman" w:hint="eastAsia"/>
          <w:bCs/>
          <w:color w:val="000000"/>
          <w:sz w:val="24"/>
          <w:szCs w:val="24"/>
        </w:rPr>
        <w:t>年，我们认为风电、热塑、电子信息产业仍将是需求的主要增长点。</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风电是玻纤高端应用领域，发展势头足。全球风能协会（</w:t>
      </w:r>
      <w:r>
        <w:rPr>
          <w:rFonts w:ascii="宋体" w:hAnsi="宋体" w:cs="Times New Roman" w:hint="eastAsia"/>
          <w:bCs/>
          <w:color w:val="000000"/>
          <w:sz w:val="24"/>
          <w:szCs w:val="24"/>
        </w:rPr>
        <w:t>GWEC</w:t>
      </w:r>
      <w:r>
        <w:rPr>
          <w:rFonts w:ascii="宋体" w:hAnsi="宋体" w:cs="Times New Roman" w:hint="eastAsia"/>
          <w:bCs/>
          <w:color w:val="000000"/>
          <w:sz w:val="24"/>
          <w:szCs w:val="24"/>
        </w:rPr>
        <w:t>）发布的《全球风能报告</w:t>
      </w:r>
      <w:r>
        <w:rPr>
          <w:rFonts w:ascii="宋体" w:hAnsi="宋体" w:cs="Times New Roman" w:hint="eastAsia"/>
          <w:bCs/>
          <w:color w:val="000000"/>
          <w:sz w:val="24"/>
          <w:szCs w:val="24"/>
        </w:rPr>
        <w:t>2023</w:t>
      </w:r>
      <w:r w:rsidR="00574E7D">
        <w:rPr>
          <w:rFonts w:ascii="宋体" w:hAnsi="宋体" w:cs="Times New Roman" w:hint="eastAsia"/>
          <w:bCs/>
          <w:color w:val="000000"/>
          <w:sz w:val="24"/>
          <w:szCs w:val="24"/>
        </w:rPr>
        <w:t>》预计：</w:t>
      </w:r>
      <w:r>
        <w:rPr>
          <w:rFonts w:ascii="宋体" w:hAnsi="宋体" w:cs="Times New Roman" w:hint="eastAsia"/>
          <w:bCs/>
          <w:color w:val="000000"/>
          <w:sz w:val="24"/>
          <w:szCs w:val="24"/>
        </w:rPr>
        <w:t>2024</w:t>
      </w:r>
      <w:r>
        <w:rPr>
          <w:rFonts w:ascii="宋体" w:hAnsi="宋体" w:cs="Times New Roman" w:hint="eastAsia"/>
          <w:bCs/>
          <w:color w:val="000000"/>
          <w:sz w:val="24"/>
          <w:szCs w:val="24"/>
        </w:rPr>
        <w:t>年，全球陆上风电新增装机将首次突破</w:t>
      </w:r>
      <w:r>
        <w:rPr>
          <w:rFonts w:ascii="宋体" w:hAnsi="宋体" w:cs="Times New Roman" w:hint="eastAsia"/>
          <w:bCs/>
          <w:color w:val="000000"/>
          <w:sz w:val="24"/>
          <w:szCs w:val="24"/>
        </w:rPr>
        <w:t>100GW</w:t>
      </w:r>
      <w:r>
        <w:rPr>
          <w:rFonts w:ascii="宋体" w:hAnsi="宋体" w:cs="Times New Roman" w:hint="eastAsia"/>
          <w:bCs/>
          <w:color w:val="000000"/>
          <w:sz w:val="24"/>
          <w:szCs w:val="24"/>
        </w:rPr>
        <w:t>；到</w:t>
      </w:r>
      <w:r>
        <w:rPr>
          <w:rFonts w:ascii="宋体" w:hAnsi="宋体" w:cs="Times New Roman" w:hint="eastAsia"/>
          <w:bCs/>
          <w:color w:val="000000"/>
          <w:sz w:val="24"/>
          <w:szCs w:val="24"/>
        </w:rPr>
        <w:t>2025</w:t>
      </w:r>
      <w:r>
        <w:rPr>
          <w:rFonts w:ascii="宋体" w:hAnsi="宋体" w:cs="Times New Roman" w:hint="eastAsia"/>
          <w:bCs/>
          <w:color w:val="000000"/>
          <w:sz w:val="24"/>
          <w:szCs w:val="24"/>
        </w:rPr>
        <w:t>年全球海上风电新增装机也将再创新高，达到</w:t>
      </w:r>
      <w:r>
        <w:rPr>
          <w:rFonts w:ascii="宋体" w:hAnsi="宋体" w:cs="Times New Roman" w:hint="eastAsia"/>
          <w:bCs/>
          <w:color w:val="000000"/>
          <w:sz w:val="24"/>
          <w:szCs w:val="24"/>
        </w:rPr>
        <w:t>25GW</w:t>
      </w:r>
      <w:r>
        <w:rPr>
          <w:rFonts w:ascii="宋体" w:hAnsi="宋体" w:cs="Times New Roman" w:hint="eastAsia"/>
          <w:bCs/>
          <w:color w:val="000000"/>
          <w:sz w:val="24"/>
          <w:szCs w:val="24"/>
        </w:rPr>
        <w:t>；未来五年全</w:t>
      </w:r>
      <w:proofErr w:type="gramStart"/>
      <w:r>
        <w:rPr>
          <w:rFonts w:ascii="宋体" w:hAnsi="宋体" w:cs="Times New Roman" w:hint="eastAsia"/>
          <w:bCs/>
          <w:color w:val="000000"/>
          <w:sz w:val="24"/>
          <w:szCs w:val="24"/>
        </w:rPr>
        <w:t>球风电</w:t>
      </w:r>
      <w:proofErr w:type="gramEnd"/>
      <w:r>
        <w:rPr>
          <w:rFonts w:ascii="宋体" w:hAnsi="宋体" w:cs="Times New Roman" w:hint="eastAsia"/>
          <w:bCs/>
          <w:color w:val="000000"/>
          <w:sz w:val="24"/>
          <w:szCs w:val="24"/>
        </w:rPr>
        <w:t>新增并网容量将达到</w:t>
      </w:r>
      <w:r>
        <w:rPr>
          <w:rFonts w:ascii="宋体" w:hAnsi="宋体" w:cs="Times New Roman" w:hint="eastAsia"/>
          <w:bCs/>
          <w:color w:val="000000"/>
          <w:sz w:val="24"/>
          <w:szCs w:val="24"/>
        </w:rPr>
        <w:t>680GW</w:t>
      </w:r>
      <w:r>
        <w:rPr>
          <w:rFonts w:ascii="宋体" w:hAnsi="宋体" w:cs="Times New Roman" w:hint="eastAsia"/>
          <w:bCs/>
          <w:color w:val="000000"/>
          <w:sz w:val="24"/>
          <w:szCs w:val="24"/>
        </w:rPr>
        <w:t>，平均每年风电新增装机将达到</w:t>
      </w:r>
      <w:r>
        <w:rPr>
          <w:rFonts w:ascii="宋体" w:hAnsi="宋体" w:cs="Times New Roman" w:hint="eastAsia"/>
          <w:bCs/>
          <w:color w:val="000000"/>
          <w:sz w:val="24"/>
          <w:szCs w:val="24"/>
        </w:rPr>
        <w:t>136GW</w:t>
      </w:r>
      <w:r>
        <w:rPr>
          <w:rFonts w:ascii="宋体" w:hAnsi="宋体" w:cs="Times New Roman" w:hint="eastAsia"/>
          <w:bCs/>
          <w:color w:val="000000"/>
          <w:sz w:val="24"/>
          <w:szCs w:val="24"/>
        </w:rPr>
        <w:t>，年均复合增长率达</w:t>
      </w:r>
      <w:r>
        <w:rPr>
          <w:rFonts w:ascii="宋体" w:hAnsi="宋体" w:cs="Times New Roman" w:hint="eastAsia"/>
          <w:bCs/>
          <w:color w:val="000000"/>
          <w:sz w:val="24"/>
          <w:szCs w:val="24"/>
        </w:rPr>
        <w:t>15%</w:t>
      </w:r>
      <w:r>
        <w:rPr>
          <w:rFonts w:ascii="宋体" w:hAnsi="宋体" w:cs="Times New Roman" w:hint="eastAsia"/>
          <w:bCs/>
          <w:color w:val="000000"/>
          <w:sz w:val="24"/>
          <w:szCs w:val="24"/>
        </w:rPr>
        <w:t>；预计</w:t>
      </w:r>
      <w:r>
        <w:rPr>
          <w:rFonts w:ascii="宋体" w:hAnsi="宋体" w:cs="Times New Roman" w:hint="eastAsia"/>
          <w:bCs/>
          <w:color w:val="000000"/>
          <w:sz w:val="24"/>
          <w:szCs w:val="24"/>
        </w:rPr>
        <w:t>2023</w:t>
      </w:r>
      <w:r>
        <w:rPr>
          <w:rFonts w:ascii="宋体" w:hAnsi="宋体" w:cs="Times New Roman" w:hint="eastAsia"/>
          <w:bCs/>
          <w:color w:val="000000"/>
          <w:sz w:val="24"/>
          <w:szCs w:val="24"/>
        </w:rPr>
        <w:t>-2030</w:t>
      </w:r>
      <w:r>
        <w:rPr>
          <w:rFonts w:ascii="宋体" w:hAnsi="宋体" w:cs="Times New Roman" w:hint="eastAsia"/>
          <w:bCs/>
          <w:color w:val="000000"/>
          <w:sz w:val="24"/>
          <w:szCs w:val="24"/>
        </w:rPr>
        <w:t>年，每年新增装机超过</w:t>
      </w:r>
      <w:r>
        <w:rPr>
          <w:rFonts w:ascii="宋体" w:hAnsi="宋体" w:cs="Times New Roman" w:hint="eastAsia"/>
          <w:bCs/>
          <w:color w:val="000000"/>
          <w:sz w:val="24"/>
          <w:szCs w:val="24"/>
        </w:rPr>
        <w:t>143GW</w:t>
      </w:r>
      <w:r>
        <w:rPr>
          <w:rFonts w:ascii="宋体" w:hAnsi="宋体" w:cs="Times New Roman" w:hint="eastAsia"/>
          <w:bCs/>
          <w:color w:val="000000"/>
          <w:sz w:val="24"/>
          <w:szCs w:val="24"/>
        </w:rPr>
        <w:t>，年均复合增长率达</w:t>
      </w:r>
      <w:r>
        <w:rPr>
          <w:rFonts w:ascii="宋体" w:hAnsi="宋体" w:cs="Times New Roman" w:hint="eastAsia"/>
          <w:bCs/>
          <w:color w:val="000000"/>
          <w:sz w:val="24"/>
          <w:szCs w:val="24"/>
        </w:rPr>
        <w:t>13%</w:t>
      </w:r>
      <w:r>
        <w:rPr>
          <w:rFonts w:ascii="宋体" w:hAnsi="宋体" w:cs="Times New Roman" w:hint="eastAsia"/>
          <w:bCs/>
          <w:color w:val="000000"/>
          <w:sz w:val="24"/>
          <w:szCs w:val="24"/>
        </w:rPr>
        <w:t>。</w:t>
      </w:r>
    </w:p>
    <w:p w:rsidR="00F470CD" w:rsidRDefault="00E302C8">
      <w:pPr>
        <w:spacing w:after="0" w:line="260" w:lineRule="auto"/>
        <w:ind w:firstLineChars="200" w:firstLine="480"/>
        <w:jc w:val="both"/>
        <w:rPr>
          <w:rFonts w:ascii="宋体" w:hAnsi="宋体" w:cs="Times New Roman" w:hint="eastAsia"/>
          <w:bCs/>
          <w:color w:val="000000"/>
          <w:sz w:val="24"/>
          <w:szCs w:val="24"/>
        </w:rPr>
      </w:pPr>
      <w:r>
        <w:rPr>
          <w:rFonts w:ascii="宋体" w:hAnsi="宋体" w:cs="Times New Roman" w:hint="eastAsia"/>
          <w:bCs/>
          <w:color w:val="000000"/>
          <w:sz w:val="24"/>
          <w:szCs w:val="24"/>
        </w:rPr>
        <w:t>光伏是玻纤新兴应用领域，发展潜力大。</w:t>
      </w:r>
      <w:r>
        <w:rPr>
          <w:rFonts w:ascii="宋体" w:hAnsi="宋体" w:cs="Times New Roman" w:hint="eastAsia"/>
          <w:bCs/>
          <w:color w:val="000000"/>
          <w:sz w:val="24"/>
          <w:szCs w:val="24"/>
        </w:rPr>
        <w:t>随着复合材料边框凭借性能优势和成本优势逐步实现对铝合金边框的</w:t>
      </w:r>
      <w:r>
        <w:rPr>
          <w:rFonts w:ascii="宋体" w:hAnsi="宋体" w:cs="Times New Roman" w:hint="eastAsia"/>
          <w:bCs/>
          <w:color w:val="000000"/>
          <w:sz w:val="24"/>
          <w:szCs w:val="24"/>
        </w:rPr>
        <w:t>替代，玻纤应用将迎来一片新蓝海。</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新能源汽车是热塑产品重点应用领域</w:t>
      </w:r>
      <w:r>
        <w:rPr>
          <w:rFonts w:ascii="宋体" w:hAnsi="宋体" w:cs="Times New Roman" w:hint="eastAsia"/>
          <w:bCs/>
          <w:color w:val="000000"/>
          <w:sz w:val="24"/>
          <w:szCs w:val="24"/>
        </w:rPr>
        <w:t>，进入快速成长期。</w:t>
      </w:r>
      <w:r>
        <w:rPr>
          <w:rFonts w:ascii="宋体" w:hAnsi="宋体" w:cs="Times New Roman" w:hint="eastAsia"/>
          <w:bCs/>
          <w:color w:val="000000"/>
          <w:sz w:val="24"/>
          <w:szCs w:val="24"/>
        </w:rPr>
        <w:t>随着节能环保政策的推进，汽车轻量化加速推进，中国新能源汽车进入快速发展期</w:t>
      </w:r>
      <w:r>
        <w:rPr>
          <w:rFonts w:ascii="宋体" w:hAnsi="宋体" w:cs="Times New Roman" w:hint="eastAsia"/>
          <w:bCs/>
          <w:color w:val="000000"/>
          <w:sz w:val="24"/>
          <w:szCs w:val="24"/>
        </w:rPr>
        <w:t>。</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lastRenderedPageBreak/>
        <w:t>PCB</w:t>
      </w:r>
      <w:r>
        <w:rPr>
          <w:rFonts w:ascii="宋体" w:hAnsi="宋体" w:cs="Times New Roman" w:hint="eastAsia"/>
          <w:bCs/>
          <w:color w:val="000000"/>
          <w:sz w:val="24"/>
          <w:szCs w:val="24"/>
        </w:rPr>
        <w:t>是玻纤高端应用领域，数字经济带来巨大市场空间。随着</w:t>
      </w:r>
      <w:r>
        <w:rPr>
          <w:rFonts w:ascii="宋体" w:hAnsi="宋体" w:cs="Times New Roman" w:hint="eastAsia"/>
          <w:bCs/>
          <w:color w:val="000000"/>
          <w:sz w:val="24"/>
          <w:szCs w:val="24"/>
        </w:rPr>
        <w:t>5G</w:t>
      </w:r>
      <w:r>
        <w:rPr>
          <w:rFonts w:ascii="宋体" w:hAnsi="宋体" w:cs="Times New Roman" w:hint="eastAsia"/>
          <w:bCs/>
          <w:color w:val="000000"/>
          <w:sz w:val="24"/>
          <w:szCs w:val="24"/>
        </w:rPr>
        <w:t>技术、云计算、数据中心、物联网、人工智能、新能源汽车、智能驾驶和智能家居为代表的产业蓬勃发展，</w:t>
      </w:r>
      <w:r>
        <w:rPr>
          <w:rFonts w:ascii="宋体" w:hAnsi="宋体" w:cs="Times New Roman" w:hint="eastAsia"/>
          <w:bCs/>
          <w:color w:val="000000"/>
          <w:sz w:val="24"/>
          <w:szCs w:val="24"/>
        </w:rPr>
        <w:t>给</w:t>
      </w:r>
      <w:r>
        <w:rPr>
          <w:rFonts w:ascii="宋体" w:hAnsi="宋体" w:cs="Times New Roman" w:hint="eastAsia"/>
          <w:bCs/>
          <w:color w:val="000000"/>
          <w:sz w:val="24"/>
          <w:szCs w:val="24"/>
        </w:rPr>
        <w:t>PCB</w:t>
      </w:r>
      <w:r w:rsidR="00F5151A">
        <w:rPr>
          <w:rFonts w:ascii="宋体" w:hAnsi="宋体" w:cs="Times New Roman" w:hint="eastAsia"/>
          <w:bCs/>
          <w:color w:val="000000"/>
          <w:sz w:val="24"/>
          <w:szCs w:val="24"/>
        </w:rPr>
        <w:t>产业带来了全新的发展机遇</w:t>
      </w:r>
      <w:r>
        <w:rPr>
          <w:rFonts w:ascii="宋体" w:hAnsi="宋体" w:cs="Times New Roman" w:hint="eastAsia"/>
          <w:bCs/>
          <w:color w:val="000000"/>
          <w:sz w:val="24"/>
          <w:szCs w:val="24"/>
        </w:rPr>
        <w:t>。</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除此之外，复合材料在建筑建材领域的推广使用以及地下储油罐、海水淡化工程、地下管廊建设等带来的需求也将为玻纤应用提供助力。</w:t>
      </w:r>
    </w:p>
    <w:p w:rsidR="007267B7" w:rsidRDefault="007267B7">
      <w:pPr>
        <w:spacing w:after="0" w:line="260" w:lineRule="auto"/>
        <w:ind w:firstLineChars="200" w:firstLine="480"/>
        <w:jc w:val="both"/>
        <w:rPr>
          <w:rFonts w:ascii="宋体" w:hAnsi="宋体" w:cs="Times New Roman"/>
          <w:bCs/>
          <w:color w:val="000000"/>
          <w:sz w:val="24"/>
          <w:szCs w:val="24"/>
        </w:rPr>
      </w:pP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2</w:t>
      </w:r>
      <w:r>
        <w:rPr>
          <w:rFonts w:ascii="宋体" w:hAnsi="宋体" w:cs="Times New Roman" w:hint="eastAsia"/>
          <w:bCs/>
          <w:color w:val="000000"/>
          <w:sz w:val="24"/>
          <w:szCs w:val="24"/>
        </w:rPr>
        <w:t>、请问公司本次价格调整的背景以及调价以来的落地情况？</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回复：</w:t>
      </w:r>
      <w:r w:rsidR="00574E7D">
        <w:rPr>
          <w:rFonts w:ascii="宋体" w:hAnsi="宋体" w:cs="Times New Roman" w:hint="eastAsia"/>
          <w:bCs/>
          <w:color w:val="000000"/>
          <w:sz w:val="24"/>
          <w:szCs w:val="24"/>
        </w:rPr>
        <w:t>公司结合现阶段行业供需格局变化</w:t>
      </w:r>
      <w:r w:rsidR="00574E7D">
        <w:rPr>
          <w:rFonts w:ascii="宋体" w:hAnsi="宋体" w:cs="Times New Roman" w:hint="eastAsia"/>
          <w:bCs/>
          <w:color w:val="000000"/>
          <w:sz w:val="24"/>
          <w:szCs w:val="24"/>
        </w:rPr>
        <w:t>及自身高质量发展需要出发，对部分粗纱产品及电子</w:t>
      </w:r>
      <w:proofErr w:type="gramStart"/>
      <w:r w:rsidR="00574E7D">
        <w:rPr>
          <w:rFonts w:ascii="宋体" w:hAnsi="宋体" w:cs="Times New Roman" w:hint="eastAsia"/>
          <w:bCs/>
          <w:color w:val="000000"/>
          <w:sz w:val="24"/>
          <w:szCs w:val="24"/>
        </w:rPr>
        <w:t>布产品</w:t>
      </w:r>
      <w:proofErr w:type="gramEnd"/>
      <w:r w:rsidR="00574E7D">
        <w:rPr>
          <w:rFonts w:ascii="宋体" w:hAnsi="宋体" w:cs="Times New Roman" w:hint="eastAsia"/>
          <w:bCs/>
          <w:color w:val="000000"/>
          <w:sz w:val="24"/>
          <w:szCs w:val="24"/>
        </w:rPr>
        <w:t>进行了复价</w:t>
      </w:r>
      <w:r>
        <w:rPr>
          <w:rFonts w:ascii="宋体" w:hAnsi="宋体" w:cs="Times New Roman" w:hint="eastAsia"/>
          <w:bCs/>
          <w:color w:val="000000"/>
          <w:sz w:val="24"/>
          <w:szCs w:val="24"/>
        </w:rPr>
        <w:t>。</w:t>
      </w:r>
    </w:p>
    <w:p w:rsidR="007267B7" w:rsidRDefault="00574E7D">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本次价格调整</w:t>
      </w:r>
      <w:r w:rsidR="00E302C8">
        <w:rPr>
          <w:rFonts w:ascii="宋体" w:hAnsi="宋体" w:cs="Times New Roman" w:hint="eastAsia"/>
          <w:bCs/>
          <w:color w:val="000000"/>
          <w:sz w:val="24"/>
          <w:szCs w:val="24"/>
        </w:rPr>
        <w:t>是基于对行业供需格局的判断，自</w:t>
      </w:r>
      <w:r w:rsidR="00E302C8">
        <w:rPr>
          <w:rFonts w:ascii="宋体" w:hAnsi="宋体" w:cs="Times New Roman" w:hint="eastAsia"/>
          <w:bCs/>
          <w:color w:val="000000"/>
          <w:sz w:val="24"/>
          <w:szCs w:val="24"/>
        </w:rPr>
        <w:t>2024</w:t>
      </w:r>
      <w:r w:rsidR="00E302C8">
        <w:rPr>
          <w:rFonts w:ascii="宋体" w:hAnsi="宋体" w:cs="Times New Roman" w:hint="eastAsia"/>
          <w:bCs/>
          <w:color w:val="000000"/>
          <w:sz w:val="24"/>
          <w:szCs w:val="24"/>
        </w:rPr>
        <w:t>年</w:t>
      </w:r>
      <w:r w:rsidR="00E302C8">
        <w:rPr>
          <w:rFonts w:ascii="宋体" w:hAnsi="宋体" w:cs="Times New Roman" w:hint="eastAsia"/>
          <w:bCs/>
          <w:color w:val="000000"/>
          <w:sz w:val="24"/>
          <w:szCs w:val="24"/>
        </w:rPr>
        <w:t>3</w:t>
      </w:r>
      <w:r w:rsidR="00E302C8">
        <w:rPr>
          <w:rFonts w:ascii="宋体" w:hAnsi="宋体" w:cs="Times New Roman" w:hint="eastAsia"/>
          <w:bCs/>
          <w:color w:val="000000"/>
          <w:sz w:val="24"/>
          <w:szCs w:val="24"/>
        </w:rPr>
        <w:t>月份以来，玻纤主要应用领域下游需求出现了不同程度的恢复，公司风电、热塑等主要产品的出货量保持高位</w:t>
      </w:r>
      <w:r w:rsidR="00E302C8">
        <w:rPr>
          <w:rFonts w:ascii="宋体" w:hAnsi="宋体" w:cs="Times New Roman" w:hint="eastAsia"/>
          <w:bCs/>
          <w:color w:val="000000"/>
          <w:sz w:val="24"/>
          <w:szCs w:val="24"/>
        </w:rPr>
        <w:t>。</w:t>
      </w:r>
      <w:r w:rsidR="00E302C8">
        <w:rPr>
          <w:rFonts w:ascii="宋体" w:hAnsi="宋体" w:cs="Times New Roman" w:hint="eastAsia"/>
          <w:bCs/>
          <w:color w:val="000000"/>
          <w:sz w:val="24"/>
          <w:szCs w:val="24"/>
        </w:rPr>
        <w:t>供给方面，行业新增产</w:t>
      </w:r>
      <w:proofErr w:type="gramStart"/>
      <w:r w:rsidR="00E302C8">
        <w:rPr>
          <w:rFonts w:ascii="宋体" w:hAnsi="宋体" w:cs="Times New Roman" w:hint="eastAsia"/>
          <w:bCs/>
          <w:color w:val="000000"/>
          <w:sz w:val="24"/>
          <w:szCs w:val="24"/>
        </w:rPr>
        <w:t>能</w:t>
      </w:r>
      <w:r w:rsidR="00E302C8">
        <w:rPr>
          <w:rFonts w:ascii="宋体" w:hAnsi="宋体" w:cs="Times New Roman" w:hint="eastAsia"/>
          <w:bCs/>
          <w:color w:val="000000"/>
          <w:sz w:val="24"/>
          <w:szCs w:val="24"/>
        </w:rPr>
        <w:t>总体</w:t>
      </w:r>
      <w:proofErr w:type="gramEnd"/>
      <w:r w:rsidR="00E302C8">
        <w:rPr>
          <w:rFonts w:ascii="宋体" w:hAnsi="宋体" w:cs="Times New Roman" w:hint="eastAsia"/>
          <w:bCs/>
          <w:color w:val="000000"/>
          <w:sz w:val="24"/>
          <w:szCs w:val="24"/>
        </w:rPr>
        <w:t>可控。</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自调价通知发布以来，除了已签订长期合同的客户之外，其他合同都在陆续执行新的价格，落地情况良好。</w:t>
      </w:r>
      <w:bookmarkStart w:id="0" w:name="_GoBack"/>
      <w:bookmarkEnd w:id="0"/>
    </w:p>
    <w:p w:rsidR="007267B7" w:rsidRDefault="007267B7">
      <w:pPr>
        <w:spacing w:after="0" w:line="260" w:lineRule="auto"/>
        <w:ind w:firstLineChars="200" w:firstLine="480"/>
        <w:jc w:val="both"/>
        <w:rPr>
          <w:rFonts w:ascii="宋体" w:hAnsi="宋体" w:cs="Times New Roman"/>
          <w:bCs/>
          <w:color w:val="000000"/>
          <w:sz w:val="24"/>
          <w:szCs w:val="24"/>
        </w:rPr>
      </w:pP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3</w:t>
      </w:r>
      <w:r>
        <w:rPr>
          <w:rFonts w:ascii="宋体" w:hAnsi="宋体" w:cs="Times New Roman" w:hint="eastAsia"/>
          <w:bCs/>
          <w:color w:val="000000"/>
          <w:sz w:val="24"/>
          <w:szCs w:val="24"/>
        </w:rPr>
        <w:t>、公司今明两年的资本开支计划</w:t>
      </w:r>
    </w:p>
    <w:p w:rsidR="007267B7" w:rsidRDefault="00E302C8">
      <w:p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回复：今明两年是公司深入实施“十四五”规划的关键之年，公司资本开支主要以生产线建设为主，预计每年资本开支金额在</w:t>
      </w:r>
      <w:r>
        <w:rPr>
          <w:rFonts w:ascii="宋体" w:hAnsi="宋体" w:cs="Times New Roman" w:hint="eastAsia"/>
          <w:bCs/>
          <w:color w:val="000000"/>
          <w:sz w:val="24"/>
          <w:szCs w:val="24"/>
        </w:rPr>
        <w:t>40</w:t>
      </w:r>
      <w:r>
        <w:rPr>
          <w:rFonts w:ascii="宋体" w:hAnsi="宋体" w:cs="Times New Roman" w:hint="eastAsia"/>
          <w:bCs/>
          <w:color w:val="000000"/>
          <w:sz w:val="24"/>
          <w:szCs w:val="24"/>
        </w:rPr>
        <w:t>亿左右。</w:t>
      </w:r>
    </w:p>
    <w:p w:rsidR="007267B7" w:rsidRDefault="007267B7">
      <w:pPr>
        <w:spacing w:after="0" w:line="260" w:lineRule="auto"/>
        <w:ind w:firstLineChars="200" w:firstLine="480"/>
        <w:jc w:val="both"/>
        <w:rPr>
          <w:rFonts w:ascii="宋体" w:hAnsi="宋体" w:cs="Times New Roman"/>
          <w:bCs/>
          <w:color w:val="000000"/>
          <w:sz w:val="24"/>
          <w:szCs w:val="24"/>
        </w:rPr>
      </w:pPr>
    </w:p>
    <w:p w:rsidR="007267B7" w:rsidRDefault="00E302C8">
      <w:pPr>
        <w:numPr>
          <w:ilvl w:val="0"/>
          <w:numId w:val="1"/>
        </w:numPr>
        <w:spacing w:after="0" w:line="260" w:lineRule="auto"/>
        <w:ind w:firstLineChars="200" w:firstLine="480"/>
        <w:jc w:val="both"/>
        <w:rPr>
          <w:rFonts w:ascii="宋体" w:hAnsi="宋体" w:cs="Times New Roman"/>
          <w:bCs/>
          <w:color w:val="000000"/>
          <w:sz w:val="24"/>
          <w:szCs w:val="24"/>
        </w:rPr>
      </w:pPr>
      <w:r>
        <w:rPr>
          <w:rFonts w:ascii="宋体" w:hAnsi="宋体" w:cs="Times New Roman" w:hint="eastAsia"/>
          <w:bCs/>
          <w:color w:val="000000"/>
          <w:sz w:val="24"/>
          <w:szCs w:val="24"/>
        </w:rPr>
        <w:t>公司电子纱</w:t>
      </w:r>
      <w:r>
        <w:rPr>
          <w:rFonts w:ascii="宋体" w:hAnsi="宋体" w:cs="Times New Roman" w:hint="eastAsia"/>
          <w:bCs/>
          <w:color w:val="000000"/>
          <w:sz w:val="24"/>
          <w:szCs w:val="24"/>
        </w:rPr>
        <w:t>/</w:t>
      </w:r>
      <w:r>
        <w:rPr>
          <w:rFonts w:ascii="宋体" w:hAnsi="宋体" w:cs="Times New Roman" w:hint="eastAsia"/>
          <w:bCs/>
          <w:color w:val="000000"/>
          <w:sz w:val="24"/>
          <w:szCs w:val="24"/>
        </w:rPr>
        <w:t>布涨价对公司有哪些影响？</w:t>
      </w:r>
    </w:p>
    <w:p w:rsidR="007267B7" w:rsidRDefault="00E302C8">
      <w:pPr>
        <w:spacing w:after="0" w:line="260" w:lineRule="auto"/>
        <w:ind w:firstLine="480"/>
        <w:jc w:val="both"/>
        <w:rPr>
          <w:rFonts w:ascii="宋体" w:hAnsi="宋体" w:cs="Times New Roman"/>
          <w:bCs/>
          <w:color w:val="000000"/>
          <w:sz w:val="24"/>
          <w:szCs w:val="24"/>
        </w:rPr>
      </w:pPr>
      <w:r>
        <w:rPr>
          <w:rFonts w:ascii="宋体" w:hAnsi="宋体" w:cs="Times New Roman" w:hint="eastAsia"/>
          <w:bCs/>
          <w:color w:val="000000"/>
          <w:sz w:val="24"/>
          <w:szCs w:val="24"/>
        </w:rPr>
        <w:t>回复：近日，公司已发布电子</w:t>
      </w:r>
      <w:proofErr w:type="gramStart"/>
      <w:r>
        <w:rPr>
          <w:rFonts w:ascii="宋体" w:hAnsi="宋体" w:cs="Times New Roman" w:hint="eastAsia"/>
          <w:bCs/>
          <w:color w:val="000000"/>
          <w:sz w:val="24"/>
          <w:szCs w:val="24"/>
        </w:rPr>
        <w:t>布复价</w:t>
      </w:r>
      <w:proofErr w:type="gramEnd"/>
      <w:r>
        <w:rPr>
          <w:rFonts w:ascii="宋体" w:hAnsi="宋体" w:cs="Times New Roman" w:hint="eastAsia"/>
          <w:bCs/>
          <w:color w:val="000000"/>
          <w:sz w:val="24"/>
          <w:szCs w:val="24"/>
        </w:rPr>
        <w:t>通知。</w:t>
      </w:r>
      <w:r>
        <w:rPr>
          <w:rFonts w:ascii="宋体" w:hAnsi="宋体" w:cs="Times New Roman" w:hint="eastAsia"/>
          <w:bCs/>
          <w:color w:val="000000"/>
          <w:sz w:val="24"/>
          <w:szCs w:val="24"/>
        </w:rPr>
        <w:t>7628</w:t>
      </w:r>
      <w:r>
        <w:rPr>
          <w:rFonts w:ascii="宋体" w:hAnsi="宋体" w:cs="Times New Roman" w:hint="eastAsia"/>
          <w:bCs/>
          <w:color w:val="000000"/>
          <w:sz w:val="24"/>
          <w:szCs w:val="24"/>
        </w:rPr>
        <w:t>电子</w:t>
      </w:r>
      <w:proofErr w:type="gramStart"/>
      <w:r>
        <w:rPr>
          <w:rFonts w:ascii="宋体" w:hAnsi="宋体" w:cs="Times New Roman" w:hint="eastAsia"/>
          <w:bCs/>
          <w:color w:val="000000"/>
          <w:sz w:val="24"/>
          <w:szCs w:val="24"/>
        </w:rPr>
        <w:t>布复价</w:t>
      </w:r>
      <w:proofErr w:type="gramEnd"/>
      <w:r>
        <w:rPr>
          <w:rFonts w:ascii="宋体" w:hAnsi="宋体" w:cs="Times New Roman" w:hint="eastAsia"/>
          <w:bCs/>
          <w:color w:val="000000"/>
          <w:sz w:val="24"/>
          <w:szCs w:val="24"/>
        </w:rPr>
        <w:t>0.2-0.3</w:t>
      </w:r>
      <w:r>
        <w:rPr>
          <w:rFonts w:ascii="宋体" w:hAnsi="宋体" w:cs="Times New Roman" w:hint="eastAsia"/>
          <w:bCs/>
          <w:color w:val="000000"/>
          <w:sz w:val="24"/>
          <w:szCs w:val="24"/>
        </w:rPr>
        <w:t>元</w:t>
      </w:r>
      <w:r>
        <w:rPr>
          <w:rFonts w:ascii="宋体" w:hAnsi="宋体" w:cs="Times New Roman" w:hint="eastAsia"/>
          <w:bCs/>
          <w:color w:val="000000"/>
          <w:sz w:val="24"/>
          <w:szCs w:val="24"/>
        </w:rPr>
        <w:t>/</w:t>
      </w:r>
      <w:r>
        <w:rPr>
          <w:rFonts w:ascii="宋体" w:hAnsi="宋体" w:cs="Times New Roman" w:hint="eastAsia"/>
          <w:bCs/>
          <w:color w:val="000000"/>
          <w:sz w:val="24"/>
          <w:szCs w:val="24"/>
        </w:rPr>
        <w:t>米。将对公司进一步提高盈利能力及实现可持续发展产生积极影响。</w:t>
      </w:r>
    </w:p>
    <w:p w:rsidR="007267B7" w:rsidRDefault="007267B7">
      <w:pPr>
        <w:spacing w:after="0" w:line="260" w:lineRule="auto"/>
        <w:ind w:firstLine="480"/>
        <w:jc w:val="both"/>
        <w:rPr>
          <w:rFonts w:ascii="宋体" w:hAnsi="宋体" w:cs="Times New Roman"/>
          <w:bCs/>
          <w:color w:val="000000"/>
          <w:sz w:val="24"/>
          <w:szCs w:val="24"/>
        </w:rPr>
      </w:pPr>
    </w:p>
    <w:p w:rsidR="007267B7" w:rsidRDefault="007267B7">
      <w:pPr>
        <w:spacing w:after="0" w:line="260" w:lineRule="auto"/>
        <w:ind w:firstLine="480"/>
        <w:jc w:val="both"/>
        <w:rPr>
          <w:rFonts w:ascii="宋体" w:hAnsi="宋体" w:cs="Times New Roman"/>
          <w:bCs/>
          <w:color w:val="000000"/>
          <w:sz w:val="24"/>
          <w:szCs w:val="24"/>
        </w:rPr>
      </w:pPr>
    </w:p>
    <w:sectPr w:rsidR="007267B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C8" w:rsidRDefault="00E302C8">
      <w:pPr>
        <w:spacing w:line="240" w:lineRule="auto"/>
      </w:pPr>
      <w:r>
        <w:separator/>
      </w:r>
    </w:p>
  </w:endnote>
  <w:endnote w:type="continuationSeparator" w:id="0">
    <w:p w:rsidR="00E302C8" w:rsidRDefault="00E30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7" w:rsidRDefault="007267B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C8" w:rsidRDefault="00E302C8">
      <w:pPr>
        <w:spacing w:after="0"/>
      </w:pPr>
      <w:r>
        <w:separator/>
      </w:r>
    </w:p>
  </w:footnote>
  <w:footnote w:type="continuationSeparator" w:id="0">
    <w:p w:rsidR="00E302C8" w:rsidRDefault="00E302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55F92"/>
    <w:multiLevelType w:val="singleLevel"/>
    <w:tmpl w:val="D1A55F92"/>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MTc4MjAwYjE3MzQ0ZTBhMjI1MjViNmVhOTliMDkifQ=="/>
  </w:docVars>
  <w:rsids>
    <w:rsidRoot w:val="008C6040"/>
    <w:rsid w:val="00004FD4"/>
    <w:rsid w:val="000068DE"/>
    <w:rsid w:val="00043FF0"/>
    <w:rsid w:val="00061287"/>
    <w:rsid w:val="00065E19"/>
    <w:rsid w:val="000678D6"/>
    <w:rsid w:val="00074511"/>
    <w:rsid w:val="00074C07"/>
    <w:rsid w:val="00081DC5"/>
    <w:rsid w:val="00083E0C"/>
    <w:rsid w:val="000C7D45"/>
    <w:rsid w:val="000D24BC"/>
    <w:rsid w:val="000D36C8"/>
    <w:rsid w:val="000D6BEF"/>
    <w:rsid w:val="000E1468"/>
    <w:rsid w:val="000E5619"/>
    <w:rsid w:val="000F090F"/>
    <w:rsid w:val="000F54FC"/>
    <w:rsid w:val="000F7827"/>
    <w:rsid w:val="00101AC6"/>
    <w:rsid w:val="00103254"/>
    <w:rsid w:val="00103DCC"/>
    <w:rsid w:val="00132015"/>
    <w:rsid w:val="00144E48"/>
    <w:rsid w:val="00145F4C"/>
    <w:rsid w:val="00146747"/>
    <w:rsid w:val="00150AE2"/>
    <w:rsid w:val="00153748"/>
    <w:rsid w:val="00164AE1"/>
    <w:rsid w:val="00164E9B"/>
    <w:rsid w:val="00166821"/>
    <w:rsid w:val="00171DF8"/>
    <w:rsid w:val="00173EFC"/>
    <w:rsid w:val="00177F19"/>
    <w:rsid w:val="001835C3"/>
    <w:rsid w:val="00185057"/>
    <w:rsid w:val="001871C5"/>
    <w:rsid w:val="00192771"/>
    <w:rsid w:val="001A03BA"/>
    <w:rsid w:val="001A2128"/>
    <w:rsid w:val="001A7673"/>
    <w:rsid w:val="001B0099"/>
    <w:rsid w:val="001F069F"/>
    <w:rsid w:val="001F6955"/>
    <w:rsid w:val="0021240C"/>
    <w:rsid w:val="00235E6E"/>
    <w:rsid w:val="002465E7"/>
    <w:rsid w:val="00255477"/>
    <w:rsid w:val="00255C09"/>
    <w:rsid w:val="00260DBC"/>
    <w:rsid w:val="00294B18"/>
    <w:rsid w:val="002A4422"/>
    <w:rsid w:val="002A6421"/>
    <w:rsid w:val="002F6B50"/>
    <w:rsid w:val="00303FB1"/>
    <w:rsid w:val="0031038B"/>
    <w:rsid w:val="00311347"/>
    <w:rsid w:val="003805DB"/>
    <w:rsid w:val="00384426"/>
    <w:rsid w:val="00386AC1"/>
    <w:rsid w:val="003909AB"/>
    <w:rsid w:val="00390B1E"/>
    <w:rsid w:val="003A5716"/>
    <w:rsid w:val="003C1363"/>
    <w:rsid w:val="003C2DB6"/>
    <w:rsid w:val="003D1DAA"/>
    <w:rsid w:val="003E3C29"/>
    <w:rsid w:val="004043DC"/>
    <w:rsid w:val="0041329D"/>
    <w:rsid w:val="00415697"/>
    <w:rsid w:val="004240A1"/>
    <w:rsid w:val="004378C7"/>
    <w:rsid w:val="00444E3B"/>
    <w:rsid w:val="004571D8"/>
    <w:rsid w:val="00465270"/>
    <w:rsid w:val="004833F7"/>
    <w:rsid w:val="004A1216"/>
    <w:rsid w:val="004B6458"/>
    <w:rsid w:val="004B7B41"/>
    <w:rsid w:val="004C1D90"/>
    <w:rsid w:val="004C5FF1"/>
    <w:rsid w:val="004D223F"/>
    <w:rsid w:val="004D766C"/>
    <w:rsid w:val="004E3E39"/>
    <w:rsid w:val="004F0E29"/>
    <w:rsid w:val="004F7039"/>
    <w:rsid w:val="00507D11"/>
    <w:rsid w:val="00521EC7"/>
    <w:rsid w:val="00540E35"/>
    <w:rsid w:val="00546CB9"/>
    <w:rsid w:val="00565B9E"/>
    <w:rsid w:val="0057298E"/>
    <w:rsid w:val="00574E7D"/>
    <w:rsid w:val="00577F55"/>
    <w:rsid w:val="00582158"/>
    <w:rsid w:val="00591B27"/>
    <w:rsid w:val="00592279"/>
    <w:rsid w:val="005929FF"/>
    <w:rsid w:val="00593AE2"/>
    <w:rsid w:val="00593B8F"/>
    <w:rsid w:val="005A3A99"/>
    <w:rsid w:val="005B1F57"/>
    <w:rsid w:val="005B23B0"/>
    <w:rsid w:val="005C5BAA"/>
    <w:rsid w:val="005D4930"/>
    <w:rsid w:val="005E013E"/>
    <w:rsid w:val="005F457D"/>
    <w:rsid w:val="005F7DB4"/>
    <w:rsid w:val="006123BD"/>
    <w:rsid w:val="00634EAB"/>
    <w:rsid w:val="006535FD"/>
    <w:rsid w:val="006731A0"/>
    <w:rsid w:val="006911AB"/>
    <w:rsid w:val="006A3382"/>
    <w:rsid w:val="006A51DD"/>
    <w:rsid w:val="006A5639"/>
    <w:rsid w:val="006E0CF6"/>
    <w:rsid w:val="006E2F78"/>
    <w:rsid w:val="006E7B30"/>
    <w:rsid w:val="00702113"/>
    <w:rsid w:val="00705628"/>
    <w:rsid w:val="00711F53"/>
    <w:rsid w:val="00712CB5"/>
    <w:rsid w:val="00715B32"/>
    <w:rsid w:val="007267B7"/>
    <w:rsid w:val="00742A92"/>
    <w:rsid w:val="0075388A"/>
    <w:rsid w:val="00762F62"/>
    <w:rsid w:val="00777956"/>
    <w:rsid w:val="00781B69"/>
    <w:rsid w:val="00782F3D"/>
    <w:rsid w:val="00787D6F"/>
    <w:rsid w:val="007A3F1C"/>
    <w:rsid w:val="007B44EC"/>
    <w:rsid w:val="007E6312"/>
    <w:rsid w:val="007E6C10"/>
    <w:rsid w:val="007F477A"/>
    <w:rsid w:val="00812BF3"/>
    <w:rsid w:val="008342E7"/>
    <w:rsid w:val="00852B66"/>
    <w:rsid w:val="00865767"/>
    <w:rsid w:val="008674D4"/>
    <w:rsid w:val="008738EF"/>
    <w:rsid w:val="00873E16"/>
    <w:rsid w:val="0088121F"/>
    <w:rsid w:val="008871D5"/>
    <w:rsid w:val="00892730"/>
    <w:rsid w:val="00893734"/>
    <w:rsid w:val="00894263"/>
    <w:rsid w:val="008B740B"/>
    <w:rsid w:val="008C6040"/>
    <w:rsid w:val="008D54DE"/>
    <w:rsid w:val="008E0911"/>
    <w:rsid w:val="008E1988"/>
    <w:rsid w:val="008E5666"/>
    <w:rsid w:val="008F34EF"/>
    <w:rsid w:val="008F3681"/>
    <w:rsid w:val="009033BF"/>
    <w:rsid w:val="0090360E"/>
    <w:rsid w:val="0091209E"/>
    <w:rsid w:val="00916328"/>
    <w:rsid w:val="00917551"/>
    <w:rsid w:val="0093738F"/>
    <w:rsid w:val="00954EF1"/>
    <w:rsid w:val="00956A94"/>
    <w:rsid w:val="00982321"/>
    <w:rsid w:val="009B1D84"/>
    <w:rsid w:val="009E6252"/>
    <w:rsid w:val="009E6B42"/>
    <w:rsid w:val="009F6F0F"/>
    <w:rsid w:val="00A11F0F"/>
    <w:rsid w:val="00A14F3D"/>
    <w:rsid w:val="00A154FD"/>
    <w:rsid w:val="00A23F3A"/>
    <w:rsid w:val="00A30665"/>
    <w:rsid w:val="00A37FE4"/>
    <w:rsid w:val="00A41F9F"/>
    <w:rsid w:val="00A42ED3"/>
    <w:rsid w:val="00A46C78"/>
    <w:rsid w:val="00A46CD0"/>
    <w:rsid w:val="00A51324"/>
    <w:rsid w:val="00A6373B"/>
    <w:rsid w:val="00A72ECC"/>
    <w:rsid w:val="00A8537A"/>
    <w:rsid w:val="00A92068"/>
    <w:rsid w:val="00AA5B99"/>
    <w:rsid w:val="00AB00B7"/>
    <w:rsid w:val="00AB5039"/>
    <w:rsid w:val="00AB5FBD"/>
    <w:rsid w:val="00AB6FD2"/>
    <w:rsid w:val="00AC2E37"/>
    <w:rsid w:val="00AC3608"/>
    <w:rsid w:val="00AD5EA0"/>
    <w:rsid w:val="00AE591C"/>
    <w:rsid w:val="00AE6F7C"/>
    <w:rsid w:val="00B015E8"/>
    <w:rsid w:val="00B02593"/>
    <w:rsid w:val="00B03832"/>
    <w:rsid w:val="00B057AE"/>
    <w:rsid w:val="00B071B8"/>
    <w:rsid w:val="00B15231"/>
    <w:rsid w:val="00B24C92"/>
    <w:rsid w:val="00B368FA"/>
    <w:rsid w:val="00B45088"/>
    <w:rsid w:val="00B47DC6"/>
    <w:rsid w:val="00B577C5"/>
    <w:rsid w:val="00B57D06"/>
    <w:rsid w:val="00B60F98"/>
    <w:rsid w:val="00B62AE4"/>
    <w:rsid w:val="00B65B37"/>
    <w:rsid w:val="00B810B3"/>
    <w:rsid w:val="00B82987"/>
    <w:rsid w:val="00B84F6B"/>
    <w:rsid w:val="00BB4836"/>
    <w:rsid w:val="00BD0BB4"/>
    <w:rsid w:val="00C01A1E"/>
    <w:rsid w:val="00C02E4B"/>
    <w:rsid w:val="00C110C0"/>
    <w:rsid w:val="00C3624D"/>
    <w:rsid w:val="00C44BA2"/>
    <w:rsid w:val="00C46707"/>
    <w:rsid w:val="00C566C4"/>
    <w:rsid w:val="00C613B9"/>
    <w:rsid w:val="00C61558"/>
    <w:rsid w:val="00C64DAE"/>
    <w:rsid w:val="00C73797"/>
    <w:rsid w:val="00C7695D"/>
    <w:rsid w:val="00C81E6F"/>
    <w:rsid w:val="00C956DE"/>
    <w:rsid w:val="00CC3755"/>
    <w:rsid w:val="00CC5B40"/>
    <w:rsid w:val="00CD444A"/>
    <w:rsid w:val="00CD5E5F"/>
    <w:rsid w:val="00D10B36"/>
    <w:rsid w:val="00D53CF1"/>
    <w:rsid w:val="00D61BB2"/>
    <w:rsid w:val="00D77AAA"/>
    <w:rsid w:val="00D96872"/>
    <w:rsid w:val="00DA4BF4"/>
    <w:rsid w:val="00DB039F"/>
    <w:rsid w:val="00DB2F0D"/>
    <w:rsid w:val="00DB39B1"/>
    <w:rsid w:val="00DB62C2"/>
    <w:rsid w:val="00DB7A53"/>
    <w:rsid w:val="00DD0F31"/>
    <w:rsid w:val="00DD3B8E"/>
    <w:rsid w:val="00DE576E"/>
    <w:rsid w:val="00E25F5A"/>
    <w:rsid w:val="00E25F98"/>
    <w:rsid w:val="00E302C8"/>
    <w:rsid w:val="00E3726E"/>
    <w:rsid w:val="00E46E4A"/>
    <w:rsid w:val="00E551A1"/>
    <w:rsid w:val="00E610AD"/>
    <w:rsid w:val="00E64EA7"/>
    <w:rsid w:val="00E728A7"/>
    <w:rsid w:val="00E7376B"/>
    <w:rsid w:val="00E84059"/>
    <w:rsid w:val="00E9540A"/>
    <w:rsid w:val="00E96388"/>
    <w:rsid w:val="00EB413A"/>
    <w:rsid w:val="00EB6032"/>
    <w:rsid w:val="00ED02DB"/>
    <w:rsid w:val="00ED4F82"/>
    <w:rsid w:val="00EE6CE8"/>
    <w:rsid w:val="00F044BD"/>
    <w:rsid w:val="00F1387B"/>
    <w:rsid w:val="00F317C3"/>
    <w:rsid w:val="00F431A2"/>
    <w:rsid w:val="00F461EC"/>
    <w:rsid w:val="00F470CD"/>
    <w:rsid w:val="00F5151A"/>
    <w:rsid w:val="00F57BE6"/>
    <w:rsid w:val="00F65357"/>
    <w:rsid w:val="00F67FF7"/>
    <w:rsid w:val="00F77602"/>
    <w:rsid w:val="00F83833"/>
    <w:rsid w:val="00F976E4"/>
    <w:rsid w:val="00FA1E25"/>
    <w:rsid w:val="00FC6B9D"/>
    <w:rsid w:val="00FD6C89"/>
    <w:rsid w:val="00FE449C"/>
    <w:rsid w:val="00FF23A9"/>
    <w:rsid w:val="00FF355F"/>
    <w:rsid w:val="00FF697E"/>
    <w:rsid w:val="00FF7B74"/>
    <w:rsid w:val="0B376779"/>
    <w:rsid w:val="0C5A7059"/>
    <w:rsid w:val="1D742582"/>
    <w:rsid w:val="20E22BD6"/>
    <w:rsid w:val="30E85E8A"/>
    <w:rsid w:val="349C0038"/>
    <w:rsid w:val="371B380E"/>
    <w:rsid w:val="51994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spacing w:after="160" w:line="259" w:lineRule="auto"/>
    </w:pPr>
    <w:rPr>
      <w:rFonts w:ascii="Georgia" w:hAnsi="Georgia" w:cstheme="minorBidi"/>
      <w:sz w:val="22"/>
      <w:szCs w:val="22"/>
    </w:rPr>
  </w:style>
  <w:style w:type="paragraph" w:styleId="1">
    <w:name w:val="heading 1"/>
    <w:basedOn w:val="a"/>
    <w:next w:val="a"/>
    <w:link w:val="1Char"/>
    <w:autoRedefin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pPr>
      <w:spacing w:after="0" w:line="240" w:lineRule="auto"/>
    </w:pPr>
    <w:rPr>
      <w:sz w:val="18"/>
      <w:szCs w:val="18"/>
    </w:rPr>
  </w:style>
  <w:style w:type="paragraph" w:styleId="a4">
    <w:name w:val="footer"/>
    <w:basedOn w:val="a"/>
    <w:link w:val="Char0"/>
    <w:autoRedefine/>
    <w:uiPriority w:val="99"/>
    <w:unhideWhenUsed/>
    <w:qFormat/>
    <w:pPr>
      <w:tabs>
        <w:tab w:val="center" w:pos="4320"/>
        <w:tab w:val="right" w:pos="8640"/>
      </w:tabs>
      <w:spacing w:after="0" w:line="240" w:lineRule="auto"/>
    </w:pPr>
  </w:style>
  <w:style w:type="paragraph" w:styleId="a5">
    <w:name w:val="header"/>
    <w:basedOn w:val="a"/>
    <w:link w:val="Char1"/>
    <w:autoRedefine/>
    <w:uiPriority w:val="99"/>
    <w:unhideWhenUsed/>
    <w:qFormat/>
    <w:pPr>
      <w:tabs>
        <w:tab w:val="center" w:pos="4320"/>
        <w:tab w:val="right" w:pos="8640"/>
      </w:tabs>
      <w:spacing w:after="0" w:line="240" w:lineRule="auto"/>
    </w:pPr>
  </w:style>
  <w:style w:type="table" w:styleId="a6">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autoRedefine/>
    <w:uiPriority w:val="99"/>
    <w:qFormat/>
  </w:style>
  <w:style w:type="character" w:customStyle="1" w:styleId="Char0">
    <w:name w:val="页脚 Char"/>
    <w:basedOn w:val="a0"/>
    <w:link w:val="a4"/>
    <w:autoRedefine/>
    <w:uiPriority w:val="99"/>
    <w:qFormat/>
  </w:style>
  <w:style w:type="paragraph" w:styleId="a7">
    <w:name w:val="List Paragraph"/>
    <w:basedOn w:val="a"/>
    <w:autoRedefine/>
    <w:uiPriority w:val="34"/>
    <w:qFormat/>
    <w:pPr>
      <w:widowControl w:val="0"/>
      <w:spacing w:after="0" w:line="240" w:lineRule="auto"/>
      <w:ind w:firstLineChars="200" w:firstLine="420"/>
      <w:jc w:val="both"/>
    </w:pPr>
    <w:rPr>
      <w:rFonts w:ascii="Calibri" w:hAnsi="Calibri" w:cs="Times New Roman"/>
      <w:kern w:val="2"/>
      <w:sz w:val="21"/>
    </w:rPr>
  </w:style>
  <w:style w:type="character" w:customStyle="1" w:styleId="1Char">
    <w:name w:val="标题 1 Char"/>
    <w:basedOn w:val="a0"/>
    <w:link w:val="1"/>
    <w:autoRedefine/>
    <w:uiPriority w:val="9"/>
    <w:qFormat/>
    <w:rPr>
      <w:rFonts w:asciiTheme="majorHAnsi" w:eastAsiaTheme="majorEastAsia" w:hAnsiTheme="majorHAnsi" w:cstheme="majorBidi"/>
      <w:color w:val="2F5496" w:themeColor="accent1" w:themeShade="BF"/>
      <w:sz w:val="32"/>
      <w:szCs w:val="32"/>
    </w:rPr>
  </w:style>
  <w:style w:type="character" w:customStyle="1" w:styleId="Char">
    <w:name w:val="批注框文本 Char"/>
    <w:basedOn w:val="a0"/>
    <w:link w:val="a3"/>
    <w:autoRedefine/>
    <w:uiPriority w:val="99"/>
    <w:semiHidden/>
    <w:qFormat/>
    <w:rPr>
      <w:sz w:val="18"/>
      <w:szCs w:val="18"/>
    </w:rPr>
  </w:style>
  <w:style w:type="paragraph" w:customStyle="1" w:styleId="10">
    <w:name w:val="修订1"/>
    <w:hidden/>
    <w:uiPriority w:val="99"/>
    <w:semiHidden/>
    <w:rPr>
      <w:rFonts w:ascii="Georgia" w:hAnsi="Georg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spacing w:after="160" w:line="259" w:lineRule="auto"/>
    </w:pPr>
    <w:rPr>
      <w:rFonts w:ascii="Georgia" w:hAnsi="Georgia" w:cstheme="minorBidi"/>
      <w:sz w:val="22"/>
      <w:szCs w:val="22"/>
    </w:rPr>
  </w:style>
  <w:style w:type="paragraph" w:styleId="1">
    <w:name w:val="heading 1"/>
    <w:basedOn w:val="a"/>
    <w:next w:val="a"/>
    <w:link w:val="1Char"/>
    <w:autoRedefin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pPr>
      <w:spacing w:after="0" w:line="240" w:lineRule="auto"/>
    </w:pPr>
    <w:rPr>
      <w:sz w:val="18"/>
      <w:szCs w:val="18"/>
    </w:rPr>
  </w:style>
  <w:style w:type="paragraph" w:styleId="a4">
    <w:name w:val="footer"/>
    <w:basedOn w:val="a"/>
    <w:link w:val="Char0"/>
    <w:autoRedefine/>
    <w:uiPriority w:val="99"/>
    <w:unhideWhenUsed/>
    <w:qFormat/>
    <w:pPr>
      <w:tabs>
        <w:tab w:val="center" w:pos="4320"/>
        <w:tab w:val="right" w:pos="8640"/>
      </w:tabs>
      <w:spacing w:after="0" w:line="240" w:lineRule="auto"/>
    </w:pPr>
  </w:style>
  <w:style w:type="paragraph" w:styleId="a5">
    <w:name w:val="header"/>
    <w:basedOn w:val="a"/>
    <w:link w:val="Char1"/>
    <w:autoRedefine/>
    <w:uiPriority w:val="99"/>
    <w:unhideWhenUsed/>
    <w:qFormat/>
    <w:pPr>
      <w:tabs>
        <w:tab w:val="center" w:pos="4320"/>
        <w:tab w:val="right" w:pos="8640"/>
      </w:tabs>
      <w:spacing w:after="0" w:line="240" w:lineRule="auto"/>
    </w:pPr>
  </w:style>
  <w:style w:type="table" w:styleId="a6">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autoRedefine/>
    <w:uiPriority w:val="99"/>
    <w:qFormat/>
  </w:style>
  <w:style w:type="character" w:customStyle="1" w:styleId="Char0">
    <w:name w:val="页脚 Char"/>
    <w:basedOn w:val="a0"/>
    <w:link w:val="a4"/>
    <w:autoRedefine/>
    <w:uiPriority w:val="99"/>
    <w:qFormat/>
  </w:style>
  <w:style w:type="paragraph" w:styleId="a7">
    <w:name w:val="List Paragraph"/>
    <w:basedOn w:val="a"/>
    <w:autoRedefine/>
    <w:uiPriority w:val="34"/>
    <w:qFormat/>
    <w:pPr>
      <w:widowControl w:val="0"/>
      <w:spacing w:after="0" w:line="240" w:lineRule="auto"/>
      <w:ind w:firstLineChars="200" w:firstLine="420"/>
      <w:jc w:val="both"/>
    </w:pPr>
    <w:rPr>
      <w:rFonts w:ascii="Calibri" w:hAnsi="Calibri" w:cs="Times New Roman"/>
      <w:kern w:val="2"/>
      <w:sz w:val="21"/>
    </w:rPr>
  </w:style>
  <w:style w:type="character" w:customStyle="1" w:styleId="1Char">
    <w:name w:val="标题 1 Char"/>
    <w:basedOn w:val="a0"/>
    <w:link w:val="1"/>
    <w:autoRedefine/>
    <w:uiPriority w:val="9"/>
    <w:qFormat/>
    <w:rPr>
      <w:rFonts w:asciiTheme="majorHAnsi" w:eastAsiaTheme="majorEastAsia" w:hAnsiTheme="majorHAnsi" w:cstheme="majorBidi"/>
      <w:color w:val="2F5496" w:themeColor="accent1" w:themeShade="BF"/>
      <w:sz w:val="32"/>
      <w:szCs w:val="32"/>
    </w:rPr>
  </w:style>
  <w:style w:type="character" w:customStyle="1" w:styleId="Char">
    <w:name w:val="批注框文本 Char"/>
    <w:basedOn w:val="a0"/>
    <w:link w:val="a3"/>
    <w:autoRedefine/>
    <w:uiPriority w:val="99"/>
    <w:semiHidden/>
    <w:qFormat/>
    <w:rPr>
      <w:sz w:val="18"/>
      <w:szCs w:val="18"/>
    </w:rPr>
  </w:style>
  <w:style w:type="paragraph" w:customStyle="1" w:styleId="10">
    <w:name w:val="修订1"/>
    <w:hidden/>
    <w:uiPriority w:val="99"/>
    <w:semiHidden/>
    <w:rPr>
      <w:rFonts w:ascii="Georgia" w:hAnsi="Georg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238</Words>
  <Characters>1358</Characters>
  <Application>Microsoft Office Word</Application>
  <DocSecurity>0</DocSecurity>
  <Lines>11</Lines>
  <Paragraphs>3</Paragraphs>
  <ScaleCrop>false</ScaleCrop>
  <Company>HP Inc.</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Shirly C Huang (CN - ADVS)</dc:creator>
  <cp:lastModifiedBy>徐梦丹</cp:lastModifiedBy>
  <cp:revision>12</cp:revision>
  <cp:lastPrinted>2024-01-31T04:45:00Z</cp:lastPrinted>
  <dcterms:created xsi:type="dcterms:W3CDTF">2024-01-31T03:04:00Z</dcterms:created>
  <dcterms:modified xsi:type="dcterms:W3CDTF">2024-04-17T01:22:00Z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6E172FBE1BD949B1AABC5AD30FA6ACF0_12</vt:lpwstr>
  </property>
</Properties>
</file>