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BF" w:rsidRDefault="000F4966">
      <w:pPr>
        <w:spacing w:afterLines="100" w:after="312" w:line="400" w:lineRule="exact"/>
        <w:rPr>
          <w:b/>
          <w:bCs/>
          <w:iCs/>
          <w:color w:val="000000"/>
          <w:sz w:val="32"/>
          <w:szCs w:val="32"/>
        </w:rPr>
      </w:pPr>
      <w:r>
        <w:rPr>
          <w:b/>
          <w:bCs/>
          <w:iCs/>
          <w:color w:val="000000"/>
          <w:sz w:val="24"/>
        </w:rPr>
        <w:t>证券代码：</w:t>
      </w:r>
      <w:r>
        <w:rPr>
          <w:b/>
          <w:bCs/>
          <w:iCs/>
          <w:color w:val="000000"/>
          <w:sz w:val="24"/>
        </w:rPr>
        <w:t xml:space="preserve">603169                               </w:t>
      </w:r>
      <w:r>
        <w:rPr>
          <w:rFonts w:hint="eastAsia"/>
          <w:b/>
          <w:bCs/>
          <w:iCs/>
          <w:color w:val="000000"/>
          <w:sz w:val="24"/>
        </w:rPr>
        <w:t xml:space="preserve">                                    </w:t>
      </w:r>
      <w:r>
        <w:rPr>
          <w:b/>
          <w:bCs/>
          <w:iCs/>
          <w:color w:val="000000"/>
          <w:sz w:val="24"/>
        </w:rPr>
        <w:t xml:space="preserve"> </w:t>
      </w:r>
      <w:r>
        <w:rPr>
          <w:b/>
          <w:bCs/>
          <w:iCs/>
          <w:color w:val="000000"/>
          <w:sz w:val="24"/>
        </w:rPr>
        <w:t>证券简称：兰石重装</w:t>
      </w:r>
    </w:p>
    <w:p w:rsidR="007A01BF" w:rsidRDefault="000F4966">
      <w:pPr>
        <w:spacing w:afterLines="50" w:after="156" w:line="400" w:lineRule="exact"/>
        <w:jc w:val="center"/>
        <w:rPr>
          <w:b/>
          <w:bCs/>
          <w:iCs/>
          <w:color w:val="000000"/>
          <w:sz w:val="32"/>
          <w:szCs w:val="32"/>
        </w:rPr>
      </w:pPr>
      <w:r>
        <w:rPr>
          <w:b/>
          <w:bCs/>
          <w:iCs/>
          <w:color w:val="000000"/>
          <w:sz w:val="32"/>
          <w:szCs w:val="32"/>
        </w:rPr>
        <w:t>兰州兰石重型装备股份有限公司投资者关系活动记录表</w:t>
      </w:r>
    </w:p>
    <w:p w:rsidR="007A01BF" w:rsidRDefault="000F4966">
      <w:pPr>
        <w:spacing w:line="400" w:lineRule="exact"/>
        <w:rPr>
          <w:bCs/>
          <w:iCs/>
          <w:color w:val="000000"/>
          <w:sz w:val="24"/>
        </w:rPr>
      </w:pPr>
      <w:r>
        <w:rPr>
          <w:bCs/>
          <w:iCs/>
          <w:color w:val="000000"/>
          <w:sz w:val="24"/>
        </w:rPr>
        <w:t xml:space="preserve">                                                         202</w:t>
      </w:r>
      <w:r>
        <w:rPr>
          <w:rFonts w:hint="eastAsia"/>
          <w:bCs/>
          <w:iCs/>
          <w:color w:val="000000"/>
          <w:sz w:val="24"/>
        </w:rPr>
        <w:t>4</w:t>
      </w:r>
      <w:r>
        <w:rPr>
          <w:bCs/>
          <w:iCs/>
          <w:color w:val="000000"/>
          <w:sz w:val="24"/>
        </w:rPr>
        <w:t>年</w:t>
      </w:r>
      <w:r>
        <w:rPr>
          <w:rFonts w:hint="eastAsia"/>
          <w:bCs/>
          <w:iCs/>
          <w:color w:val="000000"/>
          <w:sz w:val="24"/>
        </w:rPr>
        <w:t>4</w:t>
      </w:r>
      <w:r>
        <w:rPr>
          <w:bCs/>
          <w:iCs/>
          <w:color w:val="000000"/>
          <w:sz w:val="24"/>
        </w:rPr>
        <w:t>月</w:t>
      </w:r>
      <w:r>
        <w:rPr>
          <w:rFonts w:hint="eastAsia"/>
          <w:bCs/>
          <w:iCs/>
          <w:color w:val="000000"/>
          <w:sz w:val="24"/>
        </w:rPr>
        <w:t>19</w:t>
      </w:r>
      <w:r>
        <w:rPr>
          <w:bCs/>
          <w:iCs/>
          <w:color w:val="000000"/>
          <w:sz w:val="24"/>
        </w:rPr>
        <w:t>日</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751"/>
      </w:tblGrid>
      <w:tr w:rsidR="007A01BF">
        <w:trPr>
          <w:jc w:val="center"/>
        </w:trPr>
        <w:tc>
          <w:tcPr>
            <w:tcW w:w="1701" w:type="dxa"/>
            <w:vAlign w:val="center"/>
          </w:tcPr>
          <w:p w:rsidR="007A01BF" w:rsidRDefault="000F4966">
            <w:pPr>
              <w:spacing w:line="360" w:lineRule="auto"/>
              <w:jc w:val="center"/>
              <w:rPr>
                <w:bCs/>
                <w:iCs/>
                <w:color w:val="000000"/>
                <w:sz w:val="24"/>
              </w:rPr>
            </w:pPr>
            <w:r>
              <w:rPr>
                <w:bCs/>
                <w:iCs/>
                <w:color w:val="000000"/>
                <w:sz w:val="24"/>
              </w:rPr>
              <w:t>投资者关系活动类别</w:t>
            </w:r>
          </w:p>
        </w:tc>
        <w:tc>
          <w:tcPr>
            <w:tcW w:w="6751" w:type="dxa"/>
          </w:tcPr>
          <w:p w:rsidR="007A01BF" w:rsidRDefault="000F4966">
            <w:pPr>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特定对象调研        </w:t>
            </w:r>
            <w:r>
              <w:rPr>
                <w:rFonts w:ascii="宋体" w:hAnsi="宋体" w:hint="eastAsia"/>
                <w:bCs/>
                <w:iCs/>
                <w:color w:val="000000"/>
                <w:sz w:val="22"/>
              </w:rPr>
              <w:t>□</w:t>
            </w:r>
            <w:r>
              <w:rPr>
                <w:rFonts w:ascii="宋体" w:hAnsi="宋体" w:hint="eastAsia"/>
                <w:sz w:val="22"/>
              </w:rPr>
              <w:t>分析师会议</w:t>
            </w:r>
          </w:p>
          <w:p w:rsidR="007A01BF" w:rsidRDefault="000F4966">
            <w:pPr>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媒体采访            </w:t>
            </w:r>
            <w:r>
              <w:rPr>
                <w:rFonts w:ascii="宋体" w:hAnsi="宋体" w:hint="eastAsia"/>
                <w:bCs/>
                <w:iCs/>
                <w:color w:val="000000"/>
                <w:sz w:val="22"/>
              </w:rPr>
              <w:t>■</w:t>
            </w:r>
            <w:r>
              <w:rPr>
                <w:rFonts w:ascii="宋体" w:hAnsi="宋体" w:hint="eastAsia"/>
                <w:sz w:val="22"/>
              </w:rPr>
              <w:t>业绩说明会</w:t>
            </w:r>
          </w:p>
          <w:p w:rsidR="007A01BF" w:rsidRDefault="000F4966">
            <w:pPr>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新闻发布会          </w:t>
            </w:r>
            <w:r>
              <w:rPr>
                <w:rFonts w:ascii="宋体" w:hAnsi="宋体" w:hint="eastAsia"/>
                <w:bCs/>
                <w:iCs/>
                <w:color w:val="000000"/>
                <w:sz w:val="22"/>
              </w:rPr>
              <w:t>□</w:t>
            </w:r>
            <w:r>
              <w:rPr>
                <w:rFonts w:ascii="宋体" w:hAnsi="宋体" w:hint="eastAsia"/>
                <w:sz w:val="22"/>
              </w:rPr>
              <w:t>路演活动</w:t>
            </w:r>
          </w:p>
          <w:p w:rsidR="007A01BF" w:rsidRDefault="000F4966">
            <w:pPr>
              <w:tabs>
                <w:tab w:val="left" w:pos="2580"/>
                <w:tab w:val="center" w:pos="3199"/>
              </w:tabs>
              <w:spacing w:line="360" w:lineRule="auto"/>
              <w:rPr>
                <w:rFonts w:ascii="宋体" w:hAnsi="宋体"/>
                <w:bCs/>
                <w:iCs/>
                <w:color w:val="000000"/>
                <w:sz w:val="22"/>
              </w:rPr>
            </w:pPr>
            <w:r>
              <w:rPr>
                <w:rFonts w:ascii="宋体" w:hAnsi="宋体" w:hint="eastAsia"/>
                <w:bCs/>
                <w:iCs/>
                <w:color w:val="000000"/>
                <w:sz w:val="22"/>
              </w:rPr>
              <w:t>□</w:t>
            </w:r>
            <w:r>
              <w:rPr>
                <w:rFonts w:ascii="宋体" w:hAnsi="宋体" w:hint="eastAsia"/>
                <w:sz w:val="22"/>
              </w:rPr>
              <w:t xml:space="preserve">现场参观            </w:t>
            </w:r>
            <w:r>
              <w:rPr>
                <w:rFonts w:ascii="宋体" w:hAnsi="宋体" w:hint="eastAsia"/>
                <w:bCs/>
                <w:iCs/>
                <w:color w:val="000000"/>
                <w:sz w:val="22"/>
              </w:rPr>
              <w:t>□</w:t>
            </w:r>
            <w:r>
              <w:rPr>
                <w:rFonts w:ascii="宋体" w:hAnsi="宋体" w:hint="eastAsia"/>
                <w:sz w:val="22"/>
              </w:rPr>
              <w:t>一对一沟通</w:t>
            </w:r>
          </w:p>
          <w:p w:rsidR="007A01BF" w:rsidRDefault="000F4966">
            <w:pPr>
              <w:tabs>
                <w:tab w:val="center" w:pos="3199"/>
              </w:tabs>
              <w:spacing w:line="360" w:lineRule="auto"/>
              <w:rPr>
                <w:bCs/>
                <w:iCs/>
                <w:color w:val="000000"/>
                <w:sz w:val="24"/>
              </w:rPr>
            </w:pPr>
            <w:r>
              <w:rPr>
                <w:rFonts w:ascii="宋体" w:hAnsi="宋体" w:hint="eastAsia"/>
                <w:bCs/>
                <w:iCs/>
                <w:color w:val="000000"/>
                <w:sz w:val="22"/>
              </w:rPr>
              <w:t>□</w:t>
            </w:r>
            <w:r>
              <w:rPr>
                <w:rFonts w:ascii="宋体" w:hAnsi="宋体" w:hint="eastAsia"/>
                <w:sz w:val="22"/>
              </w:rPr>
              <w:t>其他（</w:t>
            </w:r>
            <w:proofErr w:type="gramStart"/>
            <w:r>
              <w:rPr>
                <w:rFonts w:ascii="宋体" w:hAnsi="宋体" w:hint="eastAsia"/>
                <w:sz w:val="22"/>
              </w:rPr>
              <w:t>请文字</w:t>
            </w:r>
            <w:proofErr w:type="gramEnd"/>
            <w:r>
              <w:rPr>
                <w:rFonts w:ascii="宋体" w:hAnsi="宋体" w:hint="eastAsia"/>
                <w:sz w:val="22"/>
              </w:rPr>
              <w:t>说明其他活动内容）</w:t>
            </w:r>
          </w:p>
        </w:tc>
      </w:tr>
      <w:tr w:rsidR="007A01BF">
        <w:trPr>
          <w:trHeight w:val="794"/>
          <w:jc w:val="center"/>
        </w:trPr>
        <w:tc>
          <w:tcPr>
            <w:tcW w:w="1701" w:type="dxa"/>
            <w:vAlign w:val="center"/>
          </w:tcPr>
          <w:p w:rsidR="007A01BF" w:rsidRDefault="000F4966">
            <w:pPr>
              <w:jc w:val="center"/>
              <w:rPr>
                <w:bCs/>
                <w:iCs/>
                <w:color w:val="000000"/>
                <w:sz w:val="24"/>
              </w:rPr>
            </w:pPr>
            <w:r>
              <w:rPr>
                <w:rFonts w:hint="eastAsia"/>
                <w:bCs/>
                <w:iCs/>
                <w:color w:val="000000"/>
                <w:sz w:val="24"/>
              </w:rPr>
              <w:t>君和立成投资：</w:t>
            </w:r>
            <w:r>
              <w:rPr>
                <w:bCs/>
                <w:iCs/>
                <w:color w:val="000000"/>
                <w:sz w:val="24"/>
              </w:rPr>
              <w:t>参与单位名称及人员姓名</w:t>
            </w:r>
          </w:p>
        </w:tc>
        <w:tc>
          <w:tcPr>
            <w:tcW w:w="6751" w:type="dxa"/>
            <w:vAlign w:val="center"/>
          </w:tcPr>
          <w:p w:rsidR="007A01BF" w:rsidRDefault="000F4966">
            <w:pPr>
              <w:jc w:val="left"/>
              <w:rPr>
                <w:bCs/>
                <w:iCs/>
                <w:color w:val="000000"/>
                <w:sz w:val="24"/>
              </w:rPr>
            </w:pPr>
            <w:r>
              <w:rPr>
                <w:bCs/>
                <w:iCs/>
                <w:color w:val="000000"/>
                <w:sz w:val="24"/>
              </w:rPr>
              <w:t>华安证券：</w:t>
            </w:r>
            <w:r>
              <w:rPr>
                <w:rFonts w:ascii="楷体" w:eastAsia="楷体" w:hAnsi="楷体" w:cs="楷体" w:hint="eastAsia"/>
                <w:bCs/>
                <w:iCs/>
                <w:color w:val="000000"/>
                <w:sz w:val="24"/>
              </w:rPr>
              <w:t>张帆、王君翔；</w:t>
            </w:r>
            <w:r>
              <w:rPr>
                <w:rFonts w:hint="eastAsia"/>
                <w:bCs/>
                <w:iCs/>
                <w:color w:val="000000"/>
                <w:sz w:val="24"/>
              </w:rPr>
              <w:t>中信证券：</w:t>
            </w:r>
            <w:r>
              <w:rPr>
                <w:rFonts w:ascii="楷体" w:eastAsia="楷体" w:hAnsi="楷体" w:cs="楷体" w:hint="eastAsia"/>
                <w:bCs/>
                <w:iCs/>
                <w:color w:val="000000"/>
                <w:sz w:val="24"/>
              </w:rPr>
              <w:t>安家正、闵睿、李越；</w:t>
            </w:r>
            <w:r>
              <w:rPr>
                <w:rFonts w:hint="eastAsia"/>
                <w:bCs/>
                <w:iCs/>
                <w:color w:val="000000"/>
                <w:sz w:val="24"/>
              </w:rPr>
              <w:t>中银证券：</w:t>
            </w:r>
            <w:r>
              <w:rPr>
                <w:rFonts w:ascii="楷体" w:eastAsia="楷体" w:hAnsi="楷体" w:cs="楷体" w:hint="eastAsia"/>
                <w:bCs/>
                <w:iCs/>
                <w:color w:val="000000"/>
                <w:sz w:val="24"/>
              </w:rPr>
              <w:t>吴锦尧、顾真；</w:t>
            </w:r>
            <w:r>
              <w:rPr>
                <w:rFonts w:hint="eastAsia"/>
                <w:bCs/>
                <w:iCs/>
                <w:color w:val="000000"/>
                <w:sz w:val="24"/>
              </w:rPr>
              <w:t>中银理财：</w:t>
            </w:r>
            <w:r>
              <w:rPr>
                <w:rFonts w:ascii="楷体" w:eastAsia="楷体" w:hAnsi="楷体" w:cs="楷体" w:hint="eastAsia"/>
                <w:bCs/>
                <w:iCs/>
                <w:color w:val="000000"/>
                <w:sz w:val="24"/>
              </w:rPr>
              <w:t>彭柏文；</w:t>
            </w:r>
            <w:r>
              <w:rPr>
                <w:rFonts w:hint="eastAsia"/>
                <w:bCs/>
                <w:iCs/>
                <w:color w:val="000000"/>
                <w:sz w:val="24"/>
              </w:rPr>
              <w:t>财通证券：</w:t>
            </w:r>
            <w:r>
              <w:rPr>
                <w:rFonts w:ascii="楷体" w:eastAsia="楷体" w:hAnsi="楷体" w:cs="楷体" w:hint="eastAsia"/>
                <w:bCs/>
                <w:iCs/>
                <w:color w:val="000000"/>
                <w:sz w:val="24"/>
              </w:rPr>
              <w:t>韩家宝、张萌；</w:t>
            </w:r>
            <w:r>
              <w:rPr>
                <w:rFonts w:hint="eastAsia"/>
                <w:bCs/>
                <w:iCs/>
                <w:color w:val="000000"/>
                <w:sz w:val="24"/>
              </w:rPr>
              <w:t>财通基金：</w:t>
            </w:r>
            <w:r>
              <w:rPr>
                <w:rFonts w:ascii="楷体" w:eastAsia="楷体" w:hAnsi="楷体" w:cs="楷体" w:hint="eastAsia"/>
                <w:bCs/>
                <w:iCs/>
                <w:color w:val="000000"/>
                <w:sz w:val="24"/>
              </w:rPr>
              <w:t>王靖瑄；</w:t>
            </w:r>
            <w:r>
              <w:rPr>
                <w:rFonts w:hint="eastAsia"/>
                <w:bCs/>
                <w:iCs/>
                <w:color w:val="000000"/>
                <w:sz w:val="24"/>
              </w:rPr>
              <w:t>中邮基金：</w:t>
            </w:r>
            <w:r>
              <w:rPr>
                <w:rFonts w:ascii="楷体" w:eastAsia="楷体" w:hAnsi="楷体" w:cs="楷体" w:hint="eastAsia"/>
                <w:bCs/>
                <w:iCs/>
                <w:color w:val="000000"/>
                <w:sz w:val="24"/>
              </w:rPr>
              <w:t>张子璇；</w:t>
            </w:r>
            <w:r>
              <w:rPr>
                <w:rFonts w:hint="eastAsia"/>
                <w:bCs/>
                <w:iCs/>
                <w:color w:val="000000"/>
                <w:sz w:val="24"/>
              </w:rPr>
              <w:t>开源证券：</w:t>
            </w:r>
            <w:r>
              <w:rPr>
                <w:rFonts w:ascii="楷体" w:eastAsia="楷体" w:hAnsi="楷体" w:cs="楷体" w:hint="eastAsia"/>
                <w:bCs/>
                <w:iCs/>
                <w:color w:val="000000"/>
                <w:sz w:val="24"/>
              </w:rPr>
              <w:t>王炳辉、熊亚威；</w:t>
            </w:r>
            <w:r>
              <w:rPr>
                <w:rFonts w:hint="eastAsia"/>
                <w:bCs/>
                <w:iCs/>
                <w:color w:val="000000"/>
                <w:sz w:val="24"/>
              </w:rPr>
              <w:t>兴业证券：</w:t>
            </w:r>
            <w:r>
              <w:rPr>
                <w:rFonts w:ascii="楷体" w:eastAsia="楷体" w:hAnsi="楷体" w:cs="楷体" w:hint="eastAsia"/>
                <w:bCs/>
                <w:iCs/>
                <w:color w:val="000000"/>
                <w:sz w:val="24"/>
              </w:rPr>
              <w:t>杨志芳、史一粟；</w:t>
            </w:r>
            <w:r>
              <w:rPr>
                <w:rFonts w:hint="eastAsia"/>
                <w:bCs/>
                <w:iCs/>
                <w:color w:val="000000"/>
                <w:sz w:val="24"/>
              </w:rPr>
              <w:t>天风证券：</w:t>
            </w:r>
            <w:r>
              <w:rPr>
                <w:rFonts w:ascii="楷体" w:eastAsia="楷体" w:hAnsi="楷体" w:cs="楷体" w:hint="eastAsia"/>
                <w:bCs/>
                <w:iCs/>
                <w:color w:val="000000"/>
                <w:sz w:val="24"/>
              </w:rPr>
              <w:t>高鑫、厉泽昭；</w:t>
            </w:r>
            <w:r>
              <w:rPr>
                <w:rFonts w:hint="eastAsia"/>
                <w:bCs/>
                <w:iCs/>
                <w:color w:val="000000"/>
                <w:sz w:val="24"/>
              </w:rPr>
              <w:t>国联证券：</w:t>
            </w:r>
            <w:r>
              <w:rPr>
                <w:rFonts w:ascii="楷体" w:eastAsia="楷体" w:hAnsi="楷体" w:cs="楷体" w:hint="eastAsia"/>
                <w:bCs/>
                <w:iCs/>
                <w:color w:val="000000"/>
                <w:sz w:val="24"/>
              </w:rPr>
              <w:t>张旭；</w:t>
            </w:r>
            <w:r>
              <w:rPr>
                <w:rFonts w:hint="eastAsia"/>
                <w:bCs/>
                <w:iCs/>
                <w:color w:val="000000"/>
                <w:sz w:val="24"/>
              </w:rPr>
              <w:t>民生证券：</w:t>
            </w:r>
            <w:r>
              <w:rPr>
                <w:rFonts w:ascii="楷体" w:eastAsia="楷体" w:hAnsi="楷体" w:cs="楷体" w:hint="eastAsia"/>
                <w:bCs/>
                <w:iCs/>
                <w:color w:val="000000"/>
                <w:sz w:val="24"/>
              </w:rPr>
              <w:t>匡人雷、周晓萌；</w:t>
            </w:r>
            <w:r>
              <w:rPr>
                <w:rFonts w:hint="eastAsia"/>
                <w:bCs/>
                <w:iCs/>
                <w:color w:val="000000"/>
                <w:sz w:val="24"/>
              </w:rPr>
              <w:t>信达证券：</w:t>
            </w:r>
            <w:r>
              <w:rPr>
                <w:rFonts w:ascii="楷体" w:eastAsia="楷体" w:hAnsi="楷体" w:cs="楷体" w:hint="eastAsia"/>
                <w:bCs/>
                <w:iCs/>
                <w:color w:val="000000"/>
                <w:sz w:val="24"/>
              </w:rPr>
              <w:t>王锐；</w:t>
            </w:r>
            <w:r>
              <w:rPr>
                <w:rFonts w:hint="eastAsia"/>
                <w:bCs/>
                <w:iCs/>
                <w:color w:val="000000"/>
                <w:sz w:val="24"/>
              </w:rPr>
              <w:t>方正证券</w:t>
            </w:r>
            <w:r>
              <w:rPr>
                <w:rFonts w:hint="eastAsia"/>
                <w:bCs/>
                <w:iCs/>
                <w:color w:val="000000"/>
                <w:sz w:val="24"/>
              </w:rPr>
              <w:t>:</w:t>
            </w:r>
            <w:r>
              <w:rPr>
                <w:rFonts w:ascii="楷体" w:eastAsia="楷体" w:hAnsi="楷体" w:cs="楷体" w:hint="eastAsia"/>
                <w:bCs/>
                <w:iCs/>
                <w:color w:val="000000"/>
                <w:sz w:val="24"/>
              </w:rPr>
              <w:t>赵璐;</w:t>
            </w:r>
            <w:r>
              <w:rPr>
                <w:rFonts w:hint="eastAsia"/>
                <w:bCs/>
                <w:iCs/>
                <w:color w:val="000000"/>
                <w:sz w:val="24"/>
              </w:rPr>
              <w:t>招商证券</w:t>
            </w:r>
            <w:r>
              <w:rPr>
                <w:rFonts w:hint="eastAsia"/>
                <w:bCs/>
                <w:iCs/>
                <w:color w:val="000000"/>
                <w:sz w:val="24"/>
              </w:rPr>
              <w:t>:</w:t>
            </w:r>
            <w:proofErr w:type="gramStart"/>
            <w:r>
              <w:rPr>
                <w:rFonts w:ascii="楷体" w:eastAsia="楷体" w:hAnsi="楷体" w:cs="楷体" w:hint="eastAsia"/>
                <w:bCs/>
                <w:iCs/>
                <w:color w:val="000000"/>
                <w:sz w:val="24"/>
              </w:rPr>
              <w:t>吴洋</w:t>
            </w:r>
            <w:proofErr w:type="gramEnd"/>
            <w:r>
              <w:rPr>
                <w:rFonts w:ascii="楷体" w:eastAsia="楷体" w:hAnsi="楷体" w:cs="楷体" w:hint="eastAsia"/>
                <w:bCs/>
                <w:iCs/>
                <w:color w:val="000000"/>
                <w:sz w:val="24"/>
              </w:rPr>
              <w:t>;</w:t>
            </w:r>
            <w:r>
              <w:rPr>
                <w:rFonts w:hint="eastAsia"/>
                <w:bCs/>
                <w:iCs/>
                <w:color w:val="000000"/>
                <w:sz w:val="24"/>
              </w:rPr>
              <w:t>华福证券：</w:t>
            </w:r>
            <w:r>
              <w:rPr>
                <w:rFonts w:ascii="楷体" w:eastAsia="楷体" w:hAnsi="楷体" w:cs="楷体" w:hint="eastAsia"/>
                <w:bCs/>
                <w:iCs/>
                <w:color w:val="000000"/>
                <w:sz w:val="24"/>
              </w:rPr>
              <w:t>范笑男；</w:t>
            </w:r>
            <w:r>
              <w:rPr>
                <w:rFonts w:hint="eastAsia"/>
                <w:bCs/>
                <w:iCs/>
                <w:color w:val="000000"/>
                <w:sz w:val="24"/>
              </w:rPr>
              <w:t>中航证券：</w:t>
            </w:r>
            <w:r>
              <w:rPr>
                <w:rFonts w:ascii="楷体" w:eastAsia="楷体" w:hAnsi="楷体" w:cs="楷体" w:hint="eastAsia"/>
                <w:bCs/>
                <w:iCs/>
                <w:color w:val="000000"/>
                <w:sz w:val="24"/>
              </w:rPr>
              <w:t>王卓亚；</w:t>
            </w:r>
            <w:r>
              <w:rPr>
                <w:rFonts w:hint="eastAsia"/>
                <w:bCs/>
                <w:iCs/>
                <w:color w:val="000000"/>
                <w:sz w:val="24"/>
              </w:rPr>
              <w:t>国泰君安：</w:t>
            </w:r>
            <w:r>
              <w:rPr>
                <w:rFonts w:ascii="楷体" w:eastAsia="楷体" w:hAnsi="楷体" w:cs="楷体" w:hint="eastAsia"/>
                <w:bCs/>
                <w:iCs/>
                <w:color w:val="000000"/>
                <w:sz w:val="24"/>
              </w:rPr>
              <w:t>朱攀、张越；</w:t>
            </w:r>
            <w:r>
              <w:rPr>
                <w:rFonts w:hint="eastAsia"/>
                <w:bCs/>
                <w:iCs/>
                <w:color w:val="000000"/>
                <w:sz w:val="24"/>
              </w:rPr>
              <w:t>国信证券：</w:t>
            </w:r>
            <w:r>
              <w:rPr>
                <w:rFonts w:ascii="楷体" w:eastAsia="楷体" w:hAnsi="楷体" w:cs="楷体" w:hint="eastAsia"/>
                <w:bCs/>
                <w:iCs/>
                <w:color w:val="000000"/>
                <w:sz w:val="24"/>
              </w:rPr>
              <w:t>樊金璐、王蔚祺；</w:t>
            </w:r>
            <w:r>
              <w:rPr>
                <w:rFonts w:hint="eastAsia"/>
                <w:bCs/>
                <w:iCs/>
                <w:color w:val="000000"/>
                <w:sz w:val="24"/>
              </w:rPr>
              <w:t>华龙证券：</w:t>
            </w:r>
            <w:r>
              <w:rPr>
                <w:rFonts w:ascii="楷体" w:eastAsia="楷体" w:hAnsi="楷体" w:cs="楷体" w:hint="eastAsia"/>
                <w:bCs/>
                <w:iCs/>
                <w:color w:val="000000"/>
                <w:sz w:val="24"/>
              </w:rPr>
              <w:t>邢甜；</w:t>
            </w:r>
            <w:r>
              <w:rPr>
                <w:rFonts w:hint="eastAsia"/>
                <w:bCs/>
                <w:iCs/>
                <w:color w:val="000000"/>
                <w:sz w:val="24"/>
              </w:rPr>
              <w:t>华鑫证券：</w:t>
            </w:r>
            <w:r>
              <w:rPr>
                <w:rFonts w:ascii="楷体" w:eastAsia="楷体" w:hAnsi="楷体" w:cs="楷体" w:hint="eastAsia"/>
                <w:bCs/>
                <w:iCs/>
                <w:color w:val="000000"/>
                <w:sz w:val="24"/>
              </w:rPr>
              <w:t>臧天律；</w:t>
            </w:r>
            <w:r>
              <w:rPr>
                <w:rFonts w:hint="eastAsia"/>
                <w:bCs/>
                <w:iCs/>
                <w:color w:val="000000"/>
                <w:sz w:val="24"/>
              </w:rPr>
              <w:t>中</w:t>
            </w:r>
            <w:proofErr w:type="gramStart"/>
            <w:r>
              <w:rPr>
                <w:rFonts w:hint="eastAsia"/>
                <w:bCs/>
                <w:iCs/>
                <w:color w:val="000000"/>
                <w:sz w:val="24"/>
              </w:rPr>
              <w:t>信建投证券</w:t>
            </w:r>
            <w:proofErr w:type="gramEnd"/>
            <w:r>
              <w:rPr>
                <w:rFonts w:hint="eastAsia"/>
                <w:bCs/>
                <w:iCs/>
                <w:color w:val="000000"/>
                <w:sz w:val="24"/>
              </w:rPr>
              <w:t>：</w:t>
            </w:r>
            <w:proofErr w:type="gramStart"/>
            <w:r>
              <w:rPr>
                <w:rFonts w:ascii="楷体" w:eastAsia="楷体" w:hAnsi="楷体" w:cs="楷体" w:hint="eastAsia"/>
                <w:bCs/>
                <w:iCs/>
                <w:color w:val="000000"/>
                <w:sz w:val="24"/>
              </w:rPr>
              <w:t>屈文敏</w:t>
            </w:r>
            <w:proofErr w:type="gramEnd"/>
            <w:r>
              <w:rPr>
                <w:rFonts w:ascii="楷体" w:eastAsia="楷体" w:hAnsi="楷体" w:cs="楷体" w:hint="eastAsia"/>
                <w:bCs/>
                <w:iCs/>
                <w:color w:val="000000"/>
                <w:sz w:val="24"/>
              </w:rPr>
              <w:t>；</w:t>
            </w:r>
            <w:r>
              <w:rPr>
                <w:rFonts w:hint="eastAsia"/>
                <w:bCs/>
                <w:iCs/>
                <w:color w:val="000000"/>
                <w:sz w:val="24"/>
              </w:rPr>
              <w:t>中金公司：</w:t>
            </w:r>
            <w:r>
              <w:rPr>
                <w:rFonts w:ascii="楷体" w:eastAsia="楷体" w:hAnsi="楷体" w:cs="楷体" w:hint="eastAsia"/>
                <w:bCs/>
                <w:iCs/>
                <w:color w:val="000000"/>
                <w:sz w:val="24"/>
              </w:rPr>
              <w:t>王梓琳、郭威秀、张琮翎；</w:t>
            </w:r>
            <w:r>
              <w:rPr>
                <w:rFonts w:hint="eastAsia"/>
                <w:bCs/>
                <w:iCs/>
                <w:color w:val="000000"/>
                <w:sz w:val="24"/>
              </w:rPr>
              <w:t>德</w:t>
            </w:r>
            <w:proofErr w:type="gramStart"/>
            <w:r>
              <w:rPr>
                <w:rFonts w:hint="eastAsia"/>
                <w:bCs/>
                <w:iCs/>
                <w:color w:val="000000"/>
                <w:sz w:val="24"/>
              </w:rPr>
              <w:t>邦</w:t>
            </w:r>
            <w:proofErr w:type="gramEnd"/>
            <w:r>
              <w:rPr>
                <w:rFonts w:hint="eastAsia"/>
                <w:bCs/>
                <w:iCs/>
                <w:color w:val="000000"/>
                <w:sz w:val="24"/>
              </w:rPr>
              <w:t>证券：</w:t>
            </w:r>
            <w:r>
              <w:rPr>
                <w:rFonts w:ascii="楷体" w:eastAsia="楷体" w:hAnsi="楷体" w:cs="楷体" w:hint="eastAsia"/>
                <w:bCs/>
                <w:iCs/>
                <w:color w:val="000000"/>
                <w:sz w:val="24"/>
              </w:rPr>
              <w:t>唐保威、李天帅；</w:t>
            </w:r>
            <w:r>
              <w:rPr>
                <w:rFonts w:hint="eastAsia"/>
                <w:bCs/>
                <w:iCs/>
                <w:color w:val="000000"/>
                <w:sz w:val="24"/>
              </w:rPr>
              <w:t>国金机械：</w:t>
            </w:r>
            <w:r>
              <w:rPr>
                <w:rFonts w:ascii="楷体" w:eastAsia="楷体" w:hAnsi="楷体" w:cs="楷体" w:hint="eastAsia"/>
                <w:bCs/>
                <w:iCs/>
                <w:color w:val="000000"/>
                <w:sz w:val="24"/>
              </w:rPr>
              <w:t>李嘉伦；博时基金：万丽；</w:t>
            </w:r>
            <w:r>
              <w:rPr>
                <w:rFonts w:hint="eastAsia"/>
                <w:bCs/>
                <w:iCs/>
                <w:color w:val="000000"/>
                <w:sz w:val="24"/>
              </w:rPr>
              <w:t>东方基金：</w:t>
            </w:r>
            <w:r>
              <w:rPr>
                <w:rFonts w:ascii="楷体" w:eastAsia="楷体" w:hAnsi="楷体" w:cs="楷体" w:hint="eastAsia"/>
                <w:bCs/>
                <w:iCs/>
                <w:color w:val="000000"/>
                <w:sz w:val="24"/>
              </w:rPr>
              <w:t>张阳；</w:t>
            </w:r>
            <w:proofErr w:type="gramStart"/>
            <w:r>
              <w:rPr>
                <w:rFonts w:hint="eastAsia"/>
                <w:bCs/>
                <w:iCs/>
                <w:color w:val="000000"/>
                <w:sz w:val="24"/>
              </w:rPr>
              <w:t>敦</w:t>
            </w:r>
            <w:proofErr w:type="gramEnd"/>
            <w:r>
              <w:rPr>
                <w:rFonts w:hint="eastAsia"/>
                <w:bCs/>
                <w:iCs/>
                <w:color w:val="000000"/>
                <w:sz w:val="24"/>
              </w:rPr>
              <w:t>和资产：</w:t>
            </w:r>
            <w:r>
              <w:rPr>
                <w:rFonts w:ascii="楷体" w:eastAsia="楷体" w:hAnsi="楷体" w:cs="楷体" w:hint="eastAsia"/>
                <w:bCs/>
                <w:iCs/>
                <w:color w:val="000000"/>
                <w:sz w:val="24"/>
              </w:rPr>
              <w:t>张志洲；</w:t>
            </w:r>
            <w:proofErr w:type="gramStart"/>
            <w:r>
              <w:rPr>
                <w:rFonts w:hint="eastAsia"/>
                <w:bCs/>
                <w:iCs/>
                <w:color w:val="000000"/>
                <w:sz w:val="24"/>
              </w:rPr>
              <w:t>重湖私募</w:t>
            </w:r>
            <w:proofErr w:type="gramEnd"/>
            <w:r>
              <w:rPr>
                <w:rFonts w:hint="eastAsia"/>
                <w:bCs/>
                <w:iCs/>
                <w:color w:val="000000"/>
                <w:sz w:val="24"/>
              </w:rPr>
              <w:t>基金</w:t>
            </w:r>
            <w:r>
              <w:rPr>
                <w:rFonts w:ascii="楷体" w:eastAsia="楷体" w:hAnsi="楷体" w:cs="楷体" w:hint="eastAsia"/>
                <w:bCs/>
                <w:iCs/>
                <w:color w:val="000000"/>
                <w:sz w:val="24"/>
              </w:rPr>
              <w:t>：张晓昭；</w:t>
            </w:r>
            <w:proofErr w:type="gramStart"/>
            <w:r>
              <w:rPr>
                <w:rFonts w:hint="eastAsia"/>
                <w:bCs/>
                <w:iCs/>
                <w:color w:val="000000"/>
                <w:sz w:val="24"/>
              </w:rPr>
              <w:t>弘康人寿</w:t>
            </w:r>
            <w:proofErr w:type="gramEnd"/>
            <w:r>
              <w:rPr>
                <w:rFonts w:hint="eastAsia"/>
                <w:bCs/>
                <w:iCs/>
                <w:color w:val="000000"/>
                <w:sz w:val="24"/>
              </w:rPr>
              <w:t>：</w:t>
            </w:r>
            <w:r>
              <w:rPr>
                <w:rFonts w:ascii="楷体" w:eastAsia="楷体" w:hAnsi="楷体" w:cs="楷体" w:hint="eastAsia"/>
                <w:bCs/>
                <w:iCs/>
                <w:color w:val="000000"/>
                <w:sz w:val="24"/>
              </w:rPr>
              <w:t>李鑫；</w:t>
            </w:r>
            <w:r>
              <w:rPr>
                <w:rFonts w:hint="eastAsia"/>
                <w:bCs/>
                <w:iCs/>
                <w:color w:val="000000"/>
                <w:sz w:val="24"/>
              </w:rPr>
              <w:t>华商基金：</w:t>
            </w:r>
            <w:r>
              <w:rPr>
                <w:rFonts w:ascii="楷体" w:eastAsia="楷体" w:hAnsi="楷体" w:cs="楷体" w:hint="eastAsia"/>
                <w:bCs/>
                <w:iCs/>
                <w:color w:val="000000"/>
                <w:sz w:val="24"/>
              </w:rPr>
              <w:t>文育高；</w:t>
            </w:r>
            <w:r>
              <w:rPr>
                <w:rFonts w:hint="eastAsia"/>
                <w:bCs/>
                <w:iCs/>
                <w:color w:val="000000"/>
                <w:sz w:val="24"/>
              </w:rPr>
              <w:t>施罗德基金：</w:t>
            </w:r>
            <w:proofErr w:type="gramStart"/>
            <w:r>
              <w:rPr>
                <w:rFonts w:ascii="楷体" w:eastAsia="楷体" w:hAnsi="楷体" w:cs="楷体" w:hint="eastAsia"/>
                <w:bCs/>
                <w:iCs/>
                <w:color w:val="000000"/>
                <w:sz w:val="24"/>
              </w:rPr>
              <w:t>高王峰</w:t>
            </w:r>
            <w:proofErr w:type="gramEnd"/>
            <w:r>
              <w:rPr>
                <w:rFonts w:ascii="楷体" w:eastAsia="楷体" w:hAnsi="楷体" w:cs="楷体" w:hint="eastAsia"/>
                <w:bCs/>
                <w:iCs/>
                <w:color w:val="000000"/>
                <w:sz w:val="24"/>
              </w:rPr>
              <w:t>；</w:t>
            </w:r>
            <w:r>
              <w:rPr>
                <w:rFonts w:hint="eastAsia"/>
                <w:bCs/>
                <w:iCs/>
                <w:color w:val="000000"/>
                <w:sz w:val="24"/>
              </w:rPr>
              <w:t>金鹰基金</w:t>
            </w:r>
            <w:r>
              <w:rPr>
                <w:rFonts w:hint="eastAsia"/>
                <w:bCs/>
                <w:iCs/>
                <w:color w:val="000000"/>
                <w:sz w:val="24"/>
              </w:rPr>
              <w:t>:</w:t>
            </w:r>
            <w:r>
              <w:rPr>
                <w:rFonts w:ascii="楷体" w:eastAsia="楷体" w:hAnsi="楷体" w:cs="楷体" w:hint="eastAsia"/>
                <w:bCs/>
                <w:iCs/>
                <w:color w:val="000000"/>
                <w:sz w:val="24"/>
              </w:rPr>
              <w:t>陈颖;</w:t>
            </w:r>
            <w:r>
              <w:rPr>
                <w:rFonts w:hint="eastAsia"/>
                <w:bCs/>
                <w:iCs/>
                <w:color w:val="000000"/>
                <w:sz w:val="24"/>
              </w:rPr>
              <w:t>进门财经</w:t>
            </w:r>
            <w:r>
              <w:rPr>
                <w:rFonts w:hint="eastAsia"/>
                <w:bCs/>
                <w:iCs/>
                <w:color w:val="000000"/>
                <w:sz w:val="24"/>
              </w:rPr>
              <w:t>:</w:t>
            </w:r>
            <w:r>
              <w:rPr>
                <w:rFonts w:ascii="楷体" w:eastAsia="楷体" w:hAnsi="楷体" w:cs="楷体" w:hint="eastAsia"/>
                <w:bCs/>
                <w:iCs/>
                <w:color w:val="000000"/>
                <w:sz w:val="24"/>
              </w:rPr>
              <w:t>张琰融、林曼莎；</w:t>
            </w:r>
            <w:r>
              <w:rPr>
                <w:rFonts w:hint="eastAsia"/>
                <w:bCs/>
                <w:iCs/>
                <w:color w:val="000000"/>
                <w:sz w:val="24"/>
              </w:rPr>
              <w:t>景顺长城基金：</w:t>
            </w:r>
            <w:r>
              <w:rPr>
                <w:rFonts w:ascii="楷体" w:eastAsia="楷体" w:hAnsi="楷体" w:cs="楷体" w:hint="eastAsia"/>
                <w:bCs/>
                <w:iCs/>
                <w:color w:val="000000"/>
                <w:sz w:val="24"/>
              </w:rPr>
              <w:t>李南西；</w:t>
            </w:r>
            <w:proofErr w:type="gramStart"/>
            <w:r>
              <w:rPr>
                <w:rFonts w:hint="eastAsia"/>
                <w:bCs/>
                <w:iCs/>
                <w:color w:val="000000"/>
                <w:sz w:val="24"/>
              </w:rPr>
              <w:t>宁银理财</w:t>
            </w:r>
            <w:proofErr w:type="gramEnd"/>
            <w:r>
              <w:rPr>
                <w:rFonts w:hint="eastAsia"/>
                <w:bCs/>
                <w:iCs/>
                <w:color w:val="000000"/>
                <w:sz w:val="24"/>
              </w:rPr>
              <w:t>：</w:t>
            </w:r>
            <w:r>
              <w:rPr>
                <w:rFonts w:ascii="楷体" w:eastAsia="楷体" w:hAnsi="楷体" w:cs="楷体" w:hint="eastAsia"/>
                <w:bCs/>
                <w:iCs/>
                <w:color w:val="000000"/>
                <w:sz w:val="24"/>
              </w:rPr>
              <w:t>丁雨婷；</w:t>
            </w:r>
            <w:r>
              <w:rPr>
                <w:rFonts w:hint="eastAsia"/>
                <w:bCs/>
                <w:iCs/>
                <w:color w:val="000000"/>
                <w:sz w:val="24"/>
              </w:rPr>
              <w:t>青</w:t>
            </w:r>
            <w:proofErr w:type="gramStart"/>
            <w:r>
              <w:rPr>
                <w:rFonts w:hint="eastAsia"/>
                <w:bCs/>
                <w:iCs/>
                <w:color w:val="000000"/>
                <w:sz w:val="24"/>
              </w:rPr>
              <w:t>骊</w:t>
            </w:r>
            <w:proofErr w:type="gramEnd"/>
            <w:r>
              <w:rPr>
                <w:rFonts w:hint="eastAsia"/>
                <w:bCs/>
                <w:iCs/>
                <w:color w:val="000000"/>
                <w:sz w:val="24"/>
              </w:rPr>
              <w:t>投资：</w:t>
            </w:r>
            <w:r>
              <w:rPr>
                <w:rFonts w:ascii="楷体" w:eastAsia="楷体" w:hAnsi="楷体" w:cs="楷体" w:hint="eastAsia"/>
                <w:bCs/>
                <w:iCs/>
                <w:color w:val="000000"/>
                <w:sz w:val="24"/>
              </w:rPr>
              <w:t>赵栋；</w:t>
            </w:r>
            <w:r>
              <w:rPr>
                <w:rFonts w:hint="eastAsia"/>
                <w:bCs/>
                <w:iCs/>
                <w:color w:val="000000"/>
                <w:sz w:val="24"/>
              </w:rPr>
              <w:t>银华基金：</w:t>
            </w:r>
            <w:r>
              <w:rPr>
                <w:rFonts w:ascii="楷体" w:eastAsia="楷体" w:hAnsi="楷体" w:cs="楷体" w:hint="eastAsia"/>
                <w:bCs/>
                <w:iCs/>
                <w:color w:val="000000"/>
                <w:sz w:val="24"/>
              </w:rPr>
              <w:t>张梦龙；</w:t>
            </w:r>
            <w:r>
              <w:rPr>
                <w:rFonts w:hint="eastAsia"/>
                <w:bCs/>
                <w:iCs/>
                <w:color w:val="000000"/>
                <w:sz w:val="24"/>
              </w:rPr>
              <w:t>金恒宇私募基金：</w:t>
            </w:r>
            <w:r>
              <w:rPr>
                <w:rFonts w:ascii="楷体" w:eastAsia="楷体" w:hAnsi="楷体" w:cs="楷体" w:hint="eastAsia"/>
                <w:bCs/>
                <w:iCs/>
                <w:color w:val="000000"/>
                <w:sz w:val="24"/>
              </w:rPr>
              <w:t>董铱群；</w:t>
            </w:r>
            <w:r>
              <w:rPr>
                <w:rFonts w:hint="eastAsia"/>
                <w:bCs/>
                <w:iCs/>
                <w:color w:val="000000"/>
                <w:sz w:val="24"/>
              </w:rPr>
              <w:t>上海常春藤私募基：</w:t>
            </w:r>
            <w:r>
              <w:rPr>
                <w:rFonts w:ascii="楷体" w:eastAsia="楷体" w:hAnsi="楷体" w:cs="楷体" w:hint="eastAsia"/>
                <w:bCs/>
                <w:iCs/>
                <w:color w:val="000000"/>
                <w:sz w:val="24"/>
              </w:rPr>
              <w:t>蒋煜；</w:t>
            </w:r>
            <w:r>
              <w:rPr>
                <w:rFonts w:hint="eastAsia"/>
                <w:bCs/>
                <w:iCs/>
                <w:color w:val="000000"/>
                <w:sz w:val="24"/>
              </w:rPr>
              <w:t>复星高科技：</w:t>
            </w:r>
            <w:r>
              <w:rPr>
                <w:rFonts w:ascii="楷体" w:eastAsia="楷体" w:hAnsi="楷体" w:cs="楷体" w:hint="eastAsia"/>
                <w:bCs/>
                <w:iCs/>
                <w:color w:val="000000"/>
                <w:sz w:val="24"/>
              </w:rPr>
              <w:t>曾帅；</w:t>
            </w:r>
            <w:r>
              <w:rPr>
                <w:rFonts w:hint="eastAsia"/>
                <w:bCs/>
                <w:iCs/>
                <w:color w:val="000000"/>
                <w:sz w:val="24"/>
              </w:rPr>
              <w:t>上海国际信托：</w:t>
            </w:r>
            <w:r>
              <w:rPr>
                <w:rFonts w:ascii="楷体" w:eastAsia="楷体" w:hAnsi="楷体" w:cs="楷体" w:hint="eastAsia"/>
                <w:bCs/>
                <w:iCs/>
                <w:color w:val="000000"/>
                <w:sz w:val="24"/>
              </w:rPr>
              <w:t>陆方；</w:t>
            </w:r>
            <w:proofErr w:type="gramStart"/>
            <w:r>
              <w:rPr>
                <w:rFonts w:ascii="楷体" w:eastAsia="楷体" w:hAnsi="楷体" w:cs="楷体" w:hint="eastAsia"/>
                <w:bCs/>
                <w:iCs/>
                <w:color w:val="000000"/>
                <w:sz w:val="24"/>
              </w:rPr>
              <w:t>金搏扬</w:t>
            </w:r>
            <w:proofErr w:type="gramEnd"/>
            <w:r>
              <w:rPr>
                <w:rFonts w:ascii="楷体" w:eastAsia="楷体" w:hAnsi="楷体" w:cs="楷体" w:hint="eastAsia"/>
                <w:bCs/>
                <w:iCs/>
                <w:color w:val="000000"/>
                <w:sz w:val="24"/>
              </w:rPr>
              <w:t>；</w:t>
            </w:r>
            <w:r>
              <w:rPr>
                <w:rFonts w:hint="eastAsia"/>
                <w:bCs/>
                <w:iCs/>
                <w:color w:val="000000"/>
                <w:sz w:val="24"/>
              </w:rPr>
              <w:t>弥远投资：</w:t>
            </w:r>
            <w:r>
              <w:rPr>
                <w:rFonts w:ascii="楷体" w:eastAsia="楷体" w:hAnsi="楷体" w:cs="楷体" w:hint="eastAsia"/>
                <w:bCs/>
                <w:iCs/>
                <w:color w:val="000000"/>
                <w:sz w:val="24"/>
              </w:rPr>
              <w:t>刘沛力；</w:t>
            </w:r>
            <w:proofErr w:type="gramStart"/>
            <w:r>
              <w:rPr>
                <w:rFonts w:hint="eastAsia"/>
                <w:bCs/>
                <w:iCs/>
                <w:color w:val="000000"/>
                <w:sz w:val="24"/>
              </w:rPr>
              <w:t>适锦商务</w:t>
            </w:r>
            <w:proofErr w:type="gramEnd"/>
            <w:r>
              <w:rPr>
                <w:rFonts w:hint="eastAsia"/>
                <w:bCs/>
                <w:iCs/>
                <w:color w:val="000000"/>
                <w:sz w:val="24"/>
              </w:rPr>
              <w:t>咨询：</w:t>
            </w:r>
            <w:r>
              <w:rPr>
                <w:rFonts w:ascii="楷体" w:eastAsia="楷体" w:hAnsi="楷体" w:cs="楷体" w:hint="eastAsia"/>
                <w:bCs/>
                <w:iCs/>
                <w:color w:val="000000"/>
                <w:sz w:val="24"/>
              </w:rPr>
              <w:t>刘康衡；</w:t>
            </w:r>
            <w:proofErr w:type="gramStart"/>
            <w:r>
              <w:rPr>
                <w:rFonts w:hint="eastAsia"/>
                <w:bCs/>
                <w:iCs/>
                <w:color w:val="000000"/>
                <w:sz w:val="24"/>
              </w:rPr>
              <w:t>前海华杉投资</w:t>
            </w:r>
            <w:proofErr w:type="gramEnd"/>
            <w:r>
              <w:rPr>
                <w:rFonts w:hint="eastAsia"/>
                <w:bCs/>
                <w:iCs/>
                <w:color w:val="000000"/>
                <w:sz w:val="24"/>
              </w:rPr>
              <w:t>：</w:t>
            </w:r>
            <w:r>
              <w:rPr>
                <w:rFonts w:ascii="楷体" w:eastAsia="楷体" w:hAnsi="楷体" w:cs="楷体" w:hint="eastAsia"/>
                <w:bCs/>
                <w:iCs/>
                <w:color w:val="000000"/>
                <w:sz w:val="24"/>
              </w:rPr>
              <w:t>申玉婷；</w:t>
            </w:r>
            <w:r>
              <w:rPr>
                <w:rFonts w:hint="eastAsia"/>
                <w:bCs/>
                <w:iCs/>
                <w:color w:val="000000"/>
                <w:sz w:val="24"/>
              </w:rPr>
              <w:t>发展证券投资基金：</w:t>
            </w:r>
            <w:proofErr w:type="gramStart"/>
            <w:r>
              <w:rPr>
                <w:rFonts w:ascii="楷体" w:eastAsia="楷体" w:hAnsi="楷体" w:cs="楷体" w:hint="eastAsia"/>
                <w:bCs/>
                <w:iCs/>
                <w:color w:val="000000"/>
                <w:sz w:val="24"/>
              </w:rPr>
              <w:t>肖柏辰</w:t>
            </w:r>
            <w:proofErr w:type="gramEnd"/>
            <w:r>
              <w:rPr>
                <w:rFonts w:ascii="楷体" w:eastAsia="楷体" w:hAnsi="楷体" w:cs="楷体" w:hint="eastAsia"/>
                <w:bCs/>
                <w:iCs/>
                <w:color w:val="000000"/>
                <w:sz w:val="24"/>
              </w:rPr>
              <w:t>；</w:t>
            </w:r>
            <w:r>
              <w:rPr>
                <w:rFonts w:hint="eastAsia"/>
                <w:bCs/>
                <w:iCs/>
                <w:color w:val="000000"/>
                <w:sz w:val="24"/>
              </w:rPr>
              <w:t>通用技术投资：</w:t>
            </w:r>
            <w:r>
              <w:rPr>
                <w:rFonts w:ascii="楷体" w:eastAsia="楷体" w:hAnsi="楷体" w:cs="楷体" w:hint="eastAsia"/>
                <w:bCs/>
                <w:iCs/>
                <w:color w:val="000000"/>
                <w:sz w:val="24"/>
              </w:rPr>
              <w:t>刘洋；</w:t>
            </w:r>
            <w:r>
              <w:rPr>
                <w:rFonts w:hint="eastAsia"/>
                <w:bCs/>
                <w:iCs/>
                <w:color w:val="000000"/>
                <w:sz w:val="24"/>
              </w:rPr>
              <w:t>瀑布资产：</w:t>
            </w:r>
            <w:r>
              <w:rPr>
                <w:rFonts w:ascii="楷体" w:eastAsia="楷体" w:hAnsi="楷体" w:cs="楷体" w:hint="eastAsia"/>
                <w:bCs/>
                <w:iCs/>
                <w:color w:val="000000"/>
                <w:sz w:val="24"/>
              </w:rPr>
              <w:t>杨森、孙左君；</w:t>
            </w:r>
            <w:r>
              <w:rPr>
                <w:rFonts w:hint="eastAsia"/>
                <w:bCs/>
                <w:iCs/>
                <w:color w:val="000000"/>
                <w:sz w:val="24"/>
              </w:rPr>
              <w:t>长安信托：</w:t>
            </w:r>
            <w:r>
              <w:rPr>
                <w:rFonts w:ascii="楷体" w:eastAsia="楷体" w:hAnsi="楷体" w:cs="楷体" w:hint="eastAsia"/>
                <w:bCs/>
                <w:iCs/>
                <w:color w:val="000000"/>
                <w:sz w:val="24"/>
              </w:rPr>
              <w:t>戴启明；</w:t>
            </w:r>
            <w:r>
              <w:rPr>
                <w:rFonts w:hint="eastAsia"/>
                <w:bCs/>
                <w:iCs/>
                <w:color w:val="000000"/>
                <w:sz w:val="24"/>
              </w:rPr>
              <w:t>长盛基金：</w:t>
            </w:r>
            <w:r>
              <w:rPr>
                <w:rFonts w:ascii="楷体" w:eastAsia="楷体" w:hAnsi="楷体" w:cs="楷体" w:hint="eastAsia"/>
                <w:bCs/>
                <w:iCs/>
                <w:color w:val="000000"/>
                <w:sz w:val="24"/>
              </w:rPr>
              <w:t>钱文礼;</w:t>
            </w:r>
            <w:r>
              <w:rPr>
                <w:rFonts w:hint="eastAsia"/>
                <w:bCs/>
                <w:iCs/>
                <w:color w:val="000000"/>
                <w:sz w:val="24"/>
              </w:rPr>
              <w:t>银河证券</w:t>
            </w:r>
            <w:r>
              <w:rPr>
                <w:rFonts w:hint="eastAsia"/>
                <w:bCs/>
                <w:iCs/>
                <w:color w:val="000000"/>
                <w:sz w:val="24"/>
              </w:rPr>
              <w:t>:</w:t>
            </w:r>
            <w:proofErr w:type="gramStart"/>
            <w:r>
              <w:rPr>
                <w:rFonts w:ascii="楷体" w:eastAsia="楷体" w:hAnsi="楷体" w:cs="楷体" w:hint="eastAsia"/>
                <w:bCs/>
                <w:iCs/>
                <w:color w:val="000000"/>
                <w:sz w:val="24"/>
              </w:rPr>
              <w:t>刘兰程</w:t>
            </w:r>
            <w:proofErr w:type="gramEnd"/>
            <w:r>
              <w:rPr>
                <w:rFonts w:ascii="楷体" w:eastAsia="楷体" w:hAnsi="楷体" w:cs="楷体" w:hint="eastAsia"/>
                <w:bCs/>
                <w:iCs/>
                <w:color w:val="000000"/>
                <w:sz w:val="24"/>
              </w:rPr>
              <w:t>;</w:t>
            </w:r>
            <w:r>
              <w:rPr>
                <w:rFonts w:hint="eastAsia"/>
                <w:bCs/>
                <w:iCs/>
                <w:color w:val="000000"/>
                <w:sz w:val="24"/>
              </w:rPr>
              <w:t>中欧基金</w:t>
            </w:r>
            <w:r>
              <w:rPr>
                <w:rFonts w:hint="eastAsia"/>
                <w:bCs/>
                <w:iCs/>
                <w:color w:val="000000"/>
                <w:sz w:val="24"/>
              </w:rPr>
              <w:t>:</w:t>
            </w:r>
            <w:r>
              <w:rPr>
                <w:rFonts w:ascii="楷体" w:eastAsia="楷体" w:hAnsi="楷体" w:cs="楷体" w:hint="eastAsia"/>
                <w:bCs/>
                <w:iCs/>
                <w:color w:val="000000"/>
                <w:sz w:val="24"/>
              </w:rPr>
              <w:t>刘寒冰;</w:t>
            </w:r>
            <w:r>
              <w:rPr>
                <w:rFonts w:hint="eastAsia"/>
                <w:bCs/>
                <w:iCs/>
                <w:color w:val="000000"/>
                <w:sz w:val="24"/>
              </w:rPr>
              <w:t>中天汇</w:t>
            </w:r>
            <w:proofErr w:type="gramStart"/>
            <w:r>
              <w:rPr>
                <w:rFonts w:hint="eastAsia"/>
                <w:bCs/>
                <w:iCs/>
                <w:color w:val="000000"/>
                <w:sz w:val="24"/>
              </w:rPr>
              <w:t>富基金</w:t>
            </w:r>
            <w:proofErr w:type="gramEnd"/>
            <w:r>
              <w:rPr>
                <w:rFonts w:hint="eastAsia"/>
                <w:bCs/>
                <w:iCs/>
                <w:color w:val="000000"/>
                <w:sz w:val="24"/>
              </w:rPr>
              <w:t>:</w:t>
            </w:r>
            <w:r>
              <w:rPr>
                <w:rFonts w:ascii="楷体" w:eastAsia="楷体" w:hAnsi="楷体" w:cs="楷体" w:hint="eastAsia"/>
                <w:bCs/>
                <w:iCs/>
                <w:color w:val="000000"/>
                <w:sz w:val="24"/>
              </w:rPr>
              <w:t>许高飞;</w:t>
            </w:r>
            <w:r>
              <w:rPr>
                <w:rFonts w:hint="eastAsia"/>
                <w:bCs/>
                <w:iCs/>
                <w:color w:val="000000"/>
                <w:sz w:val="24"/>
              </w:rPr>
              <w:t>朱雀基金：</w:t>
            </w:r>
            <w:r>
              <w:rPr>
                <w:rFonts w:ascii="楷体" w:eastAsia="楷体" w:hAnsi="楷体" w:cs="楷体" w:hint="eastAsia"/>
                <w:bCs/>
                <w:iCs/>
                <w:color w:val="000000"/>
                <w:sz w:val="24"/>
              </w:rPr>
              <w:t>许可。</w:t>
            </w:r>
          </w:p>
        </w:tc>
      </w:tr>
      <w:tr w:rsidR="007A01BF">
        <w:trPr>
          <w:trHeight w:val="425"/>
          <w:jc w:val="center"/>
        </w:trPr>
        <w:tc>
          <w:tcPr>
            <w:tcW w:w="1701" w:type="dxa"/>
            <w:vAlign w:val="center"/>
          </w:tcPr>
          <w:p w:rsidR="007A01BF" w:rsidRDefault="000F4966">
            <w:pPr>
              <w:jc w:val="center"/>
              <w:rPr>
                <w:bCs/>
                <w:iCs/>
                <w:color w:val="000000"/>
                <w:sz w:val="24"/>
              </w:rPr>
            </w:pPr>
            <w:r>
              <w:rPr>
                <w:bCs/>
                <w:iCs/>
                <w:color w:val="000000"/>
                <w:sz w:val="24"/>
              </w:rPr>
              <w:t>时间</w:t>
            </w:r>
          </w:p>
        </w:tc>
        <w:tc>
          <w:tcPr>
            <w:tcW w:w="6751" w:type="dxa"/>
            <w:vAlign w:val="center"/>
          </w:tcPr>
          <w:p w:rsidR="007A01BF" w:rsidRDefault="000F4966">
            <w:pPr>
              <w:jc w:val="left"/>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rPr>
              <w:t>4</w:t>
            </w:r>
            <w:r>
              <w:rPr>
                <w:bCs/>
                <w:iCs/>
                <w:color w:val="000000"/>
                <w:sz w:val="24"/>
              </w:rPr>
              <w:t>月</w:t>
            </w:r>
            <w:r>
              <w:rPr>
                <w:rFonts w:hint="eastAsia"/>
                <w:bCs/>
                <w:iCs/>
                <w:color w:val="000000"/>
                <w:sz w:val="24"/>
              </w:rPr>
              <w:t>19</w:t>
            </w:r>
            <w:r>
              <w:rPr>
                <w:bCs/>
                <w:iCs/>
                <w:color w:val="000000"/>
                <w:sz w:val="24"/>
              </w:rPr>
              <w:t>日</w:t>
            </w:r>
          </w:p>
        </w:tc>
      </w:tr>
      <w:tr w:rsidR="007A01BF">
        <w:trPr>
          <w:trHeight w:val="403"/>
          <w:jc w:val="center"/>
        </w:trPr>
        <w:tc>
          <w:tcPr>
            <w:tcW w:w="1701" w:type="dxa"/>
            <w:vAlign w:val="center"/>
          </w:tcPr>
          <w:p w:rsidR="007A01BF" w:rsidRDefault="000F4966">
            <w:pPr>
              <w:jc w:val="center"/>
              <w:rPr>
                <w:bCs/>
                <w:iCs/>
                <w:color w:val="000000"/>
                <w:sz w:val="24"/>
              </w:rPr>
            </w:pPr>
            <w:r>
              <w:rPr>
                <w:bCs/>
                <w:iCs/>
                <w:color w:val="000000"/>
                <w:sz w:val="24"/>
              </w:rPr>
              <w:t>地点</w:t>
            </w:r>
          </w:p>
        </w:tc>
        <w:tc>
          <w:tcPr>
            <w:tcW w:w="6751" w:type="dxa"/>
            <w:vAlign w:val="center"/>
          </w:tcPr>
          <w:p w:rsidR="007A01BF" w:rsidRDefault="000F4966">
            <w:pPr>
              <w:jc w:val="left"/>
              <w:rPr>
                <w:bCs/>
                <w:iCs/>
                <w:color w:val="000000"/>
                <w:sz w:val="24"/>
              </w:rPr>
            </w:pPr>
            <w:r>
              <w:rPr>
                <w:rFonts w:hint="eastAsia"/>
                <w:bCs/>
                <w:iCs/>
                <w:color w:val="000000"/>
                <w:sz w:val="24"/>
              </w:rPr>
              <w:t>线上会议</w:t>
            </w:r>
          </w:p>
        </w:tc>
      </w:tr>
      <w:tr w:rsidR="007A01BF">
        <w:trPr>
          <w:trHeight w:val="727"/>
          <w:jc w:val="center"/>
        </w:trPr>
        <w:tc>
          <w:tcPr>
            <w:tcW w:w="1701" w:type="dxa"/>
            <w:vAlign w:val="center"/>
          </w:tcPr>
          <w:p w:rsidR="007A01BF" w:rsidRDefault="000F4966">
            <w:pPr>
              <w:snapToGrid w:val="0"/>
              <w:jc w:val="center"/>
              <w:rPr>
                <w:bCs/>
                <w:iCs/>
                <w:color w:val="000000"/>
                <w:sz w:val="24"/>
              </w:rPr>
            </w:pPr>
            <w:r>
              <w:rPr>
                <w:bCs/>
                <w:iCs/>
                <w:color w:val="000000"/>
                <w:sz w:val="24"/>
              </w:rPr>
              <w:t>上市公司</w:t>
            </w:r>
          </w:p>
          <w:p w:rsidR="007A01BF" w:rsidRDefault="000F4966">
            <w:pPr>
              <w:snapToGrid w:val="0"/>
              <w:jc w:val="center"/>
              <w:rPr>
                <w:bCs/>
                <w:iCs/>
                <w:color w:val="000000"/>
                <w:sz w:val="24"/>
              </w:rPr>
            </w:pPr>
            <w:r>
              <w:rPr>
                <w:bCs/>
                <w:iCs/>
                <w:color w:val="000000"/>
                <w:sz w:val="24"/>
              </w:rPr>
              <w:t>接待人员</w:t>
            </w:r>
          </w:p>
        </w:tc>
        <w:tc>
          <w:tcPr>
            <w:tcW w:w="6751" w:type="dxa"/>
            <w:vAlign w:val="center"/>
          </w:tcPr>
          <w:p w:rsidR="007A01BF" w:rsidRDefault="000F4966">
            <w:pPr>
              <w:snapToGrid w:val="0"/>
              <w:jc w:val="left"/>
              <w:rPr>
                <w:bCs/>
                <w:iCs/>
                <w:color w:val="000000"/>
                <w:sz w:val="24"/>
              </w:rPr>
            </w:pPr>
            <w:r>
              <w:rPr>
                <w:rFonts w:hint="eastAsia"/>
                <w:bCs/>
                <w:iCs/>
                <w:color w:val="000000"/>
                <w:sz w:val="24"/>
              </w:rPr>
              <w:t>董事长郭富永、财务总监卫桐言、董事会秘书武锐锐、证券事务代表周怀莲</w:t>
            </w:r>
          </w:p>
        </w:tc>
      </w:tr>
      <w:tr w:rsidR="007A01BF">
        <w:trPr>
          <w:jc w:val="center"/>
        </w:trPr>
        <w:tc>
          <w:tcPr>
            <w:tcW w:w="1701" w:type="dxa"/>
            <w:vAlign w:val="center"/>
          </w:tcPr>
          <w:p w:rsidR="007A01BF" w:rsidRDefault="000F4966">
            <w:pPr>
              <w:spacing w:line="360" w:lineRule="auto"/>
              <w:jc w:val="center"/>
              <w:rPr>
                <w:bCs/>
                <w:iCs/>
                <w:color w:val="000000"/>
                <w:sz w:val="24"/>
              </w:rPr>
            </w:pPr>
            <w:r>
              <w:rPr>
                <w:bCs/>
                <w:iCs/>
                <w:color w:val="000000"/>
                <w:sz w:val="24"/>
              </w:rPr>
              <w:t>投资者关系活动主要内容介绍</w:t>
            </w:r>
          </w:p>
        </w:tc>
        <w:tc>
          <w:tcPr>
            <w:tcW w:w="6751" w:type="dxa"/>
            <w:vAlign w:val="center"/>
          </w:tcPr>
          <w:p w:rsidR="007A01BF" w:rsidRDefault="000F4966">
            <w:pPr>
              <w:spacing w:line="440" w:lineRule="exact"/>
              <w:ind w:firstLineChars="200" w:firstLine="482"/>
              <w:outlineLvl w:val="0"/>
              <w:rPr>
                <w:rFonts w:ascii="宋体" w:hAnsi="宋体"/>
                <w:b/>
                <w:sz w:val="24"/>
              </w:rPr>
            </w:pPr>
            <w:r>
              <w:rPr>
                <w:rFonts w:ascii="宋体" w:hAnsi="宋体" w:hint="eastAsia"/>
                <w:b/>
                <w:sz w:val="24"/>
              </w:rPr>
              <w:t>一</w:t>
            </w:r>
            <w:r>
              <w:rPr>
                <w:rFonts w:ascii="宋体" w:hAnsi="宋体"/>
                <w:b/>
                <w:sz w:val="24"/>
              </w:rPr>
              <w:t>、</w:t>
            </w:r>
            <w:r w:rsidR="00381F6C">
              <w:rPr>
                <w:rFonts w:ascii="宋体" w:hAnsi="宋体" w:hint="eastAsia"/>
                <w:b/>
                <w:sz w:val="24"/>
              </w:rPr>
              <w:t>公司2023年度基本情况介绍</w:t>
            </w:r>
          </w:p>
          <w:p w:rsidR="00381F6C" w:rsidRDefault="00381F6C" w:rsidP="00381F6C">
            <w:pPr>
              <w:spacing w:line="440" w:lineRule="exact"/>
              <w:ind w:firstLineChars="200" w:firstLine="480"/>
              <w:outlineLvl w:val="0"/>
              <w:rPr>
                <w:sz w:val="24"/>
              </w:rPr>
            </w:pPr>
            <w:r w:rsidRPr="00381F6C">
              <w:rPr>
                <w:rFonts w:hint="eastAsia"/>
                <w:sz w:val="24"/>
              </w:rPr>
              <w:t>证券事务代表周怀莲</w:t>
            </w:r>
            <w:r>
              <w:rPr>
                <w:rFonts w:hint="eastAsia"/>
                <w:sz w:val="24"/>
              </w:rPr>
              <w:t>介绍了公司</w:t>
            </w:r>
            <w:r>
              <w:rPr>
                <w:rFonts w:hint="eastAsia"/>
                <w:sz w:val="24"/>
              </w:rPr>
              <w:t>2023</w:t>
            </w:r>
            <w:r>
              <w:rPr>
                <w:rFonts w:hint="eastAsia"/>
                <w:sz w:val="24"/>
              </w:rPr>
              <w:t>年度业绩情况，</w:t>
            </w:r>
            <w:r>
              <w:rPr>
                <w:rFonts w:hint="eastAsia"/>
                <w:sz w:val="24"/>
              </w:rPr>
              <w:t>2023</w:t>
            </w:r>
            <w:r>
              <w:rPr>
                <w:rFonts w:hint="eastAsia"/>
                <w:sz w:val="24"/>
              </w:rPr>
              <w:t>年公司实现</w:t>
            </w:r>
            <w:r>
              <w:rPr>
                <w:sz w:val="24"/>
              </w:rPr>
              <w:t>营业收入</w:t>
            </w:r>
            <w:r>
              <w:rPr>
                <w:sz w:val="24"/>
              </w:rPr>
              <w:t>51.62</w:t>
            </w:r>
            <w:r>
              <w:rPr>
                <w:sz w:val="24"/>
              </w:rPr>
              <w:t>亿元，较上年同期增长</w:t>
            </w:r>
            <w:r>
              <w:rPr>
                <w:sz w:val="24"/>
              </w:rPr>
              <w:t>3.65%</w:t>
            </w:r>
            <w:r>
              <w:rPr>
                <w:sz w:val="24"/>
              </w:rPr>
              <w:t>；实现归属上市公司股东的净利润</w:t>
            </w:r>
            <w:r>
              <w:rPr>
                <w:sz w:val="24"/>
              </w:rPr>
              <w:t>1.54</w:t>
            </w:r>
            <w:r>
              <w:rPr>
                <w:sz w:val="24"/>
              </w:rPr>
              <w:t>亿元，同比减少</w:t>
            </w:r>
            <w:r>
              <w:rPr>
                <w:sz w:val="24"/>
              </w:rPr>
              <w:t>12.62%</w:t>
            </w:r>
            <w:r>
              <w:rPr>
                <w:sz w:val="24"/>
              </w:rPr>
              <w:t>，经营活动产生的现金流</w:t>
            </w:r>
            <w:r>
              <w:rPr>
                <w:sz w:val="24"/>
              </w:rPr>
              <w:t>2.58</w:t>
            </w:r>
            <w:r>
              <w:rPr>
                <w:sz w:val="24"/>
              </w:rPr>
              <w:t>亿元，同比减少</w:t>
            </w:r>
            <w:r>
              <w:rPr>
                <w:sz w:val="24"/>
              </w:rPr>
              <w:lastRenderedPageBreak/>
              <w:t>16.49%</w:t>
            </w:r>
            <w:r>
              <w:rPr>
                <w:sz w:val="24"/>
              </w:rPr>
              <w:t>；毛利率</w:t>
            </w:r>
            <w:r>
              <w:rPr>
                <w:sz w:val="24"/>
              </w:rPr>
              <w:t>15.14%</w:t>
            </w:r>
            <w:r>
              <w:rPr>
                <w:sz w:val="24"/>
              </w:rPr>
              <w:t>，同比增长</w:t>
            </w:r>
            <w:r>
              <w:rPr>
                <w:sz w:val="24"/>
              </w:rPr>
              <w:t>1.13%</w:t>
            </w:r>
            <w:r>
              <w:rPr>
                <w:sz w:val="24"/>
              </w:rPr>
              <w:t>；研发投入</w:t>
            </w:r>
            <w:r>
              <w:rPr>
                <w:sz w:val="24"/>
              </w:rPr>
              <w:t>2.27</w:t>
            </w:r>
            <w:r>
              <w:rPr>
                <w:sz w:val="24"/>
              </w:rPr>
              <w:t>亿元，同比增长</w:t>
            </w:r>
            <w:r>
              <w:rPr>
                <w:sz w:val="24"/>
              </w:rPr>
              <w:t>49.78%</w:t>
            </w:r>
            <w:r>
              <w:rPr>
                <w:sz w:val="24"/>
              </w:rPr>
              <w:t>。</w:t>
            </w:r>
          </w:p>
          <w:p w:rsidR="007A01BF" w:rsidRPr="00381F6C" w:rsidRDefault="00381F6C" w:rsidP="00381F6C">
            <w:pPr>
              <w:spacing w:line="440" w:lineRule="exact"/>
              <w:ind w:firstLineChars="200" w:firstLine="480"/>
              <w:outlineLvl w:val="0"/>
              <w:rPr>
                <w:sz w:val="24"/>
              </w:rPr>
            </w:pPr>
            <w:r w:rsidRPr="00381F6C">
              <w:rPr>
                <w:rFonts w:hint="eastAsia"/>
                <w:sz w:val="24"/>
              </w:rPr>
              <w:t>董事长郭富永</w:t>
            </w:r>
            <w:r>
              <w:rPr>
                <w:rFonts w:hint="eastAsia"/>
                <w:sz w:val="24"/>
              </w:rPr>
              <w:t>基于年报介绍了</w:t>
            </w:r>
            <w:r>
              <w:rPr>
                <w:rFonts w:hint="eastAsia"/>
                <w:sz w:val="24"/>
              </w:rPr>
              <w:t>2023</w:t>
            </w:r>
            <w:r>
              <w:rPr>
                <w:rFonts w:hint="eastAsia"/>
                <w:sz w:val="24"/>
              </w:rPr>
              <w:t>年公司所处行业发展情况及公司</w:t>
            </w:r>
            <w:r>
              <w:rPr>
                <w:rFonts w:hint="eastAsia"/>
                <w:sz w:val="24"/>
              </w:rPr>
              <w:t>2024</w:t>
            </w:r>
            <w:r>
              <w:rPr>
                <w:rFonts w:hint="eastAsia"/>
                <w:sz w:val="24"/>
              </w:rPr>
              <w:t>年发展规划。</w:t>
            </w:r>
          </w:p>
          <w:p w:rsidR="007A01BF" w:rsidRDefault="000F4966">
            <w:pPr>
              <w:numPr>
                <w:ilvl w:val="0"/>
                <w:numId w:val="1"/>
              </w:numPr>
              <w:spacing w:line="440" w:lineRule="exact"/>
              <w:ind w:firstLineChars="200" w:firstLine="482"/>
              <w:outlineLvl w:val="0"/>
              <w:rPr>
                <w:rFonts w:ascii="宋体" w:hAnsi="宋体"/>
                <w:b/>
                <w:sz w:val="24"/>
              </w:rPr>
            </w:pPr>
            <w:r>
              <w:rPr>
                <w:rFonts w:ascii="宋体" w:hAnsi="宋体" w:hint="eastAsia"/>
                <w:b/>
                <w:sz w:val="24"/>
              </w:rPr>
              <w:t>提问交流环节</w:t>
            </w:r>
          </w:p>
          <w:p w:rsidR="007A01BF" w:rsidRDefault="000F4966">
            <w:pPr>
              <w:spacing w:line="440" w:lineRule="exact"/>
              <w:ind w:firstLineChars="200" w:firstLine="482"/>
              <w:outlineLvl w:val="0"/>
              <w:rPr>
                <w:b/>
                <w:bCs/>
                <w:sz w:val="24"/>
              </w:rPr>
            </w:pPr>
            <w:r>
              <w:rPr>
                <w:b/>
                <w:bCs/>
                <w:sz w:val="24"/>
              </w:rPr>
              <w:t>问题</w:t>
            </w:r>
            <w:r>
              <w:rPr>
                <w:b/>
                <w:bCs/>
                <w:sz w:val="24"/>
              </w:rPr>
              <w:t>1</w:t>
            </w:r>
            <w:r>
              <w:rPr>
                <w:b/>
                <w:bCs/>
                <w:sz w:val="24"/>
              </w:rPr>
              <w:t>：请结合行业特点，概况分析一下</w:t>
            </w:r>
            <w:r>
              <w:rPr>
                <w:b/>
                <w:bCs/>
                <w:sz w:val="24"/>
              </w:rPr>
              <w:t>2023</w:t>
            </w:r>
            <w:r>
              <w:rPr>
                <w:b/>
                <w:bCs/>
                <w:sz w:val="24"/>
              </w:rPr>
              <w:t>年市场开拓情况。</w:t>
            </w:r>
          </w:p>
          <w:p w:rsidR="007A01BF" w:rsidRDefault="000F4966">
            <w:pPr>
              <w:spacing w:line="440" w:lineRule="exact"/>
              <w:ind w:firstLineChars="200" w:firstLine="480"/>
              <w:outlineLvl w:val="0"/>
              <w:rPr>
                <w:b/>
                <w:bCs/>
                <w:sz w:val="24"/>
              </w:rPr>
            </w:pPr>
            <w:r>
              <w:rPr>
                <w:sz w:val="24"/>
              </w:rPr>
              <w:t>2023</w:t>
            </w:r>
            <w:r>
              <w:rPr>
                <w:sz w:val="24"/>
              </w:rPr>
              <w:t>年，传统炼油化工市场平稳运行，煤化工市场实现增长，在国家积极推动制造业高端化、智能</w:t>
            </w:r>
            <w:bookmarkStart w:id="0" w:name="_GoBack"/>
            <w:bookmarkEnd w:id="0"/>
            <w:r>
              <w:rPr>
                <w:sz w:val="24"/>
              </w:rPr>
              <w:t>化、绿色化背景下，公司依托深耕能源化工装备制造领域</w:t>
            </w:r>
            <w:r>
              <w:rPr>
                <w:sz w:val="24"/>
              </w:rPr>
              <w:t>70</w:t>
            </w:r>
            <w:r>
              <w:rPr>
                <w:sz w:val="24"/>
              </w:rPr>
              <w:t>年积累的技术底蕴、新能源装备制造领域的前瞻性布局和先发优势，在多个领域取得市场突破，新开发北方华锦、海东红狮、江苏海伦等新客户</w:t>
            </w:r>
            <w:r>
              <w:rPr>
                <w:sz w:val="24"/>
              </w:rPr>
              <w:t>70</w:t>
            </w:r>
            <w:r>
              <w:rPr>
                <w:sz w:val="24"/>
              </w:rPr>
              <w:t>余家，在光伏多晶硅装备市场订单大幅下滑的</w:t>
            </w:r>
            <w:r w:rsidR="00381F6C">
              <w:rPr>
                <w:rFonts w:hint="eastAsia"/>
                <w:sz w:val="24"/>
              </w:rPr>
              <w:t>背景</w:t>
            </w:r>
            <w:r w:rsidR="00381F6C">
              <w:rPr>
                <w:sz w:val="24"/>
              </w:rPr>
              <w:t>下</w:t>
            </w:r>
            <w:r>
              <w:rPr>
                <w:sz w:val="24"/>
              </w:rPr>
              <w:t>，全年新增订货</w:t>
            </w:r>
            <w:r>
              <w:rPr>
                <w:sz w:val="24"/>
              </w:rPr>
              <w:t>63.95</w:t>
            </w:r>
            <w:r>
              <w:rPr>
                <w:sz w:val="24"/>
              </w:rPr>
              <w:t>亿元，同比下降</w:t>
            </w:r>
            <w:r>
              <w:rPr>
                <w:sz w:val="24"/>
              </w:rPr>
              <w:t>4.68%</w:t>
            </w:r>
            <w:r>
              <w:rPr>
                <w:sz w:val="24"/>
              </w:rPr>
              <w:t>。</w:t>
            </w:r>
            <w:r w:rsidR="00381F6C">
              <w:rPr>
                <w:sz w:val="24"/>
              </w:rPr>
              <w:t>但是，在</w:t>
            </w:r>
            <w:r w:rsidR="007B1C4B">
              <w:rPr>
                <w:rFonts w:hint="eastAsia"/>
                <w:sz w:val="24"/>
              </w:rPr>
              <w:t>多个</w:t>
            </w:r>
            <w:r w:rsidR="00381F6C">
              <w:rPr>
                <w:sz w:val="24"/>
              </w:rPr>
              <w:t>细分市场取得</w:t>
            </w:r>
            <w:r w:rsidR="000C660F">
              <w:rPr>
                <w:rFonts w:hint="eastAsia"/>
                <w:sz w:val="24"/>
              </w:rPr>
              <w:t>优异</w:t>
            </w:r>
            <w:r w:rsidR="00381F6C">
              <w:rPr>
                <w:sz w:val="24"/>
              </w:rPr>
              <w:t>的成果，</w:t>
            </w:r>
            <w:r>
              <w:rPr>
                <w:sz w:val="24"/>
              </w:rPr>
              <w:t>在煤化工装备市场取得订单</w:t>
            </w:r>
            <w:r>
              <w:rPr>
                <w:sz w:val="24"/>
              </w:rPr>
              <w:t>7.47</w:t>
            </w:r>
            <w:r>
              <w:rPr>
                <w:sz w:val="24"/>
              </w:rPr>
              <w:t>亿元，同比增长</w:t>
            </w:r>
            <w:r>
              <w:rPr>
                <w:sz w:val="24"/>
              </w:rPr>
              <w:t>13.94%</w:t>
            </w:r>
            <w:r>
              <w:rPr>
                <w:sz w:val="24"/>
              </w:rPr>
              <w:t>；核能领域取得订单</w:t>
            </w:r>
            <w:r>
              <w:rPr>
                <w:sz w:val="24"/>
              </w:rPr>
              <w:t>5.17</w:t>
            </w:r>
            <w:r>
              <w:rPr>
                <w:sz w:val="24"/>
              </w:rPr>
              <w:t>亿元，同比增长</w:t>
            </w:r>
            <w:r>
              <w:rPr>
                <w:sz w:val="24"/>
              </w:rPr>
              <w:t>154.60%</w:t>
            </w:r>
            <w:r>
              <w:rPr>
                <w:sz w:val="24"/>
              </w:rPr>
              <w:t>；工业智能装备市场创新高，获得订单</w:t>
            </w:r>
            <w:r>
              <w:rPr>
                <w:sz w:val="24"/>
              </w:rPr>
              <w:t>5.05</w:t>
            </w:r>
            <w:r>
              <w:rPr>
                <w:sz w:val="24"/>
              </w:rPr>
              <w:t>亿元，同比增长</w:t>
            </w:r>
            <w:r>
              <w:rPr>
                <w:sz w:val="24"/>
              </w:rPr>
              <w:t>34.32%</w:t>
            </w:r>
            <w:r>
              <w:rPr>
                <w:sz w:val="24"/>
              </w:rPr>
              <w:t>；国际业务快速增长，全年出口订单</w:t>
            </w:r>
            <w:r>
              <w:rPr>
                <w:sz w:val="24"/>
              </w:rPr>
              <w:t>2.91</w:t>
            </w:r>
            <w:r>
              <w:rPr>
                <w:sz w:val="24"/>
              </w:rPr>
              <w:t>亿元，同比增长</w:t>
            </w:r>
            <w:r>
              <w:rPr>
                <w:sz w:val="24"/>
              </w:rPr>
              <w:t>58.73%</w:t>
            </w:r>
            <w:r>
              <w:rPr>
                <w:sz w:val="24"/>
              </w:rPr>
              <w:t>；新兴业务重点项目稳步推进，</w:t>
            </w:r>
            <w:proofErr w:type="gramStart"/>
            <w:r>
              <w:rPr>
                <w:sz w:val="24"/>
              </w:rPr>
              <w:t>承制华</w:t>
            </w:r>
            <w:proofErr w:type="gramEnd"/>
            <w:r>
              <w:rPr>
                <w:sz w:val="24"/>
              </w:rPr>
              <w:t>能百万吨级</w:t>
            </w:r>
            <w:r>
              <w:rPr>
                <w:sz w:val="24"/>
              </w:rPr>
              <w:t>CCUS</w:t>
            </w:r>
            <w:r>
              <w:rPr>
                <w:sz w:val="24"/>
              </w:rPr>
              <w:t>项目多台装置，</w:t>
            </w:r>
            <w:proofErr w:type="gramStart"/>
            <w:r>
              <w:rPr>
                <w:sz w:val="24"/>
              </w:rPr>
              <w:t>连云港嘉澳</w:t>
            </w:r>
            <w:r>
              <w:rPr>
                <w:sz w:val="24"/>
              </w:rPr>
              <w:t>100</w:t>
            </w:r>
            <w:r>
              <w:rPr>
                <w:sz w:val="24"/>
              </w:rPr>
              <w:t>万吨</w:t>
            </w:r>
            <w:proofErr w:type="gramEnd"/>
            <w:r>
              <w:rPr>
                <w:sz w:val="24"/>
              </w:rPr>
              <w:t>/</w:t>
            </w:r>
            <w:r>
              <w:rPr>
                <w:sz w:val="24"/>
              </w:rPr>
              <w:t>年废弃油脂转化生物质能</w:t>
            </w:r>
            <w:proofErr w:type="gramStart"/>
            <w:r>
              <w:rPr>
                <w:sz w:val="24"/>
              </w:rPr>
              <w:t>源项目生物航煤</w:t>
            </w:r>
            <w:proofErr w:type="gramEnd"/>
            <w:r>
              <w:rPr>
                <w:sz w:val="24"/>
              </w:rPr>
              <w:t>加氢装置、浙江智英</w:t>
            </w:r>
            <w:r>
              <w:rPr>
                <w:sz w:val="24"/>
              </w:rPr>
              <w:t>70</w:t>
            </w:r>
            <w:r>
              <w:rPr>
                <w:sz w:val="24"/>
              </w:rPr>
              <w:t>万吨</w:t>
            </w:r>
            <w:r>
              <w:rPr>
                <w:sz w:val="24"/>
              </w:rPr>
              <w:t>/</w:t>
            </w:r>
            <w:r>
              <w:rPr>
                <w:sz w:val="24"/>
              </w:rPr>
              <w:t>年</w:t>
            </w:r>
            <w:r>
              <w:rPr>
                <w:sz w:val="24"/>
              </w:rPr>
              <w:t>LDPE-EVA</w:t>
            </w:r>
            <w:r>
              <w:rPr>
                <w:sz w:val="24"/>
              </w:rPr>
              <w:t>装置、恒力石化</w:t>
            </w:r>
            <w:r>
              <w:rPr>
                <w:sz w:val="24"/>
              </w:rPr>
              <w:t>110</w:t>
            </w:r>
            <w:r>
              <w:rPr>
                <w:sz w:val="24"/>
              </w:rPr>
              <w:t>万吨</w:t>
            </w:r>
            <w:r>
              <w:rPr>
                <w:sz w:val="24"/>
              </w:rPr>
              <w:t>/</w:t>
            </w:r>
            <w:r>
              <w:rPr>
                <w:sz w:val="24"/>
              </w:rPr>
              <w:t>年丁烷预处理装置及巴斯夫一体化基地</w:t>
            </w:r>
            <w:r>
              <w:rPr>
                <w:sz w:val="24"/>
              </w:rPr>
              <w:t>(</w:t>
            </w:r>
            <w:r>
              <w:rPr>
                <w:sz w:val="24"/>
              </w:rPr>
              <w:t>广东</w:t>
            </w:r>
            <w:r>
              <w:rPr>
                <w:sz w:val="24"/>
              </w:rPr>
              <w:t>)-BASF</w:t>
            </w:r>
            <w:r>
              <w:rPr>
                <w:sz w:val="24"/>
              </w:rPr>
              <w:t>湛江一体化项目</w:t>
            </w:r>
            <w:r>
              <w:rPr>
                <w:sz w:val="24"/>
              </w:rPr>
              <w:t>100</w:t>
            </w:r>
            <w:r>
              <w:rPr>
                <w:sz w:val="24"/>
              </w:rPr>
              <w:t>万吨乙烯装置。</w:t>
            </w:r>
          </w:p>
          <w:p w:rsidR="007A01BF" w:rsidRDefault="000F4966">
            <w:pPr>
              <w:spacing w:line="440" w:lineRule="exact"/>
              <w:ind w:firstLineChars="200" w:firstLine="482"/>
              <w:outlineLvl w:val="0"/>
              <w:rPr>
                <w:b/>
                <w:bCs/>
                <w:sz w:val="24"/>
              </w:rPr>
            </w:pPr>
            <w:r>
              <w:rPr>
                <w:b/>
                <w:bCs/>
                <w:sz w:val="24"/>
              </w:rPr>
              <w:t>问题</w:t>
            </w:r>
            <w:r>
              <w:rPr>
                <w:b/>
                <w:bCs/>
                <w:sz w:val="24"/>
              </w:rPr>
              <w:t>2</w:t>
            </w:r>
            <w:r>
              <w:rPr>
                <w:b/>
                <w:bCs/>
                <w:sz w:val="24"/>
              </w:rPr>
              <w:t>：国务院最新发布的设备更新行动方案对公司有哪些影响？</w:t>
            </w:r>
          </w:p>
          <w:p w:rsidR="007A01BF" w:rsidRDefault="000F4966">
            <w:pPr>
              <w:spacing w:line="440" w:lineRule="exact"/>
              <w:ind w:firstLineChars="200" w:firstLine="480"/>
              <w:outlineLvl w:val="0"/>
              <w:rPr>
                <w:sz w:val="24"/>
              </w:rPr>
            </w:pPr>
            <w:r>
              <w:rPr>
                <w:sz w:val="24"/>
              </w:rPr>
              <w:t>202</w:t>
            </w:r>
            <w:r w:rsidR="00353D43">
              <w:rPr>
                <w:rFonts w:hint="eastAsia"/>
                <w:sz w:val="24"/>
              </w:rPr>
              <w:t>4</w:t>
            </w:r>
            <w:r>
              <w:rPr>
                <w:sz w:val="24"/>
              </w:rPr>
              <w:t>年</w:t>
            </w:r>
            <w:r>
              <w:rPr>
                <w:sz w:val="24"/>
              </w:rPr>
              <w:t>3</w:t>
            </w:r>
            <w:r>
              <w:rPr>
                <w:sz w:val="24"/>
              </w:rPr>
              <w:t>月，国务院正式印发《推动大规模设备更新和消费品以旧换新行动方案》，提出聚焦石化、化工、钢铁、有色、机械、航空等重点行业，大力推动生产设备、用能设备、发输配电设备等更新和技术改造，初步估算这一轮设备更新市场规模达到</w:t>
            </w:r>
            <w:r>
              <w:rPr>
                <w:sz w:val="24"/>
              </w:rPr>
              <w:t>5</w:t>
            </w:r>
            <w:proofErr w:type="gramStart"/>
            <w:r>
              <w:rPr>
                <w:sz w:val="24"/>
              </w:rPr>
              <w:t>万亿</w:t>
            </w:r>
            <w:proofErr w:type="gramEnd"/>
            <w:r>
              <w:rPr>
                <w:sz w:val="24"/>
              </w:rPr>
              <w:t>元以上。公司深耕能源化工行业</w:t>
            </w:r>
            <w:r>
              <w:rPr>
                <w:sz w:val="24"/>
              </w:rPr>
              <w:t>70</w:t>
            </w:r>
            <w:r>
              <w:rPr>
                <w:sz w:val="24"/>
              </w:rPr>
              <w:t>余载，累计服务近万家客户，遍布</w:t>
            </w:r>
            <w:r>
              <w:rPr>
                <w:sz w:val="24"/>
              </w:rPr>
              <w:t>31</w:t>
            </w:r>
            <w:r>
              <w:rPr>
                <w:sz w:val="24"/>
              </w:rPr>
              <w:t>个省、自治区、直辖市，累计供应</w:t>
            </w:r>
            <w:r>
              <w:rPr>
                <w:sz w:val="24"/>
              </w:rPr>
              <w:t>4</w:t>
            </w:r>
            <w:r>
              <w:rPr>
                <w:sz w:val="24"/>
              </w:rPr>
              <w:t>万多台设备，与各细分行业客户建立了良好的合作伙伴</w:t>
            </w:r>
            <w:r>
              <w:rPr>
                <w:sz w:val="24"/>
              </w:rPr>
              <w:lastRenderedPageBreak/>
              <w:t>关系。石化化工行业作为本轮设备更新政策指向的重点行业，中石油、中石化、恒力石化等公司的重点客户都依据相关政策指引开始加大设备更新方面的固定资产投资力度，公司也将积极对接相关行业客户，进一步挖掘客户设备更新需求，从设备制造到技术服务多端发力，实现市场的深度开拓。</w:t>
            </w:r>
          </w:p>
          <w:p w:rsidR="007A01BF" w:rsidRDefault="000F4966">
            <w:pPr>
              <w:spacing w:line="440" w:lineRule="exact"/>
              <w:ind w:firstLineChars="200" w:firstLine="482"/>
              <w:outlineLvl w:val="0"/>
              <w:rPr>
                <w:b/>
                <w:bCs/>
                <w:sz w:val="24"/>
              </w:rPr>
            </w:pPr>
            <w:r>
              <w:rPr>
                <w:b/>
                <w:bCs/>
                <w:sz w:val="24"/>
              </w:rPr>
              <w:t>问题</w:t>
            </w:r>
            <w:r>
              <w:rPr>
                <w:b/>
                <w:bCs/>
                <w:sz w:val="24"/>
              </w:rPr>
              <w:t>3</w:t>
            </w:r>
            <w:r>
              <w:rPr>
                <w:b/>
                <w:bCs/>
                <w:sz w:val="24"/>
              </w:rPr>
              <w:t>：</w:t>
            </w:r>
            <w:r>
              <w:rPr>
                <w:b/>
                <w:bCs/>
                <w:sz w:val="24"/>
              </w:rPr>
              <w:t>2023</w:t>
            </w:r>
            <w:r>
              <w:rPr>
                <w:b/>
                <w:bCs/>
                <w:sz w:val="24"/>
              </w:rPr>
              <w:t>年公司在科技研发方面有</w:t>
            </w:r>
            <w:proofErr w:type="gramStart"/>
            <w:r>
              <w:rPr>
                <w:b/>
                <w:bCs/>
                <w:sz w:val="24"/>
              </w:rPr>
              <w:t>何突破</w:t>
            </w:r>
            <w:proofErr w:type="gramEnd"/>
            <w:r>
              <w:rPr>
                <w:b/>
                <w:bCs/>
                <w:sz w:val="24"/>
              </w:rPr>
              <w:t>或成果？</w:t>
            </w:r>
          </w:p>
          <w:p w:rsidR="007A01BF" w:rsidRDefault="000F4966">
            <w:pPr>
              <w:spacing w:line="440" w:lineRule="exact"/>
              <w:ind w:firstLineChars="200" w:firstLine="480"/>
              <w:outlineLvl w:val="0"/>
              <w:rPr>
                <w:sz w:val="24"/>
              </w:rPr>
            </w:pPr>
            <w:r>
              <w:rPr>
                <w:sz w:val="24"/>
              </w:rPr>
              <w:t>2023</w:t>
            </w:r>
            <w:r>
              <w:rPr>
                <w:sz w:val="24"/>
              </w:rPr>
              <w:t>年公司投入研发费用</w:t>
            </w:r>
            <w:r>
              <w:rPr>
                <w:sz w:val="24"/>
              </w:rPr>
              <w:t>2.3</w:t>
            </w:r>
            <w:r>
              <w:rPr>
                <w:sz w:val="24"/>
              </w:rPr>
              <w:t>亿元，强度达到</w:t>
            </w:r>
            <w:r>
              <w:rPr>
                <w:sz w:val="24"/>
              </w:rPr>
              <w:t>4.41%</w:t>
            </w:r>
            <w:r>
              <w:rPr>
                <w:sz w:val="24"/>
              </w:rPr>
              <w:t>，同比增长</w:t>
            </w:r>
            <w:r>
              <w:rPr>
                <w:sz w:val="24"/>
              </w:rPr>
              <w:t>49.78%</w:t>
            </w:r>
            <w:r>
              <w:rPr>
                <w:sz w:val="24"/>
              </w:rPr>
              <w:t>，实现转化订单</w:t>
            </w:r>
            <w:r>
              <w:rPr>
                <w:sz w:val="24"/>
              </w:rPr>
              <w:t>4.30</w:t>
            </w:r>
            <w:r>
              <w:rPr>
                <w:sz w:val="24"/>
              </w:rPr>
              <w:t>亿元，并成功入选</w:t>
            </w:r>
            <w:r>
              <w:rPr>
                <w:sz w:val="24"/>
              </w:rPr>
              <w:t>“</w:t>
            </w:r>
            <w:r>
              <w:rPr>
                <w:sz w:val="24"/>
              </w:rPr>
              <w:t>国务院国资委科改示范企业</w:t>
            </w:r>
            <w:r>
              <w:rPr>
                <w:sz w:val="24"/>
              </w:rPr>
              <w:t>”</w:t>
            </w:r>
            <w:r>
              <w:rPr>
                <w:sz w:val="24"/>
              </w:rPr>
              <w:t>名单。</w:t>
            </w:r>
          </w:p>
          <w:p w:rsidR="007A01BF" w:rsidRDefault="000F4966">
            <w:pPr>
              <w:spacing w:line="440" w:lineRule="exact"/>
              <w:ind w:firstLineChars="200" w:firstLine="480"/>
              <w:outlineLvl w:val="0"/>
              <w:rPr>
                <w:sz w:val="24"/>
              </w:rPr>
            </w:pPr>
            <w:r>
              <w:rPr>
                <w:sz w:val="24"/>
              </w:rPr>
              <w:t>2023</w:t>
            </w:r>
            <w:r>
              <w:rPr>
                <w:sz w:val="24"/>
              </w:rPr>
              <w:t>年，公司聚焦主业，以科技创新推动公司战略发展步伐</w:t>
            </w:r>
            <w:proofErr w:type="gramStart"/>
            <w:r>
              <w:rPr>
                <w:sz w:val="24"/>
              </w:rPr>
              <w:t>走深走实</w:t>
            </w:r>
            <w:proofErr w:type="gramEnd"/>
            <w:r>
              <w:rPr>
                <w:sz w:val="24"/>
              </w:rPr>
              <w:t>，报告期内开展科技创新项目</w:t>
            </w:r>
            <w:r>
              <w:rPr>
                <w:sz w:val="24"/>
              </w:rPr>
              <w:t>125</w:t>
            </w:r>
            <w:r>
              <w:rPr>
                <w:sz w:val="24"/>
              </w:rPr>
              <w:t>个，实现科技成果转化</w:t>
            </w:r>
            <w:r>
              <w:rPr>
                <w:sz w:val="24"/>
              </w:rPr>
              <w:t>21</w:t>
            </w:r>
            <w:r>
              <w:rPr>
                <w:sz w:val="24"/>
              </w:rPr>
              <w:t>项，新认定国家高新技术企业</w:t>
            </w:r>
            <w:r>
              <w:rPr>
                <w:sz w:val="24"/>
              </w:rPr>
              <w:t>2</w:t>
            </w:r>
            <w:r>
              <w:rPr>
                <w:sz w:val="24"/>
              </w:rPr>
              <w:t>家、省级以上专精特新企业</w:t>
            </w:r>
            <w:r>
              <w:rPr>
                <w:sz w:val="24"/>
              </w:rPr>
              <w:t>4</w:t>
            </w:r>
            <w:r>
              <w:rPr>
                <w:sz w:val="24"/>
              </w:rPr>
              <w:t>家，其中重工公司获批国家级专精特新</w:t>
            </w:r>
            <w:r>
              <w:rPr>
                <w:sz w:val="24"/>
              </w:rPr>
              <w:t>“</w:t>
            </w:r>
            <w:r>
              <w:rPr>
                <w:sz w:val="24"/>
              </w:rPr>
              <w:t>小巨人</w:t>
            </w:r>
            <w:r>
              <w:rPr>
                <w:sz w:val="24"/>
              </w:rPr>
              <w:t>”</w:t>
            </w:r>
            <w:r>
              <w:rPr>
                <w:sz w:val="24"/>
              </w:rPr>
              <w:t>企业。组织召开</w:t>
            </w:r>
            <w:r>
              <w:rPr>
                <w:sz w:val="24"/>
              </w:rPr>
              <w:t>4</w:t>
            </w:r>
            <w:r>
              <w:rPr>
                <w:sz w:val="24"/>
              </w:rPr>
              <w:t>项科技成果鉴定会，</w:t>
            </w:r>
            <w:r>
              <w:rPr>
                <w:sz w:val="24"/>
              </w:rPr>
              <w:t>“</w:t>
            </w:r>
            <w:r>
              <w:rPr>
                <w:sz w:val="24"/>
              </w:rPr>
              <w:t>石化行业超级奥氏体不锈钢设备综合应用研究及工程技术开发</w:t>
            </w:r>
            <w:r>
              <w:rPr>
                <w:sz w:val="24"/>
              </w:rPr>
              <w:t>”</w:t>
            </w:r>
            <w:r>
              <w:rPr>
                <w:sz w:val="24"/>
              </w:rPr>
              <w:t>、</w:t>
            </w:r>
            <w:r>
              <w:rPr>
                <w:sz w:val="24"/>
              </w:rPr>
              <w:t>“50Mpa</w:t>
            </w:r>
            <w:r>
              <w:rPr>
                <w:sz w:val="24"/>
              </w:rPr>
              <w:t>、</w:t>
            </w:r>
            <w:r w:rsidR="00381F6C">
              <w:rPr>
                <w:sz w:val="24"/>
              </w:rPr>
              <w:t>98Mpa</w:t>
            </w:r>
            <w:r>
              <w:rPr>
                <w:sz w:val="24"/>
              </w:rPr>
              <w:t>高压气态储氢系列容器</w:t>
            </w:r>
            <w:r>
              <w:rPr>
                <w:sz w:val="24"/>
              </w:rPr>
              <w:t>”</w:t>
            </w:r>
            <w:r>
              <w:rPr>
                <w:sz w:val="24"/>
              </w:rPr>
              <w:t>、</w:t>
            </w:r>
            <w:r w:rsidR="00381F6C">
              <w:rPr>
                <w:sz w:val="24"/>
              </w:rPr>
              <w:t>“2¼Cr-1Mo-¼V</w:t>
            </w:r>
            <w:r>
              <w:rPr>
                <w:sz w:val="24"/>
              </w:rPr>
              <w:t>和</w:t>
            </w:r>
            <w:r w:rsidR="00381F6C">
              <w:rPr>
                <w:sz w:val="24"/>
              </w:rPr>
              <w:t>2¼Cr-1Mo</w:t>
            </w:r>
            <w:r>
              <w:rPr>
                <w:sz w:val="24"/>
              </w:rPr>
              <w:t>钢焊接材料国产化研制及应用</w:t>
            </w:r>
            <w:r>
              <w:rPr>
                <w:sz w:val="24"/>
              </w:rPr>
              <w:t>”3</w:t>
            </w:r>
            <w:r>
              <w:rPr>
                <w:sz w:val="24"/>
              </w:rPr>
              <w:t>项达到国际先进水平，</w:t>
            </w:r>
            <w:r>
              <w:rPr>
                <w:sz w:val="24"/>
              </w:rPr>
              <w:t>“</w:t>
            </w:r>
            <w:r>
              <w:rPr>
                <w:sz w:val="24"/>
              </w:rPr>
              <w:t>国产</w:t>
            </w:r>
            <w:r>
              <w:rPr>
                <w:sz w:val="24"/>
              </w:rPr>
              <w:t>HIC</w:t>
            </w:r>
            <w:r>
              <w:rPr>
                <w:sz w:val="24"/>
              </w:rPr>
              <w:t>厚钢板高压容器研制</w:t>
            </w:r>
            <w:r>
              <w:rPr>
                <w:sz w:val="24"/>
              </w:rPr>
              <w:t>”</w:t>
            </w:r>
            <w:r>
              <w:rPr>
                <w:sz w:val="24"/>
              </w:rPr>
              <w:t>项目达到国际领先水平。</w:t>
            </w:r>
          </w:p>
          <w:p w:rsidR="007A01BF" w:rsidRDefault="000F4966">
            <w:pPr>
              <w:spacing w:line="440" w:lineRule="exact"/>
              <w:ind w:firstLineChars="200" w:firstLine="482"/>
              <w:outlineLvl w:val="0"/>
              <w:rPr>
                <w:b/>
                <w:bCs/>
                <w:sz w:val="24"/>
              </w:rPr>
            </w:pPr>
            <w:r>
              <w:rPr>
                <w:b/>
                <w:bCs/>
                <w:sz w:val="24"/>
              </w:rPr>
              <w:t>问题</w:t>
            </w:r>
            <w:r w:rsidR="00C067B8">
              <w:rPr>
                <w:rFonts w:hint="eastAsia"/>
                <w:b/>
                <w:bCs/>
                <w:sz w:val="24"/>
              </w:rPr>
              <w:t>4</w:t>
            </w:r>
            <w:r>
              <w:rPr>
                <w:b/>
                <w:bCs/>
                <w:sz w:val="24"/>
              </w:rPr>
              <w:t>：公司如何实现由单体设备制造商向产业链一体化服务商转型？</w:t>
            </w:r>
          </w:p>
          <w:p w:rsidR="007A01BF" w:rsidRDefault="000F4966">
            <w:pPr>
              <w:spacing w:line="440" w:lineRule="exact"/>
              <w:ind w:firstLineChars="200" w:firstLine="480"/>
              <w:outlineLvl w:val="0"/>
              <w:rPr>
                <w:sz w:val="24"/>
              </w:rPr>
            </w:pPr>
            <w:r>
              <w:rPr>
                <w:sz w:val="24"/>
              </w:rPr>
              <w:t>在上游设计与原材料供应端，公司拥有一家成功完成百余个石化工程项目设计的</w:t>
            </w:r>
            <w:proofErr w:type="gramStart"/>
            <w:r>
              <w:rPr>
                <w:sz w:val="24"/>
              </w:rPr>
              <w:t>行业甲级</w:t>
            </w:r>
            <w:proofErr w:type="gramEnd"/>
            <w:r>
              <w:rPr>
                <w:sz w:val="24"/>
              </w:rPr>
              <w:t>设计院，公司与千吨级精品钢材生产能力的优质供应商华菱湘钢建立股权与战略协作关系，公司布局高品质锻件、高端特钢、高温合金等新材料的研发、生产和销售业务；在中游设备制造端，公司立足石化能源装备主业，依靠</w:t>
            </w:r>
            <w:r>
              <w:rPr>
                <w:sz w:val="24"/>
              </w:rPr>
              <w:t>“</w:t>
            </w:r>
            <w:r>
              <w:rPr>
                <w:sz w:val="24"/>
              </w:rPr>
              <w:t>五大基地</w:t>
            </w:r>
            <w:r>
              <w:rPr>
                <w:sz w:val="24"/>
              </w:rPr>
              <w:t>+</w:t>
            </w:r>
            <w:r>
              <w:rPr>
                <w:sz w:val="24"/>
              </w:rPr>
              <w:t>移动工厂</w:t>
            </w:r>
            <w:r>
              <w:rPr>
                <w:sz w:val="24"/>
              </w:rPr>
              <w:t>”</w:t>
            </w:r>
            <w:r>
              <w:rPr>
                <w:sz w:val="24"/>
              </w:rPr>
              <w:t>的优势产能布局，积极拓展核电、氢能、光伏光热、储能新能源及金属新材料市场；在下游市场客户端，公司累计服务近万家客户，遍布</w:t>
            </w:r>
            <w:r>
              <w:rPr>
                <w:sz w:val="24"/>
              </w:rPr>
              <w:t>31</w:t>
            </w:r>
            <w:r>
              <w:rPr>
                <w:sz w:val="24"/>
              </w:rPr>
              <w:t>个省、自治区、直辖市，与各细分行业客户建立了良好的合作伙伴关系；公司累计供应</w:t>
            </w:r>
            <w:r>
              <w:rPr>
                <w:sz w:val="24"/>
              </w:rPr>
              <w:t>4</w:t>
            </w:r>
            <w:r>
              <w:rPr>
                <w:sz w:val="24"/>
              </w:rPr>
              <w:t>万多台设备，并出口</w:t>
            </w:r>
            <w:r>
              <w:rPr>
                <w:sz w:val="24"/>
              </w:rPr>
              <w:t>20</w:t>
            </w:r>
            <w:r>
              <w:rPr>
                <w:sz w:val="24"/>
              </w:rPr>
              <w:t>多个国家、地区。借助科技创新、装备制造、管理服务、资本运作</w:t>
            </w:r>
            <w:r>
              <w:rPr>
                <w:sz w:val="24"/>
              </w:rPr>
              <w:t>“</w:t>
            </w:r>
            <w:r>
              <w:rPr>
                <w:sz w:val="24"/>
              </w:rPr>
              <w:t>四大平台</w:t>
            </w:r>
            <w:r>
              <w:rPr>
                <w:sz w:val="24"/>
              </w:rPr>
              <w:t>”</w:t>
            </w:r>
            <w:r>
              <w:rPr>
                <w:sz w:val="24"/>
              </w:rPr>
              <w:t>赋能式发展，公司成为国内唯一一家同时拥有前端石油化工、煤化工工程和产品储运甲级设计院、</w:t>
            </w:r>
            <w:proofErr w:type="gramStart"/>
            <w:r>
              <w:rPr>
                <w:sz w:val="24"/>
              </w:rPr>
              <w:t>全领域</w:t>
            </w:r>
            <w:proofErr w:type="gramEnd"/>
            <w:r>
              <w:rPr>
                <w:sz w:val="24"/>
              </w:rPr>
              <w:t>装备制造能</w:t>
            </w:r>
            <w:r>
              <w:rPr>
                <w:sz w:val="24"/>
              </w:rPr>
              <w:lastRenderedPageBreak/>
              <w:t>力、原材料供应能力及</w:t>
            </w:r>
            <w:r>
              <w:rPr>
                <w:sz w:val="24"/>
              </w:rPr>
              <w:t>EPC</w:t>
            </w:r>
            <w:r>
              <w:rPr>
                <w:sz w:val="24"/>
              </w:rPr>
              <w:t>综合服务能力的</w:t>
            </w:r>
            <w:proofErr w:type="gramStart"/>
            <w:r>
              <w:rPr>
                <w:sz w:val="24"/>
              </w:rPr>
              <w:t>产业链全流程</w:t>
            </w:r>
            <w:proofErr w:type="gramEnd"/>
            <w:r>
              <w:rPr>
                <w:sz w:val="24"/>
              </w:rPr>
              <w:t>覆盖企业，具备全方位的核心竞争优势。</w:t>
            </w:r>
          </w:p>
          <w:p w:rsidR="007A01BF" w:rsidRDefault="000F4966">
            <w:pPr>
              <w:spacing w:line="440" w:lineRule="exact"/>
              <w:ind w:firstLineChars="200" w:firstLine="482"/>
              <w:outlineLvl w:val="0"/>
              <w:rPr>
                <w:b/>
                <w:bCs/>
                <w:sz w:val="24"/>
              </w:rPr>
            </w:pPr>
            <w:r>
              <w:rPr>
                <w:b/>
                <w:bCs/>
                <w:sz w:val="24"/>
              </w:rPr>
              <w:t>问题</w:t>
            </w:r>
            <w:r w:rsidR="00C067B8">
              <w:rPr>
                <w:rFonts w:hint="eastAsia"/>
                <w:b/>
                <w:bCs/>
                <w:sz w:val="24"/>
              </w:rPr>
              <w:t>5</w:t>
            </w:r>
            <w:r>
              <w:rPr>
                <w:b/>
                <w:bCs/>
                <w:sz w:val="24"/>
              </w:rPr>
              <w:t>：公司技术服务领域毛利率较高，对于该领域的发展公司有何规划？</w:t>
            </w:r>
          </w:p>
          <w:p w:rsidR="007A01BF" w:rsidRDefault="000F4966">
            <w:pPr>
              <w:spacing w:line="440" w:lineRule="exact"/>
              <w:ind w:firstLineChars="200" w:firstLine="480"/>
              <w:outlineLvl w:val="0"/>
              <w:rPr>
                <w:sz w:val="24"/>
              </w:rPr>
            </w:pPr>
            <w:r>
              <w:rPr>
                <w:sz w:val="24"/>
              </w:rPr>
              <w:t>2023</w:t>
            </w:r>
            <w:r>
              <w:rPr>
                <w:sz w:val="24"/>
              </w:rPr>
              <w:t>年公司技术服务板块实现营业收入</w:t>
            </w:r>
            <w:r>
              <w:rPr>
                <w:sz w:val="24"/>
              </w:rPr>
              <w:t>1.32</w:t>
            </w:r>
            <w:r>
              <w:rPr>
                <w:sz w:val="24"/>
              </w:rPr>
              <w:t>亿元，同比增长</w:t>
            </w:r>
            <w:r>
              <w:rPr>
                <w:sz w:val="24"/>
              </w:rPr>
              <w:t>48.63%</w:t>
            </w:r>
            <w:r>
              <w:rPr>
                <w:sz w:val="24"/>
              </w:rPr>
              <w:t>，技术服务板块毛利率达到</w:t>
            </w:r>
            <w:r>
              <w:rPr>
                <w:sz w:val="24"/>
              </w:rPr>
              <w:t>60.87%</w:t>
            </w:r>
            <w:r>
              <w:rPr>
                <w:sz w:val="24"/>
              </w:rPr>
              <w:t>，实现了量与质的双提升。公司拥有丰富的售后检维修经验及专业的前端设计能力，公司设计、检维修服务涵盖炼油化工、煤化工、新能源、新材料、工业智能、节能环保等多个领域；同时子公司检测公司是西北规模最大</w:t>
            </w:r>
            <w:r w:rsidR="00C067B8">
              <w:rPr>
                <w:sz w:val="24"/>
              </w:rPr>
              <w:t>的</w:t>
            </w:r>
            <w:r>
              <w:rPr>
                <w:sz w:val="24"/>
              </w:rPr>
              <w:t>第三方金属材料检验检测机构，业务领域覆盖金属及非金属材料物理性能测试和化学成分分析方面，是甘肃省内唯一一家为神州载人航天工程和嫦娥探月工程提供金属材料复检服务的单位，为全国首批五个中广核认可的第三方检测机构之一。公司将坚持由单体设备制造商向产业链一体化服务商战略转型，推动公司业务向</w:t>
            </w:r>
            <w:r>
              <w:rPr>
                <w:sz w:val="24"/>
              </w:rPr>
              <w:t>“</w:t>
            </w:r>
            <w:r>
              <w:rPr>
                <w:sz w:val="24"/>
              </w:rPr>
              <w:t>微笑曲线</w:t>
            </w:r>
            <w:r>
              <w:rPr>
                <w:sz w:val="24"/>
              </w:rPr>
              <w:t>”</w:t>
            </w:r>
            <w:r>
              <w:rPr>
                <w:sz w:val="24"/>
              </w:rPr>
              <w:t>两端延伸，利用技术优势积极为客户提供持续优质的设计、检测及检维修服务，通过不断提升服务化水平，逐步搭建能源行业</w:t>
            </w:r>
            <w:r>
              <w:rPr>
                <w:sz w:val="24"/>
              </w:rPr>
              <w:t>“</w:t>
            </w:r>
            <w:r>
              <w:rPr>
                <w:sz w:val="24"/>
              </w:rPr>
              <w:t>核心装备制造</w:t>
            </w:r>
            <w:r>
              <w:rPr>
                <w:sz w:val="24"/>
              </w:rPr>
              <w:t>+</w:t>
            </w:r>
            <w:r>
              <w:rPr>
                <w:sz w:val="24"/>
              </w:rPr>
              <w:t>全产业链综合服务</w:t>
            </w:r>
            <w:r>
              <w:rPr>
                <w:sz w:val="24"/>
              </w:rPr>
              <w:t>”</w:t>
            </w:r>
            <w:r>
              <w:rPr>
                <w:sz w:val="24"/>
              </w:rPr>
              <w:t>的新型商业模式和综合竞争优势。</w:t>
            </w:r>
          </w:p>
          <w:p w:rsidR="007A01BF" w:rsidRDefault="000F4966">
            <w:pPr>
              <w:spacing w:line="440" w:lineRule="exact"/>
              <w:ind w:firstLineChars="200" w:firstLine="482"/>
              <w:outlineLvl w:val="0"/>
              <w:rPr>
                <w:b/>
                <w:bCs/>
                <w:sz w:val="24"/>
              </w:rPr>
            </w:pPr>
            <w:r>
              <w:rPr>
                <w:b/>
                <w:bCs/>
                <w:sz w:val="24"/>
              </w:rPr>
              <w:t>问题</w:t>
            </w:r>
            <w:r w:rsidR="00C067B8">
              <w:rPr>
                <w:rFonts w:hint="eastAsia"/>
                <w:b/>
                <w:bCs/>
                <w:sz w:val="24"/>
              </w:rPr>
              <w:t>6</w:t>
            </w:r>
            <w:r>
              <w:rPr>
                <w:b/>
                <w:bCs/>
                <w:sz w:val="24"/>
              </w:rPr>
              <w:t>：公司国际业务连续两年实现较快速度增长，国际业务有何发展规划？</w:t>
            </w:r>
          </w:p>
          <w:p w:rsidR="007A01BF" w:rsidRDefault="000F4966">
            <w:pPr>
              <w:spacing w:line="440" w:lineRule="exact"/>
              <w:ind w:firstLineChars="200" w:firstLine="480"/>
              <w:outlineLvl w:val="0"/>
              <w:rPr>
                <w:sz w:val="24"/>
              </w:rPr>
            </w:pPr>
            <w:r>
              <w:rPr>
                <w:sz w:val="24"/>
              </w:rPr>
              <w:t>作为国内能源化工装备制造龙头企业，公司位于</w:t>
            </w:r>
            <w:r>
              <w:rPr>
                <w:sz w:val="24"/>
              </w:rPr>
              <w:t>“</w:t>
            </w:r>
            <w:r>
              <w:rPr>
                <w:sz w:val="24"/>
              </w:rPr>
              <w:t>一带一路</w:t>
            </w:r>
            <w:r>
              <w:rPr>
                <w:sz w:val="24"/>
              </w:rPr>
              <w:t>”</w:t>
            </w:r>
            <w:r>
              <w:rPr>
                <w:sz w:val="24"/>
              </w:rPr>
              <w:t>黄金节点，公司推动由国内市场向国内国际一体化市场转型，依托自有专利技术、优质服务和良好信誉，积极参与到</w:t>
            </w:r>
            <w:r>
              <w:rPr>
                <w:sz w:val="24"/>
              </w:rPr>
              <w:t>“</w:t>
            </w:r>
            <w:r>
              <w:rPr>
                <w:sz w:val="24"/>
              </w:rPr>
              <w:t>一带一路</w:t>
            </w:r>
            <w:r>
              <w:rPr>
                <w:sz w:val="24"/>
              </w:rPr>
              <w:t>”</w:t>
            </w:r>
            <w:r>
              <w:rPr>
                <w:sz w:val="24"/>
              </w:rPr>
              <w:t>建设中，在</w:t>
            </w:r>
            <w:r>
              <w:rPr>
                <w:sz w:val="24"/>
              </w:rPr>
              <w:t>2022</w:t>
            </w:r>
            <w:r>
              <w:rPr>
                <w:sz w:val="24"/>
              </w:rPr>
              <w:t>年出口业务取得突破的基础上，</w:t>
            </w:r>
            <w:r>
              <w:rPr>
                <w:sz w:val="24"/>
              </w:rPr>
              <w:t>2023</w:t>
            </w:r>
            <w:r>
              <w:rPr>
                <w:sz w:val="24"/>
              </w:rPr>
              <w:t>年公司出口业务再上台阶，取得出口订单</w:t>
            </w:r>
            <w:r>
              <w:rPr>
                <w:sz w:val="24"/>
              </w:rPr>
              <w:t>2.91</w:t>
            </w:r>
            <w:r>
              <w:rPr>
                <w:sz w:val="24"/>
              </w:rPr>
              <w:t>亿元，同比增长</w:t>
            </w:r>
            <w:r>
              <w:rPr>
                <w:sz w:val="24"/>
              </w:rPr>
              <w:t>58.73%</w:t>
            </w:r>
            <w:r>
              <w:rPr>
                <w:sz w:val="24"/>
              </w:rPr>
              <w:t>，未来公司国际业务以</w:t>
            </w:r>
            <w:r>
              <w:rPr>
                <w:sz w:val="24"/>
              </w:rPr>
              <w:t>“</w:t>
            </w:r>
            <w:r>
              <w:rPr>
                <w:sz w:val="24"/>
              </w:rPr>
              <w:t>一带一路</w:t>
            </w:r>
            <w:r>
              <w:rPr>
                <w:sz w:val="24"/>
              </w:rPr>
              <w:t>”</w:t>
            </w:r>
            <w:r>
              <w:rPr>
                <w:sz w:val="24"/>
              </w:rPr>
              <w:t>沿线国家和新兴经济体为重点市场，多渠道加快推进石油化工、煤化工业务、新能源新材料业务、工业智能业务的国际化进程；借助瑞泽石化承接国外炼化工程总包项目，带动自有装备制造、工程服务走出国门；注重国际优质大型工程公司的供应商资格认证，推介重点产品扩大市场。</w:t>
            </w:r>
          </w:p>
          <w:p w:rsidR="007A01BF" w:rsidRDefault="000F4966">
            <w:pPr>
              <w:spacing w:line="440" w:lineRule="exact"/>
              <w:ind w:firstLineChars="200" w:firstLine="482"/>
              <w:outlineLvl w:val="0"/>
              <w:rPr>
                <w:b/>
                <w:bCs/>
                <w:sz w:val="24"/>
              </w:rPr>
            </w:pPr>
            <w:r>
              <w:rPr>
                <w:b/>
                <w:bCs/>
                <w:sz w:val="24"/>
              </w:rPr>
              <w:t>问题</w:t>
            </w:r>
            <w:r w:rsidR="00C067B8">
              <w:rPr>
                <w:rFonts w:hint="eastAsia"/>
                <w:b/>
                <w:bCs/>
                <w:sz w:val="24"/>
              </w:rPr>
              <w:t>7</w:t>
            </w:r>
            <w:r>
              <w:rPr>
                <w:b/>
                <w:bCs/>
                <w:sz w:val="24"/>
              </w:rPr>
              <w:t>：在何种背景下，</w:t>
            </w:r>
            <w:r>
              <w:rPr>
                <w:b/>
                <w:bCs/>
                <w:sz w:val="24"/>
              </w:rPr>
              <w:t>2023</w:t>
            </w:r>
            <w:r>
              <w:rPr>
                <w:b/>
                <w:bCs/>
                <w:sz w:val="24"/>
              </w:rPr>
              <w:t>年公司引入了战略股东华菱</w:t>
            </w:r>
            <w:r>
              <w:rPr>
                <w:b/>
                <w:bCs/>
                <w:sz w:val="24"/>
              </w:rPr>
              <w:lastRenderedPageBreak/>
              <w:t>相关并收购超合金新材料公司？</w:t>
            </w:r>
          </w:p>
          <w:p w:rsidR="007A01BF" w:rsidRDefault="000F4966">
            <w:pPr>
              <w:spacing w:line="440" w:lineRule="exact"/>
              <w:ind w:firstLineChars="200" w:firstLine="480"/>
              <w:outlineLvl w:val="0"/>
              <w:rPr>
                <w:sz w:val="24"/>
              </w:rPr>
            </w:pPr>
            <w:r>
              <w:rPr>
                <w:sz w:val="24"/>
              </w:rPr>
              <w:t>2023</w:t>
            </w:r>
            <w:r>
              <w:rPr>
                <w:sz w:val="24"/>
              </w:rPr>
              <w:t>年，公司紧扣战略定位，立足传统优势产业，</w:t>
            </w:r>
            <w:proofErr w:type="gramStart"/>
            <w:r>
              <w:rPr>
                <w:sz w:val="24"/>
              </w:rPr>
              <w:t>加强延链增值</w:t>
            </w:r>
            <w:proofErr w:type="gramEnd"/>
            <w:r>
              <w:rPr>
                <w:sz w:val="24"/>
              </w:rPr>
              <w:t>，不断拓展高质量发展新空间。在上游原材料供应端，公司成功引入千吨级精品钢材生产能力的优质供应商华菱湘钢建立股权与战略协作关系，并通过收购超合金公司布局高品质锻件、高端特钢、高温合金等新材料的研发、生产和销售业务。通过上述举措将持续推动产业链上下游深度融合，强化公司供应链韧性，提升供需水平与效率，培育壮大新能源装备及新材料业务，降低公司原材料采购成本，助</w:t>
            </w:r>
            <w:proofErr w:type="gramStart"/>
            <w:r>
              <w:rPr>
                <w:sz w:val="24"/>
              </w:rPr>
              <w:t>推公司</w:t>
            </w:r>
            <w:proofErr w:type="gramEnd"/>
            <w:r>
              <w:rPr>
                <w:sz w:val="24"/>
              </w:rPr>
              <w:t>产业链高质量发展。</w:t>
            </w:r>
          </w:p>
          <w:p w:rsidR="007A01BF" w:rsidRDefault="000F4966">
            <w:pPr>
              <w:spacing w:line="440" w:lineRule="exact"/>
              <w:ind w:firstLineChars="200" w:firstLine="482"/>
              <w:outlineLvl w:val="0"/>
              <w:rPr>
                <w:b/>
                <w:bCs/>
                <w:sz w:val="24"/>
              </w:rPr>
            </w:pPr>
            <w:r>
              <w:rPr>
                <w:b/>
                <w:bCs/>
                <w:sz w:val="24"/>
              </w:rPr>
              <w:t>问题</w:t>
            </w:r>
            <w:r w:rsidR="00C067B8">
              <w:rPr>
                <w:rFonts w:hint="eastAsia"/>
                <w:b/>
                <w:bCs/>
                <w:sz w:val="24"/>
              </w:rPr>
              <w:t>8</w:t>
            </w:r>
            <w:r>
              <w:rPr>
                <w:b/>
                <w:bCs/>
                <w:sz w:val="24"/>
              </w:rPr>
              <w:t>：公司主营业务增加了金属新材料板块，</w:t>
            </w:r>
            <w:r>
              <w:rPr>
                <w:b/>
                <w:bCs/>
                <w:sz w:val="24"/>
              </w:rPr>
              <w:t>2023</w:t>
            </w:r>
            <w:r>
              <w:rPr>
                <w:b/>
                <w:bCs/>
                <w:sz w:val="24"/>
              </w:rPr>
              <w:t>年公司这一板块业绩如何，介绍一下金属新材料板块未来发展规划。</w:t>
            </w:r>
          </w:p>
          <w:p w:rsidR="007A01BF" w:rsidRDefault="000F4966">
            <w:pPr>
              <w:spacing w:line="440" w:lineRule="exact"/>
              <w:ind w:firstLineChars="200" w:firstLine="480"/>
              <w:outlineLvl w:val="0"/>
              <w:rPr>
                <w:sz w:val="24"/>
              </w:rPr>
            </w:pPr>
            <w:r>
              <w:rPr>
                <w:sz w:val="24"/>
              </w:rPr>
              <w:t>2023</w:t>
            </w:r>
            <w:r>
              <w:rPr>
                <w:sz w:val="24"/>
              </w:rPr>
              <w:t>年，公司收购了控股股东兰石集团持有的超合金公司</w:t>
            </w:r>
            <w:r>
              <w:rPr>
                <w:sz w:val="24"/>
              </w:rPr>
              <w:t>100%</w:t>
            </w:r>
            <w:r>
              <w:rPr>
                <w:sz w:val="24"/>
              </w:rPr>
              <w:t>股权，业绩承诺人兰石集团承诺超合金公司在</w:t>
            </w:r>
            <w:r>
              <w:rPr>
                <w:sz w:val="24"/>
              </w:rPr>
              <w:t>2023</w:t>
            </w:r>
            <w:r>
              <w:rPr>
                <w:sz w:val="24"/>
              </w:rPr>
              <w:t>年（</w:t>
            </w:r>
            <w:r>
              <w:rPr>
                <w:sz w:val="24"/>
              </w:rPr>
              <w:t>10-12</w:t>
            </w:r>
            <w:r>
              <w:rPr>
                <w:sz w:val="24"/>
              </w:rPr>
              <w:t>月）、</w:t>
            </w:r>
            <w:r>
              <w:rPr>
                <w:sz w:val="24"/>
              </w:rPr>
              <w:t>2024</w:t>
            </w:r>
            <w:r>
              <w:rPr>
                <w:sz w:val="24"/>
              </w:rPr>
              <w:t>年、</w:t>
            </w:r>
            <w:r>
              <w:rPr>
                <w:sz w:val="24"/>
              </w:rPr>
              <w:t>2025</w:t>
            </w:r>
            <w:r>
              <w:rPr>
                <w:sz w:val="24"/>
              </w:rPr>
              <w:t>年、</w:t>
            </w:r>
            <w:r>
              <w:rPr>
                <w:sz w:val="24"/>
              </w:rPr>
              <w:t>2026</w:t>
            </w:r>
            <w:r>
              <w:rPr>
                <w:sz w:val="24"/>
              </w:rPr>
              <w:t>年合计实现净利润不低于</w:t>
            </w:r>
            <w:r>
              <w:rPr>
                <w:sz w:val="24"/>
              </w:rPr>
              <w:t>15,682</w:t>
            </w:r>
            <w:r>
              <w:rPr>
                <w:sz w:val="24"/>
              </w:rPr>
              <w:t>万元，其中，</w:t>
            </w:r>
            <w:r>
              <w:rPr>
                <w:sz w:val="24"/>
              </w:rPr>
              <w:t>2023</w:t>
            </w:r>
            <w:r>
              <w:rPr>
                <w:sz w:val="24"/>
              </w:rPr>
              <w:t>年度（</w:t>
            </w:r>
            <w:r>
              <w:rPr>
                <w:sz w:val="24"/>
              </w:rPr>
              <w:t>10-12</w:t>
            </w:r>
            <w:r>
              <w:rPr>
                <w:sz w:val="24"/>
              </w:rPr>
              <w:t>月）实现净利润不低于</w:t>
            </w:r>
            <w:r>
              <w:rPr>
                <w:sz w:val="24"/>
              </w:rPr>
              <w:t>443</w:t>
            </w:r>
            <w:r>
              <w:rPr>
                <w:sz w:val="24"/>
              </w:rPr>
              <w:t>万元。</w:t>
            </w:r>
            <w:r>
              <w:rPr>
                <w:sz w:val="24"/>
              </w:rPr>
              <w:t>2023</w:t>
            </w:r>
            <w:r>
              <w:rPr>
                <w:sz w:val="24"/>
              </w:rPr>
              <w:t>年</w:t>
            </w:r>
            <w:r>
              <w:rPr>
                <w:sz w:val="24"/>
              </w:rPr>
              <w:t>10-12</w:t>
            </w:r>
            <w:r>
              <w:rPr>
                <w:sz w:val="24"/>
              </w:rPr>
              <w:t>月超合金公司实现净利润</w:t>
            </w:r>
            <w:r>
              <w:rPr>
                <w:sz w:val="24"/>
              </w:rPr>
              <w:t>1,160.29</w:t>
            </w:r>
            <w:r>
              <w:rPr>
                <w:sz w:val="24"/>
              </w:rPr>
              <w:t>万元，超额完成相应业绩承诺，市场取得突破；超合金公司主营的金属新材料被广泛应用于航空航天、船舶舰艇、燃气轮机、石油化工、</w:t>
            </w:r>
            <w:proofErr w:type="gramStart"/>
            <w:r>
              <w:rPr>
                <w:sz w:val="24"/>
              </w:rPr>
              <w:t>核氢光储</w:t>
            </w:r>
            <w:proofErr w:type="gramEnd"/>
            <w:r>
              <w:rPr>
                <w:sz w:val="24"/>
              </w:rPr>
              <w:t>等领域，与公司能源化工装备制造业务有一体化协同优势，正在建设的智能万吨</w:t>
            </w:r>
            <w:proofErr w:type="gramStart"/>
            <w:r>
              <w:rPr>
                <w:sz w:val="24"/>
              </w:rPr>
              <w:t>压机超合金</w:t>
            </w:r>
            <w:proofErr w:type="gramEnd"/>
            <w:r>
              <w:rPr>
                <w:sz w:val="24"/>
              </w:rPr>
              <w:t>生产线将大大增强公司超合金产品的生产能力，使得公司</w:t>
            </w:r>
            <w:proofErr w:type="gramStart"/>
            <w:r>
              <w:rPr>
                <w:sz w:val="24"/>
              </w:rPr>
              <w:t>高端超</w:t>
            </w:r>
            <w:proofErr w:type="gramEnd"/>
            <w:r>
              <w:rPr>
                <w:sz w:val="24"/>
              </w:rPr>
              <w:t>合金锻件收入持续增加，未来超合金公司将紧密围绕</w:t>
            </w:r>
            <w:r>
              <w:rPr>
                <w:sz w:val="24"/>
              </w:rPr>
              <w:t>“</w:t>
            </w:r>
            <w:r>
              <w:rPr>
                <w:sz w:val="24"/>
              </w:rPr>
              <w:t>高端锻件、高品质系列化铸件、高纯净优质特钢</w:t>
            </w:r>
            <w:r>
              <w:rPr>
                <w:sz w:val="24"/>
              </w:rPr>
              <w:t>”</w:t>
            </w:r>
            <w:r>
              <w:rPr>
                <w:sz w:val="24"/>
              </w:rPr>
              <w:t>市场，推动产业升级转型，逐步迈向具有新材料</w:t>
            </w:r>
            <w:r>
              <w:rPr>
                <w:sz w:val="24"/>
              </w:rPr>
              <w:t>“</w:t>
            </w:r>
            <w:r>
              <w:rPr>
                <w:sz w:val="24"/>
              </w:rPr>
              <w:t>研发</w:t>
            </w:r>
            <w:r>
              <w:rPr>
                <w:sz w:val="24"/>
              </w:rPr>
              <w:t>+</w:t>
            </w:r>
            <w:r>
              <w:rPr>
                <w:sz w:val="24"/>
              </w:rPr>
              <w:t>产品</w:t>
            </w:r>
            <w:r>
              <w:rPr>
                <w:sz w:val="24"/>
              </w:rPr>
              <w:t>+</w:t>
            </w:r>
            <w:r>
              <w:rPr>
                <w:sz w:val="24"/>
              </w:rPr>
              <w:t>服务</w:t>
            </w:r>
            <w:r>
              <w:rPr>
                <w:sz w:val="24"/>
              </w:rPr>
              <w:t>”</w:t>
            </w:r>
            <w:r>
              <w:rPr>
                <w:sz w:val="24"/>
              </w:rPr>
              <w:t>一体化成果转换综合能力的服务商。</w:t>
            </w:r>
          </w:p>
          <w:p w:rsidR="007A01BF" w:rsidRDefault="000F4966">
            <w:pPr>
              <w:spacing w:line="440" w:lineRule="exact"/>
              <w:ind w:firstLineChars="200" w:firstLine="482"/>
              <w:outlineLvl w:val="0"/>
              <w:rPr>
                <w:sz w:val="24"/>
              </w:rPr>
            </w:pPr>
            <w:r>
              <w:rPr>
                <w:b/>
                <w:bCs/>
                <w:sz w:val="24"/>
              </w:rPr>
              <w:t>问题</w:t>
            </w:r>
            <w:r w:rsidR="00C067B8">
              <w:rPr>
                <w:rFonts w:hint="eastAsia"/>
                <w:b/>
                <w:bCs/>
                <w:sz w:val="24"/>
              </w:rPr>
              <w:t>9</w:t>
            </w:r>
            <w:r>
              <w:rPr>
                <w:b/>
                <w:bCs/>
                <w:sz w:val="24"/>
              </w:rPr>
              <w:t>：公司核能业务发展较快，介绍一下核能领域的相关产品及行业竞争优势</w:t>
            </w:r>
            <w:r>
              <w:rPr>
                <w:sz w:val="24"/>
              </w:rPr>
              <w:t>。</w:t>
            </w:r>
          </w:p>
          <w:p w:rsidR="007A01BF" w:rsidRDefault="000F4966">
            <w:pPr>
              <w:spacing w:line="440" w:lineRule="exact"/>
              <w:ind w:firstLineChars="200" w:firstLine="480"/>
              <w:outlineLvl w:val="0"/>
              <w:rPr>
                <w:sz w:val="24"/>
              </w:rPr>
            </w:pPr>
            <w:r>
              <w:rPr>
                <w:sz w:val="24"/>
              </w:rPr>
              <w:t>20</w:t>
            </w:r>
            <w:r w:rsidR="00D14063">
              <w:rPr>
                <w:rFonts w:hint="eastAsia"/>
                <w:sz w:val="24"/>
              </w:rPr>
              <w:t>2</w:t>
            </w:r>
            <w:r>
              <w:rPr>
                <w:sz w:val="24"/>
              </w:rPr>
              <w:t>3</w:t>
            </w:r>
            <w:r>
              <w:rPr>
                <w:sz w:val="24"/>
              </w:rPr>
              <w:t>年公司核能领域取得订单</w:t>
            </w:r>
            <w:r>
              <w:rPr>
                <w:sz w:val="24"/>
              </w:rPr>
              <w:t>5.17</w:t>
            </w:r>
            <w:r>
              <w:rPr>
                <w:sz w:val="24"/>
              </w:rPr>
              <w:t>亿元，同比增长</w:t>
            </w:r>
            <w:r>
              <w:rPr>
                <w:sz w:val="24"/>
              </w:rPr>
              <w:t>154.60%</w:t>
            </w:r>
            <w:r>
              <w:rPr>
                <w:sz w:val="24"/>
              </w:rPr>
              <w:t>。公司核能产业上游主要产品有核化工领域贮槽、箱室及核燃料贮运容器；核能产业中游主要产品有核电站压力容器、储罐（核安全</w:t>
            </w:r>
            <w:r>
              <w:rPr>
                <w:sz w:val="24"/>
              </w:rPr>
              <w:t>2</w:t>
            </w:r>
            <w:r>
              <w:rPr>
                <w:sz w:val="24"/>
              </w:rPr>
              <w:t>、</w:t>
            </w:r>
            <w:r>
              <w:rPr>
                <w:sz w:val="24"/>
              </w:rPr>
              <w:t>3</w:t>
            </w:r>
            <w:r>
              <w:rPr>
                <w:sz w:val="24"/>
              </w:rPr>
              <w:t>级）、板式换热器（核安全</w:t>
            </w:r>
            <w:r>
              <w:rPr>
                <w:sz w:val="24"/>
              </w:rPr>
              <w:t>3</w:t>
            </w:r>
            <w:r>
              <w:rPr>
                <w:sz w:val="24"/>
              </w:rPr>
              <w:t>级）、</w:t>
            </w:r>
            <w:r>
              <w:rPr>
                <w:sz w:val="24"/>
              </w:rPr>
              <w:lastRenderedPageBreak/>
              <w:t>高温气冷堆核电站乏燃料现场贮存系统、装卸系统及新燃料运输系统相关设备、</w:t>
            </w:r>
            <w:r>
              <w:rPr>
                <w:sz w:val="24"/>
              </w:rPr>
              <w:t>HTL</w:t>
            </w:r>
            <w:r>
              <w:rPr>
                <w:sz w:val="24"/>
              </w:rPr>
              <w:t>电加热器等；核能产业下游主要产品有核燃料循环后处理厂专用核安全设备（核安全</w:t>
            </w:r>
            <w:r>
              <w:rPr>
                <w:sz w:val="24"/>
              </w:rPr>
              <w:t>2</w:t>
            </w:r>
            <w:r>
              <w:rPr>
                <w:sz w:val="24"/>
              </w:rPr>
              <w:t>、</w:t>
            </w:r>
            <w:r>
              <w:rPr>
                <w:sz w:val="24"/>
              </w:rPr>
              <w:t>3</w:t>
            </w:r>
            <w:r>
              <w:rPr>
                <w:sz w:val="24"/>
              </w:rPr>
              <w:t>级），包括萃取设备、后处理首端专用设备、储罐类设备及热交换器设备。公司借助青岛公司、换热公司、中核嘉华</w:t>
            </w:r>
            <w:r w:rsidRPr="001D5161">
              <w:rPr>
                <w:sz w:val="24"/>
              </w:rPr>
              <w:t>“</w:t>
            </w:r>
            <w:proofErr w:type="gramStart"/>
            <w:r w:rsidRPr="001D5161">
              <w:rPr>
                <w:sz w:val="24"/>
              </w:rPr>
              <w:t>一</w:t>
            </w:r>
            <w:proofErr w:type="gramEnd"/>
            <w:r w:rsidRPr="001D5161">
              <w:rPr>
                <w:sz w:val="24"/>
              </w:rPr>
              <w:t>中心三基地</w:t>
            </w:r>
            <w:r w:rsidRPr="001D5161">
              <w:rPr>
                <w:sz w:val="24"/>
              </w:rPr>
              <w:t>”</w:t>
            </w:r>
            <w:r>
              <w:rPr>
                <w:sz w:val="24"/>
              </w:rPr>
              <w:t>的优势布局，在核能上中下游全产业</w:t>
            </w:r>
            <w:proofErr w:type="gramStart"/>
            <w:r>
              <w:rPr>
                <w:sz w:val="24"/>
              </w:rPr>
              <w:t>链实现</w:t>
            </w:r>
            <w:proofErr w:type="gramEnd"/>
            <w:r>
              <w:rPr>
                <w:sz w:val="24"/>
              </w:rPr>
              <w:t>了快速的发展，在压水堆应急柴油机组压力容器及仪表用容器市场占有优势份额，成功研制出四代核电站用高温气冷堆</w:t>
            </w:r>
            <w:r>
              <w:rPr>
                <w:sz w:val="24"/>
              </w:rPr>
              <w:t>HTL</w:t>
            </w:r>
            <w:r>
              <w:rPr>
                <w:sz w:val="24"/>
              </w:rPr>
              <w:t>电加热器，子公司中核嘉华在核燃料贮运容器细分领域具有较高的市场占有率。同时公司拥有一类放射性物品运输容器制造许可证、民用核安全设备制造许可证等多个核领域资质证书并培育了一支拥有</w:t>
            </w:r>
            <w:proofErr w:type="gramStart"/>
            <w:r>
              <w:rPr>
                <w:sz w:val="24"/>
              </w:rPr>
              <w:t>百余名核级焊工及核级无损检测</w:t>
            </w:r>
            <w:proofErr w:type="gramEnd"/>
            <w:r>
              <w:rPr>
                <w:sz w:val="24"/>
              </w:rPr>
              <w:t>持证人员的专业队伍。</w:t>
            </w:r>
          </w:p>
          <w:p w:rsidR="007A01BF" w:rsidRDefault="000F4966">
            <w:pPr>
              <w:spacing w:line="440" w:lineRule="exact"/>
              <w:ind w:firstLineChars="200" w:firstLine="482"/>
              <w:outlineLvl w:val="0"/>
              <w:rPr>
                <w:b/>
                <w:bCs/>
                <w:sz w:val="24"/>
              </w:rPr>
            </w:pPr>
            <w:r>
              <w:rPr>
                <w:b/>
                <w:bCs/>
                <w:sz w:val="24"/>
              </w:rPr>
              <w:t>问题</w:t>
            </w:r>
            <w:r>
              <w:rPr>
                <w:rFonts w:hint="eastAsia"/>
                <w:b/>
                <w:bCs/>
                <w:sz w:val="24"/>
              </w:rPr>
              <w:t>1</w:t>
            </w:r>
            <w:r w:rsidR="00C067B8">
              <w:rPr>
                <w:rFonts w:hint="eastAsia"/>
                <w:b/>
                <w:bCs/>
                <w:sz w:val="24"/>
              </w:rPr>
              <w:t>0</w:t>
            </w:r>
            <w:r>
              <w:rPr>
                <w:b/>
                <w:bCs/>
                <w:sz w:val="24"/>
              </w:rPr>
              <w:t>：氢能作为未来产业，介绍一下公司在氢能业务方面的布局。</w:t>
            </w:r>
          </w:p>
          <w:p w:rsidR="007A01BF" w:rsidRDefault="000F4966">
            <w:pPr>
              <w:spacing w:line="440" w:lineRule="exact"/>
              <w:ind w:firstLineChars="200" w:firstLine="480"/>
              <w:outlineLvl w:val="0"/>
              <w:rPr>
                <w:sz w:val="24"/>
              </w:rPr>
            </w:pPr>
            <w:r>
              <w:rPr>
                <w:sz w:val="24"/>
              </w:rPr>
              <w:t>公司布局</w:t>
            </w:r>
            <w:r>
              <w:rPr>
                <w:sz w:val="24"/>
              </w:rPr>
              <w:t>“</w:t>
            </w:r>
            <w:r>
              <w:rPr>
                <w:sz w:val="24"/>
              </w:rPr>
              <w:t>制、储、用（加）</w:t>
            </w:r>
            <w:r>
              <w:rPr>
                <w:sz w:val="24"/>
              </w:rPr>
              <w:t>”</w:t>
            </w:r>
            <w:r>
              <w:rPr>
                <w:sz w:val="24"/>
              </w:rPr>
              <w:t>氢能产业，现已制造了</w:t>
            </w:r>
            <w:r>
              <w:rPr>
                <w:sz w:val="24"/>
              </w:rPr>
              <w:t>1000Nm3/h</w:t>
            </w:r>
            <w:r>
              <w:rPr>
                <w:sz w:val="24"/>
              </w:rPr>
              <w:t>碱性电解水制氢装备、全系列低中压储氢容器、微通道换热器（</w:t>
            </w:r>
            <w:r>
              <w:rPr>
                <w:sz w:val="24"/>
              </w:rPr>
              <w:t>PCHE</w:t>
            </w:r>
            <w:r>
              <w:rPr>
                <w:sz w:val="24"/>
              </w:rPr>
              <w:t>）等产品，是国内少数研制</w:t>
            </w:r>
            <w:r>
              <w:rPr>
                <w:sz w:val="24"/>
              </w:rPr>
              <w:t>98Mpa</w:t>
            </w:r>
            <w:r>
              <w:rPr>
                <w:sz w:val="24"/>
              </w:rPr>
              <w:t>高压气态系列储氢容器的企业。通过合资设立</w:t>
            </w:r>
            <w:proofErr w:type="gramStart"/>
            <w:r>
              <w:rPr>
                <w:sz w:val="24"/>
              </w:rPr>
              <w:t>兰石氨氢公司</w:t>
            </w:r>
            <w:proofErr w:type="gramEnd"/>
            <w:r>
              <w:rPr>
                <w:sz w:val="24"/>
              </w:rPr>
              <w:t>、推进兰石集团</w:t>
            </w:r>
            <w:proofErr w:type="gramStart"/>
            <w:r>
              <w:rPr>
                <w:sz w:val="24"/>
              </w:rPr>
              <w:t>绿氢制储</w:t>
            </w:r>
            <w:proofErr w:type="gramEnd"/>
            <w:r>
              <w:rPr>
                <w:sz w:val="24"/>
              </w:rPr>
              <w:t>用一体化试验示范项目建设，加快公司氢能产业布局以及氢能产品的市场化推广应用。</w:t>
            </w:r>
          </w:p>
          <w:p w:rsidR="007A01BF" w:rsidRDefault="000F4966">
            <w:pPr>
              <w:spacing w:line="440" w:lineRule="exact"/>
              <w:ind w:firstLineChars="200" w:firstLine="482"/>
              <w:outlineLvl w:val="0"/>
              <w:rPr>
                <w:b/>
                <w:bCs/>
                <w:sz w:val="24"/>
              </w:rPr>
            </w:pPr>
            <w:r>
              <w:rPr>
                <w:b/>
                <w:bCs/>
                <w:sz w:val="24"/>
              </w:rPr>
              <w:t>问题</w:t>
            </w:r>
            <w:r>
              <w:rPr>
                <w:rFonts w:hint="eastAsia"/>
                <w:b/>
                <w:bCs/>
                <w:sz w:val="24"/>
              </w:rPr>
              <w:t>1</w:t>
            </w:r>
            <w:r w:rsidR="00C067B8">
              <w:rPr>
                <w:rFonts w:hint="eastAsia"/>
                <w:b/>
                <w:bCs/>
                <w:sz w:val="24"/>
              </w:rPr>
              <w:t>1</w:t>
            </w:r>
            <w:r>
              <w:rPr>
                <w:b/>
                <w:bCs/>
                <w:sz w:val="24"/>
              </w:rPr>
              <w:t>：公司收购的中核嘉华</w:t>
            </w:r>
            <w:r w:rsidR="00237FD5">
              <w:rPr>
                <w:b/>
                <w:bCs/>
                <w:sz w:val="24"/>
              </w:rPr>
              <w:t>两年</w:t>
            </w:r>
            <w:r w:rsidR="00237FD5">
              <w:rPr>
                <w:rFonts w:hint="eastAsia"/>
                <w:b/>
                <w:bCs/>
                <w:sz w:val="24"/>
              </w:rPr>
              <w:t>利润不及业绩承诺</w:t>
            </w:r>
            <w:r>
              <w:rPr>
                <w:b/>
                <w:bCs/>
                <w:sz w:val="24"/>
              </w:rPr>
              <w:t>，就</w:t>
            </w:r>
            <w:r w:rsidR="00237FD5">
              <w:rPr>
                <w:b/>
                <w:bCs/>
                <w:sz w:val="24"/>
              </w:rPr>
              <w:t>中核</w:t>
            </w:r>
            <w:r>
              <w:rPr>
                <w:b/>
                <w:bCs/>
                <w:sz w:val="24"/>
              </w:rPr>
              <w:t>嘉华的质效提升公司将采取什么举措？</w:t>
            </w:r>
          </w:p>
          <w:p w:rsidR="007A01BF" w:rsidRDefault="000F4966">
            <w:pPr>
              <w:spacing w:line="440" w:lineRule="exact"/>
              <w:ind w:firstLineChars="200" w:firstLine="480"/>
              <w:outlineLvl w:val="0"/>
              <w:rPr>
                <w:sz w:val="24"/>
              </w:rPr>
            </w:pPr>
            <w:r>
              <w:rPr>
                <w:sz w:val="24"/>
              </w:rPr>
              <w:t>中核嘉华</w:t>
            </w:r>
            <w:r>
              <w:rPr>
                <w:sz w:val="24"/>
              </w:rPr>
              <w:t>2022-2023</w:t>
            </w:r>
            <w:r>
              <w:rPr>
                <w:sz w:val="24"/>
              </w:rPr>
              <w:t>年度累计实现净利润</w:t>
            </w:r>
            <w:r>
              <w:rPr>
                <w:sz w:val="24"/>
              </w:rPr>
              <w:t>536.78</w:t>
            </w:r>
            <w:r>
              <w:rPr>
                <w:sz w:val="24"/>
              </w:rPr>
              <w:t>万元，较两年业绩承诺相差</w:t>
            </w:r>
            <w:r>
              <w:rPr>
                <w:sz w:val="24"/>
              </w:rPr>
              <w:t>1663.22</w:t>
            </w:r>
            <w:r>
              <w:rPr>
                <w:sz w:val="24"/>
              </w:rPr>
              <w:t>万元，未能完成两年的业绩承诺。</w:t>
            </w:r>
            <w:r>
              <w:rPr>
                <w:sz w:val="24"/>
              </w:rPr>
              <w:t>2024</w:t>
            </w:r>
            <w:r>
              <w:rPr>
                <w:sz w:val="24"/>
              </w:rPr>
              <w:t>年公司将紧盯乏燃料后处理项目建设情况，以核能装备事业部为平台，统筹营销力量，加大市场开拓力度；加快完成</w:t>
            </w:r>
            <w:r>
              <w:rPr>
                <w:sz w:val="24"/>
              </w:rPr>
              <w:t>PLM</w:t>
            </w:r>
            <w:r>
              <w:rPr>
                <w:sz w:val="24"/>
              </w:rPr>
              <w:t>系统、焊接数字化系统、双重预防系统等数字化系统的建设使用，同时</w:t>
            </w:r>
            <w:proofErr w:type="gramStart"/>
            <w:r>
              <w:rPr>
                <w:sz w:val="24"/>
              </w:rPr>
              <w:t>加强核级资质</w:t>
            </w:r>
            <w:proofErr w:type="gramEnd"/>
            <w:r>
              <w:rPr>
                <w:sz w:val="24"/>
              </w:rPr>
              <w:t>人员培育力度，建立人员交流机制，支撑核能装备业务快速做大；积极与国内核电及核技术产业相关企业对接，充分挖掘市场需求，加强科技研发与市场开拓的深度融合，提升公司核能装备制造能力。</w:t>
            </w:r>
          </w:p>
          <w:p w:rsidR="007A01BF" w:rsidRDefault="000F4966">
            <w:pPr>
              <w:spacing w:line="440" w:lineRule="exact"/>
              <w:ind w:firstLineChars="200" w:firstLine="482"/>
              <w:outlineLvl w:val="0"/>
              <w:rPr>
                <w:b/>
                <w:bCs/>
                <w:sz w:val="24"/>
              </w:rPr>
            </w:pPr>
            <w:r>
              <w:rPr>
                <w:b/>
                <w:bCs/>
                <w:sz w:val="24"/>
              </w:rPr>
              <w:t>问题</w:t>
            </w:r>
            <w:r>
              <w:rPr>
                <w:rFonts w:hint="eastAsia"/>
                <w:b/>
                <w:bCs/>
                <w:sz w:val="24"/>
              </w:rPr>
              <w:t>1</w:t>
            </w:r>
            <w:r w:rsidR="00237FD5">
              <w:rPr>
                <w:rFonts w:hint="eastAsia"/>
                <w:b/>
                <w:bCs/>
                <w:sz w:val="24"/>
              </w:rPr>
              <w:t>2</w:t>
            </w:r>
            <w:r>
              <w:rPr>
                <w:b/>
                <w:bCs/>
                <w:sz w:val="24"/>
              </w:rPr>
              <w:t>：公司子公司重工公司入选国家级专精特新</w:t>
            </w:r>
            <w:r>
              <w:rPr>
                <w:b/>
                <w:bCs/>
                <w:sz w:val="24"/>
              </w:rPr>
              <w:t>“</w:t>
            </w:r>
            <w:r>
              <w:rPr>
                <w:b/>
                <w:bCs/>
                <w:sz w:val="24"/>
              </w:rPr>
              <w:t>小巨人</w:t>
            </w:r>
            <w:r>
              <w:rPr>
                <w:b/>
                <w:bCs/>
                <w:sz w:val="24"/>
              </w:rPr>
              <w:t>”</w:t>
            </w:r>
            <w:r>
              <w:rPr>
                <w:b/>
                <w:bCs/>
                <w:sz w:val="24"/>
              </w:rPr>
              <w:t>企业，该公司业务有何特点，处于什么发展阶段？</w:t>
            </w:r>
          </w:p>
          <w:p w:rsidR="007A01BF" w:rsidRDefault="000F4966">
            <w:pPr>
              <w:spacing w:line="440" w:lineRule="exact"/>
              <w:ind w:firstLineChars="200" w:firstLine="480"/>
              <w:outlineLvl w:val="0"/>
              <w:rPr>
                <w:sz w:val="24"/>
              </w:rPr>
            </w:pPr>
            <w:r>
              <w:rPr>
                <w:sz w:val="24"/>
              </w:rPr>
              <w:lastRenderedPageBreak/>
              <w:t>2023</w:t>
            </w:r>
            <w:r>
              <w:rPr>
                <w:sz w:val="24"/>
              </w:rPr>
              <w:t>年，公司全资子公司重工公司入选国家级专精特新</w:t>
            </w:r>
            <w:r>
              <w:rPr>
                <w:sz w:val="24"/>
              </w:rPr>
              <w:t>“</w:t>
            </w:r>
            <w:r>
              <w:rPr>
                <w:sz w:val="24"/>
              </w:rPr>
              <w:t>小巨人</w:t>
            </w:r>
            <w:r>
              <w:rPr>
                <w:sz w:val="24"/>
              </w:rPr>
              <w:t>”</w:t>
            </w:r>
            <w:r>
              <w:rPr>
                <w:sz w:val="24"/>
              </w:rPr>
              <w:t>企业，凭借专业技术及产品智能化优势，还入选了北交所首批</w:t>
            </w:r>
            <w:r>
              <w:rPr>
                <w:sz w:val="24"/>
              </w:rPr>
              <w:t>“</w:t>
            </w:r>
            <w:r>
              <w:rPr>
                <w:sz w:val="24"/>
              </w:rPr>
              <w:t>甘肃省挂牌上市后备企业</w:t>
            </w:r>
            <w:r>
              <w:rPr>
                <w:sz w:val="24"/>
              </w:rPr>
              <w:t>”</w:t>
            </w:r>
            <w:r>
              <w:rPr>
                <w:sz w:val="24"/>
              </w:rPr>
              <w:t>资源库。重工公司具有多年使用、设计、制造锻压机组装备的经验，在</w:t>
            </w:r>
            <w:proofErr w:type="gramStart"/>
            <w:r>
              <w:rPr>
                <w:sz w:val="24"/>
              </w:rPr>
              <w:t>国内快</w:t>
            </w:r>
            <w:proofErr w:type="gramEnd"/>
            <w:r>
              <w:rPr>
                <w:sz w:val="24"/>
              </w:rPr>
              <w:t>锻压机市场占有优势份额。</w:t>
            </w:r>
            <w:r>
              <w:rPr>
                <w:sz w:val="24"/>
              </w:rPr>
              <w:t>“</w:t>
            </w:r>
            <w:r>
              <w:rPr>
                <w:sz w:val="24"/>
              </w:rPr>
              <w:t>快速锻造液压机组、径向锻造机、重型全液压三辊、四辊卷板机</w:t>
            </w:r>
            <w:r>
              <w:rPr>
                <w:sz w:val="24"/>
              </w:rPr>
              <w:t>”</w:t>
            </w:r>
            <w:r>
              <w:rPr>
                <w:sz w:val="24"/>
              </w:rPr>
              <w:t>等系列产品均属机、电、液一体化工业大型设备，具有国际先进水平；重工公司成功研发制造国内</w:t>
            </w:r>
            <w:r>
              <w:rPr>
                <w:sz w:val="24"/>
              </w:rPr>
              <w:t>“</w:t>
            </w:r>
            <w:r>
              <w:rPr>
                <w:sz w:val="24"/>
              </w:rPr>
              <w:t>卡脖子</w:t>
            </w:r>
            <w:r>
              <w:rPr>
                <w:sz w:val="24"/>
              </w:rPr>
              <w:t>”</w:t>
            </w:r>
            <w:r>
              <w:rPr>
                <w:sz w:val="24"/>
              </w:rPr>
              <w:t>产品之一的径向锻造机，打破国外垄断并实现产品出口；智能化立体仓库、立体车库、打磨机器人、锤替代压机等设备应用于各相关领域；</w:t>
            </w:r>
            <w:r>
              <w:rPr>
                <w:sz w:val="24"/>
              </w:rPr>
              <w:t>“</w:t>
            </w:r>
            <w:r>
              <w:rPr>
                <w:sz w:val="24"/>
              </w:rPr>
              <w:t>重型四辊全液压卷板机</w:t>
            </w:r>
            <w:r>
              <w:rPr>
                <w:sz w:val="24"/>
              </w:rPr>
              <w:t>”</w:t>
            </w:r>
            <w:r>
              <w:rPr>
                <w:sz w:val="24"/>
              </w:rPr>
              <w:t>技术水平达到了世界领先，使我国成为继德国之后世界上第二个可制造此类大型装备的国家。在压延装备所属的自由锻领域，重工公司的整体技术能力、智能化和信息化程度处于国内领先地位。</w:t>
            </w:r>
          </w:p>
          <w:p w:rsidR="007A01BF" w:rsidRDefault="000F4966">
            <w:pPr>
              <w:spacing w:line="440" w:lineRule="exact"/>
              <w:ind w:firstLineChars="200" w:firstLine="482"/>
              <w:outlineLvl w:val="0"/>
              <w:rPr>
                <w:b/>
                <w:bCs/>
                <w:sz w:val="24"/>
              </w:rPr>
            </w:pPr>
            <w:r>
              <w:rPr>
                <w:b/>
                <w:bCs/>
                <w:sz w:val="24"/>
              </w:rPr>
              <w:t>问题</w:t>
            </w:r>
            <w:r w:rsidR="00237FD5">
              <w:rPr>
                <w:rFonts w:hint="eastAsia"/>
                <w:b/>
                <w:bCs/>
                <w:sz w:val="24"/>
              </w:rPr>
              <w:t>13</w:t>
            </w:r>
            <w:r>
              <w:rPr>
                <w:b/>
                <w:bCs/>
                <w:sz w:val="24"/>
              </w:rPr>
              <w:t>：介绍一下公司</w:t>
            </w:r>
            <w:r>
              <w:rPr>
                <w:b/>
                <w:bCs/>
                <w:sz w:val="24"/>
              </w:rPr>
              <w:t>CCUS</w:t>
            </w:r>
            <w:r>
              <w:rPr>
                <w:b/>
                <w:bCs/>
                <w:sz w:val="24"/>
              </w:rPr>
              <w:t>领域主要产品及市场开拓情况。</w:t>
            </w:r>
          </w:p>
          <w:p w:rsidR="007A01BF" w:rsidRDefault="000F4966">
            <w:pPr>
              <w:spacing w:line="440" w:lineRule="exact"/>
              <w:ind w:firstLineChars="200" w:firstLine="480"/>
              <w:outlineLvl w:val="0"/>
              <w:rPr>
                <w:sz w:val="24"/>
              </w:rPr>
            </w:pPr>
            <w:r>
              <w:rPr>
                <w:sz w:val="24"/>
              </w:rPr>
              <w:t>公司研制了二氧化碳捕集阶段和合成利用（</w:t>
            </w:r>
            <w:r>
              <w:rPr>
                <w:sz w:val="24"/>
              </w:rPr>
              <w:t>CCUS</w:t>
            </w:r>
            <w:r>
              <w:rPr>
                <w:sz w:val="24"/>
              </w:rPr>
              <w:t>）吸收塔、再生塔、再生分离器等核心装置，并承接了全球最大</w:t>
            </w:r>
            <w:r>
              <w:rPr>
                <w:sz w:val="24"/>
              </w:rPr>
              <w:t>CCUS</w:t>
            </w:r>
            <w:r>
              <w:rPr>
                <w:sz w:val="24"/>
              </w:rPr>
              <w:t>项目首台（套）重大技术装备示范项目</w:t>
            </w:r>
            <w:r>
              <w:rPr>
                <w:sz w:val="24"/>
              </w:rPr>
              <w:t>—</w:t>
            </w:r>
            <w:r>
              <w:rPr>
                <w:sz w:val="24"/>
              </w:rPr>
              <w:t>华能</w:t>
            </w:r>
            <w:proofErr w:type="gramStart"/>
            <w:r>
              <w:rPr>
                <w:sz w:val="24"/>
              </w:rPr>
              <w:t>清能院碳</w:t>
            </w:r>
            <w:proofErr w:type="gramEnd"/>
            <w:r>
              <w:rPr>
                <w:sz w:val="24"/>
              </w:rPr>
              <w:t>捕集工程塔器及附属设备，具有重大的引领示范效应。</w:t>
            </w:r>
            <w:r>
              <w:rPr>
                <w:rFonts w:ascii="宋体" w:hAnsi="宋体" w:cs="宋体"/>
                <w:sz w:val="24"/>
              </w:rPr>
              <w:t>根据2023年7月发布的《中国碳捕集利用与封存年度报告（2023）》，当前我国规划和运行CCUS示范项目总数接近百个，涵盖电力、油气、化工等多个行业，其中超过半数的项目建成投产，具备二氧化碳捕集能力超过400万吨/年，注入能力超过200万吨/年。在政策和行业发展趋势影响下，公司大力拓展二氧化碳捕集与合成利用设备（CCUS）等节能环保装备市场开拓。</w:t>
            </w:r>
          </w:p>
          <w:p w:rsidR="007A01BF" w:rsidRDefault="000F4966">
            <w:pPr>
              <w:spacing w:line="440" w:lineRule="exact"/>
              <w:ind w:firstLineChars="200" w:firstLine="482"/>
              <w:outlineLvl w:val="0"/>
              <w:rPr>
                <w:b/>
                <w:bCs/>
                <w:sz w:val="24"/>
              </w:rPr>
            </w:pPr>
            <w:r>
              <w:rPr>
                <w:b/>
                <w:bCs/>
                <w:sz w:val="24"/>
              </w:rPr>
              <w:t>问题</w:t>
            </w:r>
            <w:r>
              <w:rPr>
                <w:b/>
                <w:bCs/>
                <w:sz w:val="24"/>
              </w:rPr>
              <w:t>1</w:t>
            </w:r>
            <w:r w:rsidR="00237FD5">
              <w:rPr>
                <w:rFonts w:hint="eastAsia"/>
                <w:b/>
                <w:bCs/>
                <w:sz w:val="24"/>
              </w:rPr>
              <w:t>4</w:t>
            </w:r>
            <w:r>
              <w:rPr>
                <w:b/>
                <w:bCs/>
                <w:sz w:val="24"/>
              </w:rPr>
              <w:t>：公司传统行业订单一直保持稳定状态，今年煤化工订单较去年有所增长，能否介绍一下煤化</w:t>
            </w:r>
            <w:proofErr w:type="gramStart"/>
            <w:r>
              <w:rPr>
                <w:b/>
                <w:bCs/>
                <w:sz w:val="24"/>
              </w:rPr>
              <w:t>工领域</w:t>
            </w:r>
            <w:proofErr w:type="gramEnd"/>
            <w:r>
              <w:rPr>
                <w:b/>
                <w:bCs/>
                <w:sz w:val="24"/>
              </w:rPr>
              <w:t>的业绩及产品？</w:t>
            </w:r>
          </w:p>
          <w:p w:rsidR="007A01BF" w:rsidRDefault="000F4966">
            <w:pPr>
              <w:spacing w:line="440" w:lineRule="exact"/>
              <w:ind w:firstLineChars="200" w:firstLine="480"/>
              <w:outlineLvl w:val="0"/>
              <w:rPr>
                <w:sz w:val="24"/>
              </w:rPr>
            </w:pPr>
            <w:r>
              <w:rPr>
                <w:rFonts w:ascii="宋体" w:hAnsi="宋体" w:cs="宋体"/>
                <w:sz w:val="24"/>
              </w:rPr>
              <w:t>“富煤贫油少气”是我国的基本国情，经过多年发展，我国现代煤化工技术和产业规模总体已处于国际领先地位，呈现工艺路线多，迭代速度快等特点</w:t>
            </w:r>
            <w:r>
              <w:rPr>
                <w:rFonts w:ascii="宋体" w:hAnsi="宋体" w:cs="宋体" w:hint="eastAsia"/>
                <w:sz w:val="24"/>
              </w:rPr>
              <w:t>。</w:t>
            </w:r>
            <w:r>
              <w:rPr>
                <w:rFonts w:ascii="宋体" w:hAnsi="宋体" w:cs="宋体"/>
                <w:sz w:val="24"/>
              </w:rPr>
              <w:t>在相关利好政策驱动下，2023年国内煤化工企业加快实施先进技术装备改造升级</w:t>
            </w:r>
            <w:r>
              <w:rPr>
                <w:rFonts w:ascii="宋体" w:hAnsi="宋体" w:cs="宋体" w:hint="eastAsia"/>
                <w:sz w:val="24"/>
              </w:rPr>
              <w:t>，作</w:t>
            </w:r>
            <w:r>
              <w:rPr>
                <w:rFonts w:ascii="宋体" w:hAnsi="宋体" w:cs="宋体" w:hint="eastAsia"/>
                <w:sz w:val="24"/>
              </w:rPr>
              <w:lastRenderedPageBreak/>
              <w:t>为煤化</w:t>
            </w:r>
            <w:proofErr w:type="gramStart"/>
            <w:r>
              <w:rPr>
                <w:rFonts w:ascii="宋体" w:hAnsi="宋体" w:cs="宋体" w:hint="eastAsia"/>
                <w:sz w:val="24"/>
              </w:rPr>
              <w:t>工核心</w:t>
            </w:r>
            <w:proofErr w:type="gramEnd"/>
            <w:r>
              <w:rPr>
                <w:rFonts w:ascii="宋体" w:hAnsi="宋体" w:cs="宋体" w:hint="eastAsia"/>
                <w:sz w:val="24"/>
              </w:rPr>
              <w:t>设备供应商，公司</w:t>
            </w:r>
            <w:r>
              <w:rPr>
                <w:sz w:val="24"/>
              </w:rPr>
              <w:t>2023</w:t>
            </w:r>
            <w:r>
              <w:rPr>
                <w:sz w:val="24"/>
              </w:rPr>
              <w:t>年煤化工装备市场取得订单</w:t>
            </w:r>
            <w:r>
              <w:rPr>
                <w:sz w:val="24"/>
              </w:rPr>
              <w:t>7.47</w:t>
            </w:r>
            <w:r>
              <w:rPr>
                <w:sz w:val="24"/>
              </w:rPr>
              <w:t>亿元，同比增长</w:t>
            </w:r>
            <w:r>
              <w:rPr>
                <w:sz w:val="24"/>
              </w:rPr>
              <w:t>13.94%</w:t>
            </w:r>
            <w:r>
              <w:rPr>
                <w:rFonts w:hint="eastAsia"/>
                <w:sz w:val="24"/>
              </w:rPr>
              <w:t>。</w:t>
            </w:r>
            <w:r>
              <w:rPr>
                <w:sz w:val="24"/>
              </w:rPr>
              <w:t>公司煤化</w:t>
            </w:r>
            <w:proofErr w:type="gramStart"/>
            <w:r>
              <w:rPr>
                <w:sz w:val="24"/>
              </w:rPr>
              <w:t>工领域</w:t>
            </w:r>
            <w:proofErr w:type="gramEnd"/>
            <w:r>
              <w:rPr>
                <w:sz w:val="24"/>
              </w:rPr>
              <w:t>主要产品有气化炉、</w:t>
            </w:r>
            <w:proofErr w:type="gramStart"/>
            <w:r>
              <w:rPr>
                <w:sz w:val="24"/>
              </w:rPr>
              <w:t>费托反应器</w:t>
            </w:r>
            <w:proofErr w:type="gramEnd"/>
            <w:r>
              <w:rPr>
                <w:sz w:val="24"/>
              </w:rPr>
              <w:t>、变换炉、水洗塔、中间换热器、废热锅炉等。</w:t>
            </w:r>
          </w:p>
          <w:p w:rsidR="007A01BF" w:rsidRDefault="000F4966">
            <w:pPr>
              <w:spacing w:line="440" w:lineRule="exact"/>
              <w:ind w:firstLineChars="200" w:firstLine="482"/>
              <w:outlineLvl w:val="0"/>
              <w:rPr>
                <w:b/>
                <w:bCs/>
                <w:sz w:val="24"/>
              </w:rPr>
            </w:pPr>
            <w:r>
              <w:rPr>
                <w:b/>
                <w:bCs/>
                <w:sz w:val="24"/>
              </w:rPr>
              <w:t>问题</w:t>
            </w:r>
            <w:r>
              <w:rPr>
                <w:b/>
                <w:bCs/>
                <w:sz w:val="24"/>
              </w:rPr>
              <w:t>1</w:t>
            </w:r>
            <w:r w:rsidR="00237FD5">
              <w:rPr>
                <w:rFonts w:hint="eastAsia"/>
                <w:b/>
                <w:bCs/>
                <w:sz w:val="24"/>
              </w:rPr>
              <w:t>5</w:t>
            </w:r>
            <w:r>
              <w:rPr>
                <w:b/>
                <w:bCs/>
                <w:sz w:val="24"/>
              </w:rPr>
              <w:t>：报告中提到</w:t>
            </w:r>
            <w:r>
              <w:rPr>
                <w:b/>
                <w:bCs/>
                <w:sz w:val="24"/>
              </w:rPr>
              <w:t>“1333</w:t>
            </w:r>
            <w:r>
              <w:rPr>
                <w:b/>
                <w:bCs/>
                <w:sz w:val="24"/>
              </w:rPr>
              <w:t>战略</w:t>
            </w:r>
            <w:r>
              <w:rPr>
                <w:b/>
                <w:bCs/>
                <w:sz w:val="24"/>
              </w:rPr>
              <w:t>”</w:t>
            </w:r>
            <w:r>
              <w:rPr>
                <w:b/>
                <w:bCs/>
                <w:sz w:val="24"/>
              </w:rPr>
              <w:t>，请具体介绍一下。</w:t>
            </w:r>
          </w:p>
          <w:p w:rsidR="007A01BF" w:rsidRDefault="000F4966">
            <w:pPr>
              <w:spacing w:line="440" w:lineRule="exact"/>
              <w:ind w:firstLineChars="200" w:firstLine="480"/>
              <w:outlineLvl w:val="0"/>
              <w:rPr>
                <w:sz w:val="24"/>
              </w:rPr>
            </w:pPr>
            <w:r>
              <w:rPr>
                <w:sz w:val="24"/>
              </w:rPr>
              <w:t>在新时期</w:t>
            </w:r>
            <w:r>
              <w:rPr>
                <w:sz w:val="24"/>
              </w:rPr>
              <w:t>“1333</w:t>
            </w:r>
            <w:r>
              <w:rPr>
                <w:sz w:val="24"/>
              </w:rPr>
              <w:t>战略</w:t>
            </w:r>
            <w:r>
              <w:rPr>
                <w:sz w:val="24"/>
              </w:rPr>
              <w:t>”</w:t>
            </w:r>
            <w:r>
              <w:rPr>
                <w:sz w:val="24"/>
              </w:rPr>
              <w:t>引领下，公司将以建设</w:t>
            </w:r>
            <w:r>
              <w:rPr>
                <w:sz w:val="24"/>
              </w:rPr>
              <w:t>“</w:t>
            </w:r>
            <w:r>
              <w:rPr>
                <w:sz w:val="24"/>
              </w:rPr>
              <w:t>百亿兰石</w:t>
            </w:r>
            <w:r>
              <w:rPr>
                <w:sz w:val="24"/>
              </w:rPr>
              <w:t>”</w:t>
            </w:r>
            <w:r>
              <w:rPr>
                <w:sz w:val="24"/>
              </w:rPr>
              <w:t>、</w:t>
            </w:r>
            <w:r>
              <w:rPr>
                <w:sz w:val="24"/>
              </w:rPr>
              <w:t>“</w:t>
            </w:r>
            <w:r>
              <w:rPr>
                <w:sz w:val="24"/>
              </w:rPr>
              <w:t>百年兰石</w:t>
            </w:r>
            <w:r>
              <w:rPr>
                <w:sz w:val="24"/>
              </w:rPr>
              <w:t>”</w:t>
            </w:r>
            <w:r>
              <w:rPr>
                <w:sz w:val="24"/>
              </w:rPr>
              <w:t>、</w:t>
            </w:r>
            <w:r>
              <w:rPr>
                <w:sz w:val="24"/>
              </w:rPr>
              <w:t>“</w:t>
            </w:r>
            <w:r>
              <w:rPr>
                <w:sz w:val="24"/>
              </w:rPr>
              <w:t>幸福兰石</w:t>
            </w:r>
            <w:r>
              <w:rPr>
                <w:sz w:val="24"/>
              </w:rPr>
              <w:t>”</w:t>
            </w:r>
            <w:r>
              <w:rPr>
                <w:sz w:val="24"/>
              </w:rPr>
              <w:t>为三大发展目标，以人才支撑、精益管理、党的建设为三大路径，以科技创新、数字化转型、国际化经营为三大保障，致力于将公司打造为具有数据洞察和产业整合能力的高端能源化工装备整体解决方案服务商。</w:t>
            </w:r>
          </w:p>
          <w:p w:rsidR="007A01BF" w:rsidRDefault="000F4966">
            <w:pPr>
              <w:spacing w:line="440" w:lineRule="exact"/>
              <w:ind w:firstLineChars="200" w:firstLine="482"/>
              <w:outlineLvl w:val="0"/>
              <w:rPr>
                <w:b/>
                <w:bCs/>
                <w:sz w:val="24"/>
              </w:rPr>
            </w:pPr>
            <w:r>
              <w:rPr>
                <w:b/>
                <w:bCs/>
                <w:sz w:val="24"/>
              </w:rPr>
              <w:t>问题</w:t>
            </w:r>
            <w:r w:rsidR="00237FD5">
              <w:rPr>
                <w:rFonts w:hint="eastAsia"/>
                <w:b/>
                <w:bCs/>
                <w:sz w:val="24"/>
              </w:rPr>
              <w:t>16</w:t>
            </w:r>
            <w:r>
              <w:rPr>
                <w:b/>
                <w:bCs/>
                <w:sz w:val="24"/>
              </w:rPr>
              <w:t>：公司未来是否会有分红规划？</w:t>
            </w:r>
          </w:p>
          <w:p w:rsidR="007A01BF" w:rsidRDefault="000F4966">
            <w:pPr>
              <w:spacing w:line="440" w:lineRule="exact"/>
              <w:ind w:firstLineChars="200" w:firstLine="480"/>
              <w:outlineLvl w:val="0"/>
              <w:rPr>
                <w:sz w:val="24"/>
              </w:rPr>
            </w:pPr>
            <w:r>
              <w:rPr>
                <w:rFonts w:hint="eastAsia"/>
                <w:sz w:val="24"/>
              </w:rPr>
              <w:t>公司高度重视投资者回报，已在《公司章程》中明确分红标准，受限于</w:t>
            </w:r>
            <w:r>
              <w:rPr>
                <w:sz w:val="24"/>
              </w:rPr>
              <w:t>2023</w:t>
            </w:r>
            <w:r>
              <w:rPr>
                <w:sz w:val="24"/>
              </w:rPr>
              <w:t>年末公司合并报表累计可供分配利润为</w:t>
            </w:r>
            <w:r>
              <w:rPr>
                <w:rFonts w:hint="eastAsia"/>
                <w:sz w:val="24"/>
              </w:rPr>
              <w:t>负影响</w:t>
            </w:r>
            <w:r>
              <w:rPr>
                <w:sz w:val="24"/>
              </w:rPr>
              <w:t>，</w:t>
            </w:r>
            <w:r>
              <w:rPr>
                <w:rFonts w:hint="eastAsia"/>
                <w:sz w:val="24"/>
              </w:rPr>
              <w:t>公司</w:t>
            </w:r>
            <w:r>
              <w:rPr>
                <w:rFonts w:hint="eastAsia"/>
                <w:sz w:val="24"/>
              </w:rPr>
              <w:t>2023</w:t>
            </w:r>
            <w:r>
              <w:rPr>
                <w:rFonts w:hint="eastAsia"/>
                <w:sz w:val="24"/>
              </w:rPr>
              <w:t>年</w:t>
            </w:r>
            <w:r>
              <w:rPr>
                <w:sz w:val="24"/>
              </w:rPr>
              <w:t>尚不具备分红的条件</w:t>
            </w:r>
            <w:r>
              <w:rPr>
                <w:rFonts w:hint="eastAsia"/>
                <w:sz w:val="24"/>
              </w:rPr>
              <w:t>。未来公司将根据生产经营、未来发展规划以及经营现金流等实际情况，在不影响公司长期健康发展的前提下制定分红方案，积极回报投资者，感谢您的关注。</w:t>
            </w:r>
          </w:p>
        </w:tc>
      </w:tr>
      <w:tr w:rsidR="007A01BF">
        <w:trPr>
          <w:trHeight w:val="382"/>
          <w:jc w:val="center"/>
        </w:trPr>
        <w:tc>
          <w:tcPr>
            <w:tcW w:w="1701" w:type="dxa"/>
            <w:vAlign w:val="center"/>
          </w:tcPr>
          <w:p w:rsidR="007A01BF" w:rsidRDefault="000F4966">
            <w:pPr>
              <w:spacing w:line="360" w:lineRule="auto"/>
              <w:jc w:val="center"/>
              <w:rPr>
                <w:bCs/>
                <w:iCs/>
                <w:color w:val="000000"/>
                <w:sz w:val="24"/>
              </w:rPr>
            </w:pPr>
            <w:r>
              <w:rPr>
                <w:bCs/>
                <w:iCs/>
                <w:color w:val="000000"/>
                <w:sz w:val="24"/>
              </w:rPr>
              <w:lastRenderedPageBreak/>
              <w:t>附件清单</w:t>
            </w:r>
          </w:p>
        </w:tc>
        <w:tc>
          <w:tcPr>
            <w:tcW w:w="6751" w:type="dxa"/>
            <w:vAlign w:val="center"/>
          </w:tcPr>
          <w:p w:rsidR="007A01BF" w:rsidRDefault="000F4966">
            <w:pPr>
              <w:spacing w:line="360" w:lineRule="auto"/>
              <w:jc w:val="center"/>
              <w:rPr>
                <w:bCs/>
                <w:iCs/>
                <w:color w:val="000000"/>
                <w:sz w:val="24"/>
              </w:rPr>
            </w:pPr>
            <w:r>
              <w:rPr>
                <w:bCs/>
                <w:iCs/>
                <w:color w:val="000000"/>
                <w:sz w:val="24"/>
              </w:rPr>
              <w:t>无</w:t>
            </w:r>
          </w:p>
        </w:tc>
      </w:tr>
      <w:tr w:rsidR="007A01BF">
        <w:trPr>
          <w:trHeight w:val="377"/>
          <w:jc w:val="center"/>
        </w:trPr>
        <w:tc>
          <w:tcPr>
            <w:tcW w:w="1701" w:type="dxa"/>
            <w:vAlign w:val="center"/>
          </w:tcPr>
          <w:p w:rsidR="007A01BF" w:rsidRDefault="000F4966">
            <w:pPr>
              <w:spacing w:line="360" w:lineRule="auto"/>
              <w:jc w:val="center"/>
              <w:rPr>
                <w:bCs/>
                <w:iCs/>
                <w:color w:val="000000"/>
                <w:sz w:val="24"/>
              </w:rPr>
            </w:pPr>
            <w:r>
              <w:rPr>
                <w:bCs/>
                <w:iCs/>
                <w:color w:val="000000"/>
                <w:sz w:val="24"/>
              </w:rPr>
              <w:t>日期</w:t>
            </w:r>
          </w:p>
        </w:tc>
        <w:tc>
          <w:tcPr>
            <w:tcW w:w="6751" w:type="dxa"/>
            <w:vAlign w:val="center"/>
          </w:tcPr>
          <w:p w:rsidR="007A01BF" w:rsidRDefault="000F4966">
            <w:pPr>
              <w:spacing w:line="360" w:lineRule="auto"/>
              <w:jc w:val="center"/>
              <w:rPr>
                <w:bCs/>
                <w:iCs/>
                <w:color w:val="000000"/>
                <w:sz w:val="24"/>
              </w:rPr>
            </w:pPr>
            <w:r>
              <w:rPr>
                <w:bCs/>
                <w:iCs/>
                <w:color w:val="000000"/>
                <w:sz w:val="24"/>
              </w:rPr>
              <w:t>202</w:t>
            </w:r>
            <w:r>
              <w:rPr>
                <w:rFonts w:hint="eastAsia"/>
                <w:bCs/>
                <w:iCs/>
                <w:color w:val="000000"/>
                <w:sz w:val="24"/>
              </w:rPr>
              <w:t>4</w:t>
            </w:r>
            <w:r>
              <w:rPr>
                <w:bCs/>
                <w:iCs/>
                <w:color w:val="000000"/>
                <w:sz w:val="24"/>
              </w:rPr>
              <w:t>年</w:t>
            </w:r>
            <w:r>
              <w:rPr>
                <w:rFonts w:hint="eastAsia"/>
                <w:bCs/>
                <w:iCs/>
                <w:color w:val="000000"/>
                <w:sz w:val="24"/>
              </w:rPr>
              <w:t>4</w:t>
            </w:r>
            <w:r>
              <w:rPr>
                <w:bCs/>
                <w:iCs/>
                <w:color w:val="000000"/>
                <w:sz w:val="24"/>
              </w:rPr>
              <w:t>月</w:t>
            </w:r>
            <w:r>
              <w:rPr>
                <w:rFonts w:hint="eastAsia"/>
                <w:bCs/>
                <w:iCs/>
                <w:color w:val="000000"/>
                <w:sz w:val="24"/>
              </w:rPr>
              <w:t>19</w:t>
            </w:r>
            <w:r>
              <w:rPr>
                <w:bCs/>
                <w:iCs/>
                <w:color w:val="000000"/>
                <w:sz w:val="24"/>
              </w:rPr>
              <w:t>日</w:t>
            </w:r>
          </w:p>
        </w:tc>
      </w:tr>
    </w:tbl>
    <w:p w:rsidR="007A01BF" w:rsidRDefault="007A01BF">
      <w:pPr>
        <w:spacing w:line="360" w:lineRule="auto"/>
        <w:jc w:val="left"/>
        <w:rPr>
          <w:bCs/>
          <w:iCs/>
          <w:color w:val="000000"/>
          <w:sz w:val="24"/>
        </w:rPr>
      </w:pPr>
    </w:p>
    <w:sectPr w:rsidR="007A01BF">
      <w:footerReference w:type="default" r:id="rId9"/>
      <w:pgSz w:w="11906" w:h="16838"/>
      <w:pgMar w:top="1276" w:right="1800" w:bottom="993" w:left="1800" w:header="851" w:footer="34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97" w:rsidRDefault="007E4197">
      <w:r>
        <w:separator/>
      </w:r>
    </w:p>
  </w:endnote>
  <w:endnote w:type="continuationSeparator" w:id="0">
    <w:p w:rsidR="007E4197" w:rsidRDefault="007E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1118"/>
    </w:sdtPr>
    <w:sdtEndPr/>
    <w:sdtContent>
      <w:p w:rsidR="007A01BF" w:rsidRDefault="000F4966">
        <w:pPr>
          <w:pStyle w:val="a6"/>
          <w:jc w:val="center"/>
        </w:pPr>
        <w:r>
          <w:rPr>
            <w:sz w:val="21"/>
          </w:rPr>
          <w:fldChar w:fldCharType="begin"/>
        </w:r>
        <w:r>
          <w:rPr>
            <w:sz w:val="21"/>
          </w:rPr>
          <w:instrText>PAGE   \* MERGEFORMAT</w:instrText>
        </w:r>
        <w:r>
          <w:rPr>
            <w:sz w:val="21"/>
          </w:rPr>
          <w:fldChar w:fldCharType="separate"/>
        </w:r>
        <w:r w:rsidR="000C660F" w:rsidRPr="000C660F">
          <w:rPr>
            <w:noProof/>
            <w:sz w:val="21"/>
            <w:lang w:val="zh-CN"/>
          </w:rPr>
          <w:t>2</w:t>
        </w:r>
        <w:r>
          <w:rPr>
            <w:sz w:val="21"/>
          </w:rPr>
          <w:fldChar w:fldCharType="end"/>
        </w:r>
      </w:p>
    </w:sdtContent>
  </w:sdt>
  <w:p w:rsidR="007A01BF" w:rsidRDefault="007A01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97" w:rsidRDefault="007E4197">
      <w:r>
        <w:separator/>
      </w:r>
    </w:p>
  </w:footnote>
  <w:footnote w:type="continuationSeparator" w:id="0">
    <w:p w:rsidR="007E4197" w:rsidRDefault="007E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1CB203"/>
    <w:multiLevelType w:val="singleLevel"/>
    <w:tmpl w:val="CD1CB20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720"/>
  <w:drawingGridHorizontalSpacing w:val="105"/>
  <w:drawingGridVerticalSpacing w:val="156"/>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BF"/>
    <w:rsid w:val="000C660F"/>
    <w:rsid w:val="000F4966"/>
    <w:rsid w:val="001D5161"/>
    <w:rsid w:val="00237FD5"/>
    <w:rsid w:val="00353D43"/>
    <w:rsid w:val="00381F6C"/>
    <w:rsid w:val="007A01BF"/>
    <w:rsid w:val="007B1C4B"/>
    <w:rsid w:val="007E4197"/>
    <w:rsid w:val="008061D7"/>
    <w:rsid w:val="00C067B8"/>
    <w:rsid w:val="00C42083"/>
    <w:rsid w:val="00D1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styleId="a9">
    <w:name w:val="annotation reference"/>
    <w:basedOn w:val="a0"/>
    <w:link w:val="Style139"/>
    <w:unhideWhenUsed/>
    <w:qFormat/>
    <w:rPr>
      <w:sz w:val="21"/>
      <w:szCs w:val="21"/>
    </w:rPr>
  </w:style>
  <w:style w:type="paragraph" w:customStyle="1" w:styleId="Style139">
    <w:name w:val="_Style 139"/>
    <w:basedOn w:val="a"/>
    <w:link w:val="a9"/>
    <w:qFormat/>
    <w:pPr>
      <w:spacing w:after="120"/>
    </w:pPr>
    <w:rPr>
      <w:rFonts w:ascii="Calibri" w:eastAsia="微软雅黑" w:hAnsi="Calibri"/>
      <w:kern w:val="0"/>
      <w:szCs w:val="21"/>
    </w:rPr>
  </w:style>
  <w:style w:type="character" w:customStyle="1" w:styleId="Char3">
    <w:name w:val="页眉 Char"/>
    <w:basedOn w:val="a0"/>
    <w:link w:val="a7"/>
    <w:rPr>
      <w:rFonts w:ascii="Times New Roman" w:eastAsia="宋体" w:hAnsi="Times New Roman"/>
      <w:kern w:val="2"/>
      <w:sz w:val="18"/>
      <w:szCs w:val="18"/>
    </w:rPr>
  </w:style>
  <w:style w:type="character" w:customStyle="1" w:styleId="Char2">
    <w:name w:val="页脚 Char"/>
    <w:basedOn w:val="a0"/>
    <w:link w:val="a6"/>
    <w:uiPriority w:val="99"/>
    <w:rPr>
      <w:rFonts w:ascii="Times New Roman" w:eastAsia="宋体" w:hAnsi="Times New Roman"/>
      <w:kern w:val="2"/>
      <w:sz w:val="18"/>
      <w:szCs w:val="18"/>
    </w:rPr>
  </w:style>
  <w:style w:type="character" w:customStyle="1" w:styleId="Char1">
    <w:name w:val="批注框文本 Char"/>
    <w:basedOn w:val="a0"/>
    <w:link w:val="a5"/>
    <w:uiPriority w:val="99"/>
    <w:semiHidden/>
    <w:rPr>
      <w:rFonts w:ascii="Times New Roman" w:eastAsia="宋体" w:hAnsi="Times New Roman"/>
      <w:kern w:val="2"/>
      <w:sz w:val="18"/>
      <w:szCs w:val="18"/>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rPr>
      <w:rFonts w:ascii="Times New Roman" w:eastAsia="宋体" w:hAnsi="Times New Roman"/>
      <w:kern w:val="2"/>
      <w:sz w:val="21"/>
      <w:szCs w:val="24"/>
    </w:rPr>
  </w:style>
  <w:style w:type="character" w:customStyle="1" w:styleId="Char">
    <w:name w:val="批注主题 Char"/>
    <w:basedOn w:val="Char0"/>
    <w:link w:val="a3"/>
    <w:uiPriority w:val="99"/>
    <w:semiHidden/>
    <w:rPr>
      <w:rFonts w:ascii="Times New Roman" w:eastAsia="宋体" w:hAnsi="Times New Roman"/>
      <w:b/>
      <w:bCs/>
      <w:kern w:val="2"/>
      <w:sz w:val="21"/>
      <w:szCs w:val="24"/>
    </w:rPr>
  </w:style>
  <w:style w:type="character" w:customStyle="1" w:styleId="Char30">
    <w:name w:val="批注文字 Char3"/>
    <w:basedOn w:val="a0"/>
    <w:uiPriority w:val="99"/>
    <w:qFormat/>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styleId="a9">
    <w:name w:val="annotation reference"/>
    <w:basedOn w:val="a0"/>
    <w:link w:val="Style139"/>
    <w:unhideWhenUsed/>
    <w:qFormat/>
    <w:rPr>
      <w:sz w:val="21"/>
      <w:szCs w:val="21"/>
    </w:rPr>
  </w:style>
  <w:style w:type="paragraph" w:customStyle="1" w:styleId="Style139">
    <w:name w:val="_Style 139"/>
    <w:basedOn w:val="a"/>
    <w:link w:val="a9"/>
    <w:qFormat/>
    <w:pPr>
      <w:spacing w:after="120"/>
    </w:pPr>
    <w:rPr>
      <w:rFonts w:ascii="Calibri" w:eastAsia="微软雅黑" w:hAnsi="Calibri"/>
      <w:kern w:val="0"/>
      <w:szCs w:val="21"/>
    </w:rPr>
  </w:style>
  <w:style w:type="character" w:customStyle="1" w:styleId="Char3">
    <w:name w:val="页眉 Char"/>
    <w:basedOn w:val="a0"/>
    <w:link w:val="a7"/>
    <w:rPr>
      <w:rFonts w:ascii="Times New Roman" w:eastAsia="宋体" w:hAnsi="Times New Roman"/>
      <w:kern w:val="2"/>
      <w:sz w:val="18"/>
      <w:szCs w:val="18"/>
    </w:rPr>
  </w:style>
  <w:style w:type="character" w:customStyle="1" w:styleId="Char2">
    <w:name w:val="页脚 Char"/>
    <w:basedOn w:val="a0"/>
    <w:link w:val="a6"/>
    <w:uiPriority w:val="99"/>
    <w:rPr>
      <w:rFonts w:ascii="Times New Roman" w:eastAsia="宋体" w:hAnsi="Times New Roman"/>
      <w:kern w:val="2"/>
      <w:sz w:val="18"/>
      <w:szCs w:val="18"/>
    </w:rPr>
  </w:style>
  <w:style w:type="character" w:customStyle="1" w:styleId="Char1">
    <w:name w:val="批注框文本 Char"/>
    <w:basedOn w:val="a0"/>
    <w:link w:val="a5"/>
    <w:uiPriority w:val="99"/>
    <w:semiHidden/>
    <w:rPr>
      <w:rFonts w:ascii="Times New Roman" w:eastAsia="宋体" w:hAnsi="Times New Roman"/>
      <w:kern w:val="2"/>
      <w:sz w:val="18"/>
      <w:szCs w:val="18"/>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rPr>
      <w:rFonts w:ascii="Times New Roman" w:eastAsia="宋体" w:hAnsi="Times New Roman"/>
      <w:kern w:val="2"/>
      <w:sz w:val="21"/>
      <w:szCs w:val="24"/>
    </w:rPr>
  </w:style>
  <w:style w:type="character" w:customStyle="1" w:styleId="Char">
    <w:name w:val="批注主题 Char"/>
    <w:basedOn w:val="Char0"/>
    <w:link w:val="a3"/>
    <w:uiPriority w:val="99"/>
    <w:semiHidden/>
    <w:rPr>
      <w:rFonts w:ascii="Times New Roman" w:eastAsia="宋体" w:hAnsi="Times New Roman"/>
      <w:b/>
      <w:bCs/>
      <w:kern w:val="2"/>
      <w:sz w:val="21"/>
      <w:szCs w:val="24"/>
    </w:rPr>
  </w:style>
  <w:style w:type="character" w:customStyle="1" w:styleId="Char30">
    <w:name w:val="批注文字 Char3"/>
    <w:basedOn w:val="a0"/>
    <w:uiPriority w:val="99"/>
    <w:qFormat/>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976</Words>
  <Characters>5565</Characters>
  <Application>Microsoft Office Word</Application>
  <DocSecurity>0</DocSecurity>
  <Lines>46</Lines>
  <Paragraphs>13</Paragraphs>
  <ScaleCrop>false</ScaleCrop>
  <Company>www.sdwmbbs.com</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300219                                  证券简称：鸿利光电</dc:title>
  <dc:creator>深度完美技术论坛</dc:creator>
  <cp:lastModifiedBy>王潇潇</cp:lastModifiedBy>
  <cp:revision>6</cp:revision>
  <cp:lastPrinted>2024-04-22T02:17:00Z</cp:lastPrinted>
  <dcterms:created xsi:type="dcterms:W3CDTF">2024-04-22T02:25:00Z</dcterms:created>
  <dcterms:modified xsi:type="dcterms:W3CDTF">2024-04-22T03:08:00Z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20870421B9DF4143A7D7AED87118703D_13</vt:lpwstr>
  </property>
</Properties>
</file>