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CA098" w14:textId="77777777" w:rsidR="006E3C6A" w:rsidRDefault="00000000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szCs w:val="28"/>
        </w:rPr>
      </w:pPr>
      <w:r>
        <w:rPr>
          <w:rFonts w:ascii="宋体" w:eastAsia="宋体" w:hAnsi="宋体" w:cs="宋体" w:hint="eastAsia"/>
          <w:b/>
          <w:bCs/>
          <w:szCs w:val="28"/>
        </w:rPr>
        <w:t>天合光能股份有限公司</w:t>
      </w:r>
    </w:p>
    <w:p w14:paraId="6C49B3DE" w14:textId="77777777" w:rsidR="006E3C6A" w:rsidRDefault="00000000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szCs w:val="28"/>
        </w:rPr>
      </w:pPr>
      <w:r>
        <w:rPr>
          <w:rFonts w:ascii="宋体" w:eastAsia="宋体" w:hAnsi="宋体" w:cs="宋体" w:hint="eastAsia"/>
          <w:b/>
          <w:bCs/>
          <w:szCs w:val="28"/>
        </w:rPr>
        <w:t>投资者关系活动记录表</w:t>
      </w:r>
    </w:p>
    <w:p w14:paraId="628644E1" w14:textId="77777777" w:rsidR="006E3C6A" w:rsidRDefault="00000000">
      <w:pPr>
        <w:wordWrap w:val="0"/>
        <w:spacing w:line="360" w:lineRule="auto"/>
        <w:jc w:val="right"/>
        <w:rPr>
          <w:rFonts w:ascii="宋体" w:eastAsia="宋体" w:hAnsi="宋体" w:cs="Times New Roman"/>
          <w:sz w:val="22"/>
        </w:rPr>
      </w:pPr>
      <w:r>
        <w:rPr>
          <w:rFonts w:ascii="宋体" w:eastAsia="宋体" w:hAnsi="宋体" w:cs="Times New Roman" w:hint="eastAsia"/>
          <w:sz w:val="22"/>
        </w:rPr>
        <w:t>编号</w:t>
      </w:r>
      <w:r>
        <w:rPr>
          <w:rFonts w:ascii="宋体" w:eastAsia="宋体" w:hAnsi="宋体" w:cs="Times New Roman"/>
          <w:sz w:val="22"/>
        </w:rPr>
        <w:t>：</w:t>
      </w:r>
      <w:r>
        <w:rPr>
          <w:rFonts w:ascii="宋体" w:eastAsia="宋体" w:hAnsi="宋体" w:cs="Times New Roman" w:hint="eastAsia"/>
          <w:sz w:val="22"/>
        </w:rPr>
        <w:t>2</w:t>
      </w:r>
      <w:r>
        <w:rPr>
          <w:rFonts w:ascii="宋体" w:eastAsia="宋体" w:hAnsi="宋体" w:cs="Times New Roman"/>
          <w:sz w:val="22"/>
        </w:rPr>
        <w:t>02</w:t>
      </w:r>
      <w:r>
        <w:rPr>
          <w:rFonts w:ascii="宋体" w:eastAsia="宋体" w:hAnsi="宋体" w:cs="Times New Roman" w:hint="eastAsia"/>
          <w:sz w:val="22"/>
        </w:rPr>
        <w:t>4-0</w:t>
      </w:r>
      <w:r>
        <w:rPr>
          <w:rFonts w:ascii="宋体" w:eastAsia="宋体" w:hAnsi="宋体" w:cs="Times New Roman"/>
          <w:sz w:val="22"/>
        </w:rPr>
        <w:t>0</w:t>
      </w:r>
      <w:r>
        <w:rPr>
          <w:rFonts w:ascii="宋体" w:eastAsia="宋体" w:hAnsi="宋体" w:cs="Times New Roman" w:hint="eastAsia"/>
          <w:sz w:val="22"/>
        </w:rPr>
        <w:t>1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58"/>
      </w:tblGrid>
      <w:tr w:rsidR="006E3C6A" w14:paraId="68D45ABF" w14:textId="77777777">
        <w:trPr>
          <w:trHeight w:val="1926"/>
        </w:trPr>
        <w:tc>
          <w:tcPr>
            <w:tcW w:w="1838" w:type="dxa"/>
            <w:vAlign w:val="center"/>
          </w:tcPr>
          <w:p w14:paraId="540D680B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投资者关系活动类别</w:t>
            </w:r>
          </w:p>
        </w:tc>
        <w:tc>
          <w:tcPr>
            <w:tcW w:w="6458" w:type="dxa"/>
          </w:tcPr>
          <w:p w14:paraId="215D54F3" w14:textId="77777777" w:rsidR="006E3C6A" w:rsidRDefault="00000000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特定对象调研 </w:t>
            </w:r>
            <w:r>
              <w:rPr>
                <w:rFonts w:ascii="宋体" w:eastAsia="宋体" w:hAnsi="宋体" w:cs="Times New Roman"/>
                <w:sz w:val="22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2"/>
              </w:rPr>
              <w:t>□分析师会议</w:t>
            </w:r>
          </w:p>
          <w:p w14:paraId="1490B7C9" w14:textId="77777777" w:rsidR="006E3C6A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Noto Sans CJK JP Regular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Noto Sans CJK JP Regular" w:hint="eastAsia"/>
                <w:kern w:val="0"/>
                <w:sz w:val="22"/>
              </w:rPr>
              <w:t xml:space="preserve">媒体采访 </w:t>
            </w:r>
            <w:r>
              <w:rPr>
                <w:rFonts w:ascii="宋体" w:eastAsia="宋体" w:hAnsi="宋体" w:cs="Noto Sans CJK JP Regular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Noto Sans CJK JP Regular" w:hint="eastAsia"/>
                <w:kern w:val="0"/>
                <w:sz w:val="22"/>
              </w:rPr>
              <w:t>√业绩说明会</w:t>
            </w:r>
          </w:p>
          <w:p w14:paraId="0EE754C4" w14:textId="77777777" w:rsidR="006E3C6A" w:rsidRDefault="00000000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Noto Sans CJK JP Regular"/>
                <w:kern w:val="0"/>
                <w:sz w:val="22"/>
              </w:rPr>
            </w:pPr>
            <w:r>
              <w:rPr>
                <w:rFonts w:ascii="宋体" w:eastAsia="宋体" w:hAnsi="宋体" w:cs="Noto Sans CJK JP Regular" w:hint="eastAsia"/>
                <w:kern w:val="0"/>
                <w:sz w:val="22"/>
              </w:rPr>
              <w:t xml:space="preserve">□新闻发布会 </w:t>
            </w:r>
            <w:r>
              <w:rPr>
                <w:rFonts w:ascii="宋体" w:eastAsia="宋体" w:hAnsi="宋体" w:cs="Noto Sans CJK JP Regular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Noto Sans CJK JP Regular" w:hint="eastAsia"/>
                <w:kern w:val="0"/>
                <w:sz w:val="22"/>
              </w:rPr>
              <w:t>□路演活动</w:t>
            </w:r>
          </w:p>
          <w:p w14:paraId="5BABA643" w14:textId="77777777" w:rsidR="006E3C6A" w:rsidRDefault="00000000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□现场参观</w:t>
            </w:r>
          </w:p>
          <w:p w14:paraId="631647FB" w14:textId="77777777" w:rsidR="006E3C6A" w:rsidRDefault="00000000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□其他（请文字说明）</w:t>
            </w:r>
          </w:p>
        </w:tc>
      </w:tr>
      <w:tr w:rsidR="006E3C6A" w14:paraId="293898A2" w14:textId="77777777">
        <w:trPr>
          <w:trHeight w:val="1962"/>
        </w:trPr>
        <w:tc>
          <w:tcPr>
            <w:tcW w:w="1838" w:type="dxa"/>
            <w:vAlign w:val="center"/>
          </w:tcPr>
          <w:p w14:paraId="35AA472D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参与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（按机构类型及名称拼音首字母排序）</w:t>
            </w:r>
          </w:p>
        </w:tc>
        <w:tc>
          <w:tcPr>
            <w:tcW w:w="6458" w:type="dxa"/>
            <w:vAlign w:val="center"/>
          </w:tcPr>
          <w:p w14:paraId="60795180" w14:textId="77777777" w:rsidR="006E3C6A" w:rsidRDefault="00000000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德邦基金、东海基金、东吴基金、东兴基金、富国基金、格林基金、工银瑞信基金、广发基金、国寿安保基金、国泰基金、国新国证基金、恒越基金、华西基金、汇添富基金、建信基金、金鹰基金、景顺长城基金、南方基金、农银汇理基金、鹏扬基金、上银基金、万家基金、西部利得基金、新华基金、兴业基金、易方达基金、银华基金、招商基金、浙商基金、中庚基金、中科沃土基金、中银基金、朱雀基金、大家资产、国任财产保险、合众资产、华夏久盈资产、昆仑健康保险、农银人寿保险、平安养老保险、平安资本、新华资产、幸福人寿保险、渤海银行、南京银行、平安银行、中国工商银行、大和资本、戴蒙亚洲资本、淡马锡投资、花旗环球、路博迈基金、麦格理资本、美林</w:t>
            </w:r>
            <w:r>
              <w:rPr>
                <w:rFonts w:ascii="宋体" w:eastAsia="宋体" w:hAnsi="宋体" w:cs="Times New Roman"/>
                <w:szCs w:val="21"/>
              </w:rPr>
              <w:t>亚太</w:t>
            </w:r>
            <w:r>
              <w:rPr>
                <w:rFonts w:ascii="宋体" w:eastAsia="宋体" w:hAnsi="宋体" w:cs="Times New Roman" w:hint="eastAsia"/>
                <w:szCs w:val="21"/>
              </w:rPr>
              <w:t>、摩根大通、摩根士丹利、中投国际、博裕资本、富瑞金融、和谐汇一资产、同犇投资、正心谷、安信证券、长城证券、长江证券、财通证券、财信证券、德邦证券、东方证券、东海证券、东吴证券、东兴证券、方正证券、高盛证券、光大证券、广发证券、国海证券、国金证券、国开证券、国联证券、国盛证券、国泰君安证券、国投证券、国信证券、海通证券、华安证券、华创证券、华福证券、华泰证券、华西证券、开源证券、南京证券、平安证券、瑞银证券、山西证券、申万宏源证券、首创证券、太平洋证券、西部证券、信达证券、兴业证券、粤开证券、银河证券、招商证券、中金公司、中航证券、中信建投证券、中信里昂证券、中信证券股份、中银国际证券、中邮证券等</w:t>
            </w:r>
          </w:p>
        </w:tc>
      </w:tr>
      <w:tr w:rsidR="006E3C6A" w14:paraId="4F0DB67E" w14:textId="77777777">
        <w:trPr>
          <w:trHeight w:val="1415"/>
        </w:trPr>
        <w:tc>
          <w:tcPr>
            <w:tcW w:w="1838" w:type="dxa"/>
            <w:vAlign w:val="center"/>
          </w:tcPr>
          <w:p w14:paraId="7B443F5D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公司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接待人员姓名</w:t>
            </w: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及职务</w:t>
            </w:r>
          </w:p>
        </w:tc>
        <w:tc>
          <w:tcPr>
            <w:tcW w:w="6458" w:type="dxa"/>
            <w:vAlign w:val="center"/>
          </w:tcPr>
          <w:p w14:paraId="043FBBB0" w14:textId="77777777" w:rsidR="006E3C6A" w:rsidRDefault="00000000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董事长兼总经理：高纪凡</w:t>
            </w:r>
          </w:p>
          <w:p w14:paraId="1C100DCE" w14:textId="77777777" w:rsidR="006E3C6A" w:rsidRDefault="00000000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副总经理：陈奕峰</w:t>
            </w:r>
          </w:p>
          <w:p w14:paraId="2EEE5A86" w14:textId="77777777" w:rsidR="006E3C6A" w:rsidRDefault="00000000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财务负责人：</w:t>
            </w:r>
            <w:r>
              <w:rPr>
                <w:rFonts w:ascii="宋体" w:eastAsia="宋体" w:hAnsi="宋体" w:cs="Times New Roman"/>
                <w:szCs w:val="21"/>
              </w:rPr>
              <w:t>吴森</w:t>
            </w:r>
          </w:p>
          <w:p w14:paraId="0913937C" w14:textId="77777777" w:rsidR="006E3C6A" w:rsidRDefault="00000000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董事会秘书：</w:t>
            </w:r>
            <w:r>
              <w:rPr>
                <w:rFonts w:ascii="宋体" w:eastAsia="宋体" w:hAnsi="宋体" w:cs="Times New Roman"/>
                <w:szCs w:val="21"/>
              </w:rPr>
              <w:t>吴群</w:t>
            </w:r>
          </w:p>
        </w:tc>
      </w:tr>
      <w:tr w:rsidR="006E3C6A" w14:paraId="38BD7C13" w14:textId="77777777">
        <w:trPr>
          <w:trHeight w:val="410"/>
        </w:trPr>
        <w:tc>
          <w:tcPr>
            <w:tcW w:w="1838" w:type="dxa"/>
            <w:vAlign w:val="center"/>
          </w:tcPr>
          <w:p w14:paraId="5C1ECD53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时间</w:t>
            </w:r>
          </w:p>
        </w:tc>
        <w:tc>
          <w:tcPr>
            <w:tcW w:w="6458" w:type="dxa"/>
          </w:tcPr>
          <w:p w14:paraId="24B7C2EB" w14:textId="77777777" w:rsidR="006E3C6A" w:rsidRDefault="00000000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2</w:t>
            </w:r>
            <w:r>
              <w:rPr>
                <w:rFonts w:ascii="宋体" w:eastAsia="宋体" w:hAnsi="宋体" w:cs="Times New Roman"/>
                <w:sz w:val="22"/>
              </w:rPr>
              <w:t>02</w:t>
            </w:r>
            <w:r>
              <w:rPr>
                <w:rFonts w:ascii="宋体" w:eastAsia="宋体" w:hAnsi="宋体" w:cs="Times New Roman" w:hint="eastAsia"/>
                <w:sz w:val="22"/>
              </w:rPr>
              <w:t>4年4月25日</w:t>
            </w:r>
          </w:p>
        </w:tc>
      </w:tr>
      <w:tr w:rsidR="006E3C6A" w14:paraId="31EDDAB2" w14:textId="77777777">
        <w:trPr>
          <w:trHeight w:val="417"/>
        </w:trPr>
        <w:tc>
          <w:tcPr>
            <w:tcW w:w="1838" w:type="dxa"/>
            <w:vAlign w:val="center"/>
          </w:tcPr>
          <w:p w14:paraId="584DC269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地点</w:t>
            </w:r>
          </w:p>
        </w:tc>
        <w:tc>
          <w:tcPr>
            <w:tcW w:w="6458" w:type="dxa"/>
          </w:tcPr>
          <w:p w14:paraId="3A282A5C" w14:textId="77777777" w:rsidR="006E3C6A" w:rsidRDefault="00000000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电话会议</w:t>
            </w:r>
          </w:p>
        </w:tc>
      </w:tr>
      <w:tr w:rsidR="006E3C6A" w14:paraId="17A21994" w14:textId="77777777">
        <w:trPr>
          <w:trHeight w:val="1124"/>
        </w:trPr>
        <w:tc>
          <w:tcPr>
            <w:tcW w:w="1838" w:type="dxa"/>
            <w:vAlign w:val="center"/>
          </w:tcPr>
          <w:p w14:paraId="0CEBBF40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lastRenderedPageBreak/>
              <w:t>投资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者关系活动</w:t>
            </w: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主要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内容</w:t>
            </w: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介绍</w:t>
            </w:r>
          </w:p>
        </w:tc>
        <w:tc>
          <w:tcPr>
            <w:tcW w:w="6458" w:type="dxa"/>
          </w:tcPr>
          <w:p w14:paraId="4B14B2E5" w14:textId="77777777" w:rsidR="006E3C6A" w:rsidRDefault="0000000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一、公司2</w:t>
            </w:r>
            <w:r>
              <w:rPr>
                <w:rFonts w:ascii="宋体" w:eastAsia="宋体" w:hAnsi="宋体"/>
                <w:b/>
                <w:bCs/>
                <w:szCs w:val="21"/>
              </w:rPr>
              <w:t>023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年度及2024年一季度经营情况介绍</w:t>
            </w:r>
          </w:p>
          <w:p w14:paraId="741FE151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年全球光伏装机大幅增长，再创历史新高，但供给端竞争愈发激烈，产业链价格大幅下降，在此背景下，天合光能坚持以客户为中心，以创新为动力，以为股东创造价值为目标，充分发挥天合品牌渠道及全球化的优势，在2023年度和2024年一季度交出了相对优异的答卷。</w:t>
            </w:r>
          </w:p>
          <w:p w14:paraId="0613D05F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财务方面，公司</w:t>
            </w:r>
            <w:r>
              <w:rPr>
                <w:rFonts w:ascii="宋体" w:eastAsia="宋体" w:hAnsi="宋体"/>
                <w:szCs w:val="21"/>
              </w:rPr>
              <w:t>2023年</w:t>
            </w:r>
            <w:r>
              <w:rPr>
                <w:rFonts w:ascii="宋体" w:eastAsia="宋体" w:hAnsi="宋体" w:hint="eastAsia"/>
                <w:szCs w:val="21"/>
              </w:rPr>
              <w:t>全年</w:t>
            </w:r>
            <w:r>
              <w:rPr>
                <w:rFonts w:ascii="宋体" w:eastAsia="宋体" w:hAnsi="宋体"/>
                <w:szCs w:val="21"/>
              </w:rPr>
              <w:t>收入1133.9亿元，同比增长33.3%；归母净利润55.3亿元，同比增长50.3%；加权平均ROE 19.0%，同比提升2.8个百分点；每股收益2.55元，同比收益48.3%；总资产1203.1亿元，同比增加33.7%。2024年一季度，公司实现归母净利润5.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亿元</w:t>
            </w:r>
            <w:r>
              <w:rPr>
                <w:rFonts w:ascii="宋体" w:eastAsia="宋体" w:hAnsi="宋体" w:hint="eastAsia"/>
                <w:szCs w:val="21"/>
              </w:rPr>
              <w:t>，环比2023年第四季度提升13.5%。</w:t>
            </w:r>
          </w:p>
          <w:p w14:paraId="412D8E60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经营方面，</w:t>
            </w:r>
            <w:r>
              <w:rPr>
                <w:rFonts w:ascii="宋体" w:eastAsia="宋体" w:hAnsi="宋体"/>
                <w:szCs w:val="21"/>
              </w:rPr>
              <w:t>2023年公司组件出货量65.2GW，同比增长51.3%，分布式系统出货量9.6GW，同比增长54.8%，支架业务出货9.6GW，同比增长118.2%，储能2023年出货接近2GWh，累计出货约5GWh。2024年一季度，公司组件出货量约14GW，分布式系统出货1.7GW，支架出货1.8GW。截至2024年3月底，天合组件累计出货超205GW，其中210组件超120GW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0BBBC5C1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产能布局方面，截至</w:t>
            </w:r>
            <w:r>
              <w:rPr>
                <w:rFonts w:ascii="宋体" w:eastAsia="宋体" w:hAnsi="宋体"/>
                <w:szCs w:val="21"/>
              </w:rPr>
              <w:t>2023年底，公司拥有硅片/电池/组件三个环节产能，分别为55/75/95GW</w:t>
            </w:r>
            <w:r>
              <w:rPr>
                <w:rFonts w:ascii="宋体" w:eastAsia="宋体" w:hAnsi="宋体" w:hint="eastAsia"/>
                <w:szCs w:val="21"/>
              </w:rPr>
              <w:t>。其中</w:t>
            </w:r>
            <w:r>
              <w:rPr>
                <w:rFonts w:ascii="宋体" w:eastAsia="宋体" w:hAnsi="宋体"/>
                <w:szCs w:val="21"/>
              </w:rPr>
              <w:t>75GW的电池产能里有40GW是N型TOPCon先进产能。</w:t>
            </w:r>
          </w:p>
          <w:p w14:paraId="3D9E3E87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技术研发方面，天合光能自主研发的</w:t>
            </w:r>
            <w:r>
              <w:rPr>
                <w:rFonts w:ascii="宋体" w:eastAsia="宋体" w:hAnsi="宋体"/>
                <w:szCs w:val="21"/>
              </w:rPr>
              <w:t>210+N型i-TOPCon光伏组件，经权威第三方检测认证机构TÜV南德认证，最高输出功率达740.6W，创造了新的世界纪录。再次展现了天合光能引领700W+时代的坚定姿态，和210+N先进技术平台的卓越竞争力。依托公司独有的“一室两中心”，也就是光伏科学与技术全国重点实验室、国家企业技术中心、新能源物联网产业创新中心，天合光能将持续在各个技术路线上保持行业领先优势，积极研发，谨慎量产，为股东创造最大回报。</w:t>
            </w:r>
          </w:p>
          <w:p w14:paraId="7AD18A78" w14:textId="77777777" w:rsidR="006E3C6A" w:rsidRDefault="0000000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二、公司2024展望</w:t>
            </w:r>
          </w:p>
          <w:p w14:paraId="53BA1E18" w14:textId="77777777" w:rsidR="006E3C6A" w:rsidRDefault="0000000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展望</w:t>
            </w:r>
            <w:r>
              <w:rPr>
                <w:rFonts w:ascii="宋体" w:eastAsia="宋体" w:hAnsi="宋体"/>
                <w:szCs w:val="21"/>
              </w:rPr>
              <w:t>2024年，公司全年组件出货量目标80-90GW，分布式系统出货量增长20%，支架出货量增长50%。</w:t>
            </w:r>
            <w:r>
              <w:rPr>
                <w:rFonts w:ascii="宋体" w:eastAsia="宋体" w:hAnsi="宋体" w:hint="eastAsia"/>
                <w:szCs w:val="21"/>
              </w:rPr>
              <w:t>预计到2024年底，公司将实现硅片产能60GW，电池产能105GW，组件产能120GW。</w:t>
            </w:r>
          </w:p>
          <w:p w14:paraId="26216C57" w14:textId="77777777" w:rsidR="006E3C6A" w:rsidRDefault="0000000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三、交流问答环节</w:t>
            </w:r>
          </w:p>
          <w:p w14:paraId="6B46157A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公司对未来组件市场需求的判断</w:t>
            </w:r>
            <w:r>
              <w:rPr>
                <w:rFonts w:ascii="宋体" w:eastAsia="宋体" w:hAnsi="宋体"/>
                <w:b/>
                <w:szCs w:val="21"/>
              </w:rPr>
              <w:t>？</w:t>
            </w:r>
          </w:p>
          <w:p w14:paraId="7AB2DB48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答：</w:t>
            </w:r>
            <w:r>
              <w:rPr>
                <w:rFonts w:ascii="宋体" w:eastAsia="宋体" w:hAnsi="宋体" w:cs="Arial"/>
                <w:szCs w:val="21"/>
              </w:rPr>
              <w:t>预计</w:t>
            </w:r>
            <w:r>
              <w:rPr>
                <w:rFonts w:ascii="宋体" w:eastAsia="宋体" w:hAnsi="宋体" w:cs="Arial" w:hint="eastAsia"/>
                <w:szCs w:val="21"/>
              </w:rPr>
              <w:t>全年组件需求</w:t>
            </w:r>
            <w:r>
              <w:rPr>
                <w:rFonts w:ascii="宋体" w:eastAsia="宋体" w:hAnsi="宋体" w:cs="Arial"/>
                <w:szCs w:val="21"/>
              </w:rPr>
              <w:t>在650GW</w:t>
            </w:r>
            <w:r>
              <w:rPr>
                <w:rFonts w:ascii="宋体" w:eastAsia="宋体" w:hAnsi="宋体" w:cs="Arial" w:hint="eastAsia"/>
                <w:szCs w:val="21"/>
              </w:rPr>
              <w:t>以上，从一季度数据情况来看，需求确实有显著增长</w:t>
            </w:r>
            <w:r>
              <w:rPr>
                <w:rFonts w:ascii="宋体" w:eastAsia="宋体" w:hAnsi="宋体" w:cs="Arial"/>
                <w:szCs w:val="21"/>
              </w:rPr>
              <w:t>。</w:t>
            </w:r>
          </w:p>
          <w:p w14:paraId="3A936400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/>
                <w:b/>
                <w:szCs w:val="21"/>
              </w:rPr>
            </w:pPr>
          </w:p>
          <w:p w14:paraId="43701DCE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针对可能出现的产能过剩问题，公司有何应对措施</w:t>
            </w:r>
            <w:r>
              <w:rPr>
                <w:rFonts w:ascii="宋体" w:eastAsia="宋体" w:hAnsi="宋体"/>
                <w:b/>
                <w:szCs w:val="21"/>
              </w:rPr>
              <w:t xml:space="preserve">？ </w:t>
            </w:r>
          </w:p>
          <w:p w14:paraId="3F343E74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答：公司会密切关注光伏市场价格动态，适时调整生产和库存策略。在价格波动时期，公司可以灵活调整外购和自产硅片比例，同时加快技术升级和产品迭代，确保盈利能力保持行业领先水平。</w:t>
            </w:r>
          </w:p>
          <w:p w14:paraId="524CC114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 w:cs="Arial"/>
                <w:szCs w:val="21"/>
              </w:rPr>
            </w:pPr>
          </w:p>
          <w:p w14:paraId="65980D68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公司在美国市场的组件出货目标和盈利前景如何？如何看待美国</w:t>
            </w: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市场监管政策变动？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15473343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答：美国是公司重要的区域市场，也是我们的优势市场，2023年公司在美国的营业收入达到108亿元，同比增长99%。2024年公司在美国市场的出货目标为7GW以上，继续实现高增长</w:t>
            </w:r>
            <w:r>
              <w:rPr>
                <w:rFonts w:ascii="宋体" w:eastAsia="宋体" w:hAnsi="宋体" w:cs="Arial"/>
                <w:szCs w:val="21"/>
              </w:rPr>
              <w:t>。</w:t>
            </w:r>
            <w:r>
              <w:rPr>
                <w:rFonts w:ascii="宋体" w:eastAsia="宋体" w:hAnsi="宋体" w:cs="Arial" w:hint="eastAsia"/>
                <w:szCs w:val="21"/>
              </w:rPr>
              <w:t>面对美国市场的贸易政策不确定性，公司凭借前瞻性的全球视野，以及海外产能的预先布局，已经建立了一套有效的应对机制。公司有能力满足美国市场需求，并遵守所有合规要求。未来公司将持续运用战略眼光和提前布局，保持在应对复杂市场环境时的主动性。</w:t>
            </w:r>
          </w:p>
          <w:p w14:paraId="67865B11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14:paraId="28609131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公司对于国内户用市场空间的判断？</w:t>
            </w:r>
          </w:p>
          <w:p w14:paraId="1BAEBB80" w14:textId="77777777" w:rsidR="006E3C6A" w:rsidRDefault="00000000">
            <w:pPr>
              <w:ind w:leftChars="200"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>
              <w:rPr>
                <w:rFonts w:ascii="宋体" w:eastAsia="宋体" w:hAnsi="宋体"/>
                <w:szCs w:val="21"/>
              </w:rPr>
              <w:t>（1）2024年3月国家能源局发布的《新形势下配电网高质量发展的指导意见》指出，到2025年配电网要具备500GW分布式新能源接入能力</w:t>
            </w:r>
            <w:r>
              <w:rPr>
                <w:rFonts w:ascii="宋体" w:eastAsia="宋体" w:hAnsi="宋体" w:hint="eastAsia"/>
                <w:szCs w:val="21"/>
              </w:rPr>
              <w:t>，决定了未来两年户用光伏</w:t>
            </w:r>
            <w:r>
              <w:rPr>
                <w:rFonts w:ascii="宋体" w:eastAsia="宋体" w:hAnsi="宋体"/>
                <w:szCs w:val="21"/>
              </w:rPr>
              <w:t>还</w:t>
            </w:r>
            <w:r>
              <w:rPr>
                <w:rFonts w:ascii="宋体" w:eastAsia="宋体" w:hAnsi="宋体" w:hint="eastAsia"/>
                <w:szCs w:val="21"/>
              </w:rPr>
              <w:t>存在</w:t>
            </w:r>
            <w:r>
              <w:rPr>
                <w:rFonts w:ascii="宋体" w:eastAsia="宋体" w:hAnsi="宋体"/>
                <w:szCs w:val="21"/>
              </w:rPr>
              <w:t>较大的接入空间。（2）</w:t>
            </w:r>
            <w:r>
              <w:rPr>
                <w:rFonts w:ascii="宋体" w:eastAsia="宋体" w:hAnsi="宋体" w:hint="eastAsia"/>
                <w:szCs w:val="21"/>
              </w:rPr>
              <w:t>长期来看，</w:t>
            </w:r>
            <w:r>
              <w:rPr>
                <w:rFonts w:ascii="宋体" w:eastAsia="宋体" w:hAnsi="宋体" w:hint="eastAsia"/>
              </w:rPr>
              <w:t>国家能源局公布的数据，我国农村地区可安装光伏屋顶面积约</w:t>
            </w:r>
            <w:r>
              <w:rPr>
                <w:rFonts w:ascii="宋体" w:eastAsia="宋体" w:hAnsi="宋体"/>
              </w:rPr>
              <w:t>273亿平方米，超过8000万户的市场空间</w:t>
            </w:r>
            <w:r>
              <w:rPr>
                <w:rFonts w:ascii="宋体" w:eastAsia="宋体" w:hAnsi="宋体"/>
                <w:szCs w:val="21"/>
              </w:rPr>
              <w:t>，目前累计装机</w:t>
            </w:r>
            <w:r>
              <w:rPr>
                <w:rFonts w:ascii="宋体" w:eastAsia="宋体" w:hAnsi="宋体" w:hint="eastAsia"/>
                <w:szCs w:val="21"/>
              </w:rPr>
              <w:t>仅</w:t>
            </w:r>
            <w:r>
              <w:rPr>
                <w:rFonts w:ascii="宋体" w:eastAsia="宋体" w:hAnsi="宋体"/>
                <w:szCs w:val="21"/>
              </w:rPr>
              <w:t>500</w:t>
            </w:r>
            <w:r>
              <w:rPr>
                <w:rFonts w:ascii="宋体" w:eastAsia="宋体" w:hAnsi="宋体" w:hint="eastAsia"/>
                <w:szCs w:val="21"/>
              </w:rPr>
              <w:t>多</w:t>
            </w:r>
            <w:r>
              <w:rPr>
                <w:rFonts w:ascii="宋体" w:eastAsia="宋体" w:hAnsi="宋体"/>
                <w:szCs w:val="21"/>
              </w:rPr>
              <w:t>万户，渗透率</w:t>
            </w:r>
            <w:r>
              <w:rPr>
                <w:rFonts w:ascii="宋体" w:eastAsia="宋体" w:hAnsi="宋体" w:hint="eastAsia"/>
                <w:szCs w:val="21"/>
              </w:rPr>
              <w:t>还有很大提升空间。</w:t>
            </w:r>
            <w:r>
              <w:rPr>
                <w:rFonts w:ascii="宋体" w:eastAsia="宋体" w:hAnsi="宋体"/>
                <w:szCs w:val="21"/>
              </w:rPr>
              <w:t>（3）</w:t>
            </w:r>
            <w:r>
              <w:rPr>
                <w:rFonts w:ascii="宋体" w:eastAsia="宋体" w:hAnsi="宋体" w:hint="eastAsia"/>
                <w:szCs w:val="21"/>
              </w:rPr>
              <w:t>户用市场增长重心正逐步向具有更强消纳能力、市场增速更好的中东部、南部省份转移；同时对于北方一些所谓的饱和市场，</w:t>
            </w:r>
            <w:r>
              <w:rPr>
                <w:rFonts w:ascii="宋体" w:eastAsia="宋体" w:hAnsi="宋体"/>
                <w:szCs w:val="21"/>
              </w:rPr>
              <w:t>也在推进解决消纳的方案，如集中汇流</w:t>
            </w:r>
            <w:r>
              <w:rPr>
                <w:rFonts w:ascii="宋体" w:eastAsia="宋体" w:hAnsi="宋体" w:hint="eastAsia"/>
                <w:szCs w:val="21"/>
              </w:rPr>
              <w:t>、升</w:t>
            </w:r>
            <w:r>
              <w:rPr>
                <w:rFonts w:ascii="宋体" w:eastAsia="宋体" w:hAnsi="宋体"/>
                <w:szCs w:val="21"/>
              </w:rPr>
              <w:t>压并网、</w:t>
            </w:r>
            <w:r>
              <w:rPr>
                <w:rFonts w:ascii="宋体" w:eastAsia="宋体" w:hAnsi="宋体" w:hint="eastAsia"/>
                <w:szCs w:val="21"/>
              </w:rPr>
              <w:t>台区配储</w:t>
            </w:r>
            <w:r>
              <w:rPr>
                <w:rFonts w:ascii="宋体" w:eastAsia="宋体" w:hAnsi="宋体"/>
                <w:szCs w:val="21"/>
              </w:rPr>
              <w:t>等。</w:t>
            </w:r>
          </w:p>
          <w:p w14:paraId="195BE7E8" w14:textId="77777777" w:rsidR="006E3C6A" w:rsidRDefault="006E3C6A">
            <w:pPr>
              <w:ind w:leftChars="200" w:left="420"/>
              <w:rPr>
                <w:rFonts w:ascii="宋体" w:eastAsia="宋体" w:hAnsi="宋体"/>
                <w:szCs w:val="21"/>
              </w:rPr>
            </w:pPr>
          </w:p>
          <w:p w14:paraId="75DC70EA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公司支架业务的增长目标</w:t>
            </w:r>
            <w:r>
              <w:rPr>
                <w:rFonts w:ascii="宋体" w:eastAsia="宋体" w:hAnsi="宋体"/>
                <w:b/>
                <w:szCs w:val="21"/>
              </w:rPr>
              <w:t>？</w:t>
            </w:r>
          </w:p>
          <w:p w14:paraId="24E4C5B5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bookmarkStart w:id="0" w:name="_Hlk112424465"/>
            <w:r>
              <w:rPr>
                <w:rFonts w:ascii="宋体" w:eastAsia="宋体" w:hAnsi="宋体" w:hint="eastAsia"/>
                <w:szCs w:val="21"/>
              </w:rPr>
              <w:t>答：公司支架业务发展势头强劲，2023年出货量为9.6GW，预计2024年支架出货量将实现50%以上增长。</w:t>
            </w:r>
          </w:p>
          <w:p w14:paraId="77817E9A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/>
                <w:b/>
                <w:szCs w:val="21"/>
              </w:rPr>
            </w:pPr>
          </w:p>
          <w:p w14:paraId="3DE2CF95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14:paraId="414267DD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公司2024年电池产能规划及HJT技术布局情况如何？</w:t>
            </w:r>
          </w:p>
          <w:p w14:paraId="2B974FDF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答：公司计划到2024年底硅片/电池/组件产能分别达到60/105/120GW。在HJT方面，公司已建成HJT实验室，自主研发210 HJT电池转换效率达到26.21%，量产同尺寸电池转换效率居行业第一，积极研发，谨慎量产。</w:t>
            </w:r>
          </w:p>
          <w:bookmarkEnd w:id="0"/>
          <w:p w14:paraId="66DFD588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40FB319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公司储能业务的战略定位及未来发展蓝图？</w:t>
            </w:r>
          </w:p>
          <w:p w14:paraId="5956A71D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答：储能业务作为公司双核战略之一，目前还处于发展早期，公司当前正在加大对储能业务的研发和销售服务体系投入。这些战略性投资将为公司未来长期发展奠定基础。</w:t>
            </w:r>
          </w:p>
          <w:p w14:paraId="6C55E5FD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6650EAD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公司美国产能建设进展？</w:t>
            </w:r>
          </w:p>
          <w:p w14:paraId="5DF0CEC0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答：公司5GW美国组件产能已经在建设，预计将于2024年四季度开始逐步投产。</w:t>
            </w:r>
          </w:p>
          <w:p w14:paraId="7A3875A9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6306D365" w14:textId="77777777" w:rsidR="006E3C6A" w:rsidRDefault="006E3C6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7E8C567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公司如何在市场波动中保持自身竞争力？</w:t>
            </w:r>
          </w:p>
          <w:p w14:paraId="57E9AF9F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答：公司作为全球化企业，采取多元化市场策略，可以通过将资源向利润较高地区倾斜，以增强竞争优势。与此同时，公司还积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极布局光伏智慧能源整体解决方案，包括集中式和分布式电站、储能和跟踪支架等业务领域，当前已实现可持续发展，抵御市场波动风险。</w:t>
            </w:r>
          </w:p>
          <w:p w14:paraId="3B03513C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95048E9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公司对硅片产能布局及自供比例情况？</w:t>
            </w:r>
          </w:p>
          <w:p w14:paraId="6809CB83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公司在硅片产能布局上，着眼于满足长期订单需求，提升公司竞争力。目前公司拥有50%左右的自供硅片产能，目的是为了更好地匹配订单需求，减少市场波动造成的影响。公司会严格根据成本效益情况，灵活调整外购和自产硅片比例。</w:t>
            </w:r>
          </w:p>
          <w:p w14:paraId="5AD15B9F" w14:textId="77777777" w:rsidR="006E3C6A" w:rsidRDefault="006E3C6A">
            <w:pPr>
              <w:pStyle w:val="10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14:paraId="2CB4C658" w14:textId="77777777" w:rsidR="006E3C6A" w:rsidRDefault="00000000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欧洲市场库存情况？</w:t>
            </w:r>
          </w:p>
          <w:p w14:paraId="2E29E0CE" w14:textId="77777777" w:rsidR="006E3C6A" w:rsidRDefault="00000000">
            <w:pPr>
              <w:pStyle w:val="10"/>
              <w:ind w:left="36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答：欧洲市场今年一季度需求较好，尤其是分销市场，库存水平有所下降，目前欧洲区域库存已经处在正常水平。</w:t>
            </w:r>
          </w:p>
        </w:tc>
      </w:tr>
      <w:tr w:rsidR="006E3C6A" w14:paraId="1742275E" w14:textId="77777777">
        <w:trPr>
          <w:trHeight w:val="77"/>
        </w:trPr>
        <w:tc>
          <w:tcPr>
            <w:tcW w:w="1838" w:type="dxa"/>
            <w:vAlign w:val="center"/>
          </w:tcPr>
          <w:p w14:paraId="40BBF4F8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lastRenderedPageBreak/>
              <w:t>附件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清单</w:t>
            </w:r>
          </w:p>
          <w:p w14:paraId="05B19C66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（</w:t>
            </w:r>
            <w:r>
              <w:rPr>
                <w:rFonts w:ascii="宋体" w:eastAsia="宋体" w:hAnsi="宋体" w:cs="Times New Roman"/>
                <w:b/>
                <w:bCs/>
                <w:sz w:val="22"/>
              </w:rPr>
              <w:t>如有）</w:t>
            </w:r>
          </w:p>
        </w:tc>
        <w:tc>
          <w:tcPr>
            <w:tcW w:w="6458" w:type="dxa"/>
            <w:vAlign w:val="center"/>
          </w:tcPr>
          <w:p w14:paraId="09C9A16A" w14:textId="77777777" w:rsidR="006E3C6A" w:rsidRDefault="00000000">
            <w:pPr>
              <w:spacing w:line="36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无</w:t>
            </w:r>
          </w:p>
        </w:tc>
      </w:tr>
      <w:tr w:rsidR="006E3C6A" w14:paraId="6015B1AC" w14:textId="77777777">
        <w:trPr>
          <w:trHeight w:val="77"/>
        </w:trPr>
        <w:tc>
          <w:tcPr>
            <w:tcW w:w="1838" w:type="dxa"/>
            <w:vAlign w:val="center"/>
          </w:tcPr>
          <w:p w14:paraId="5FECFC0A" w14:textId="77777777" w:rsidR="006E3C6A" w:rsidRDefault="00000000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日期</w:t>
            </w:r>
          </w:p>
        </w:tc>
        <w:tc>
          <w:tcPr>
            <w:tcW w:w="6458" w:type="dxa"/>
            <w:vAlign w:val="center"/>
          </w:tcPr>
          <w:p w14:paraId="218E02FF" w14:textId="77777777" w:rsidR="006E3C6A" w:rsidRDefault="00000000">
            <w:pPr>
              <w:spacing w:line="36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2</w:t>
            </w:r>
            <w:r>
              <w:rPr>
                <w:rFonts w:ascii="宋体" w:eastAsia="宋体" w:hAnsi="宋体" w:cs="Times New Roman"/>
                <w:sz w:val="22"/>
              </w:rPr>
              <w:t>02</w:t>
            </w:r>
            <w:r>
              <w:rPr>
                <w:rFonts w:ascii="宋体" w:eastAsia="宋体" w:hAnsi="宋体" w:cs="Times New Roman" w:hint="eastAsia"/>
                <w:sz w:val="22"/>
              </w:rPr>
              <w:t>4年4月26日</w:t>
            </w:r>
          </w:p>
        </w:tc>
      </w:tr>
    </w:tbl>
    <w:p w14:paraId="3B4E06CD" w14:textId="77777777" w:rsidR="006E3C6A" w:rsidRDefault="006E3C6A">
      <w:pPr>
        <w:rPr>
          <w:rFonts w:ascii="宋体" w:eastAsia="宋体" w:hAnsi="宋体"/>
          <w:sz w:val="20"/>
        </w:rPr>
      </w:pPr>
    </w:p>
    <w:sectPr w:rsidR="006E3C6A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4FCA" w14:textId="77777777" w:rsidR="00EF526C" w:rsidRDefault="00EF526C">
      <w:r>
        <w:separator/>
      </w:r>
    </w:p>
  </w:endnote>
  <w:endnote w:type="continuationSeparator" w:id="0">
    <w:p w14:paraId="70F3A134" w14:textId="77777777" w:rsidR="00EF526C" w:rsidRDefault="00E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黑体"/>
    <w:charset w:val="86"/>
    <w:family w:val="swiss"/>
    <w:pitch w:val="default"/>
    <w:sig w:usb0="00000000" w:usb1="0000000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DE41F" w14:textId="77777777" w:rsidR="00EF526C" w:rsidRDefault="00EF526C">
      <w:r>
        <w:separator/>
      </w:r>
    </w:p>
  </w:footnote>
  <w:footnote w:type="continuationSeparator" w:id="0">
    <w:p w14:paraId="42AD99AA" w14:textId="77777777" w:rsidR="00EF526C" w:rsidRDefault="00EF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9A0F7" w14:textId="77777777" w:rsidR="006E3C6A" w:rsidRDefault="00000000">
    <w:pPr>
      <w:pStyle w:val="a7"/>
      <w:rPr>
        <w:rFonts w:ascii="宋体" w:eastAsia="宋体" w:hAnsi="宋体"/>
      </w:rPr>
    </w:pPr>
    <w:r>
      <w:rPr>
        <w:rFonts w:ascii="宋体" w:eastAsia="宋体" w:hAnsi="宋体" w:hint="eastAsia"/>
      </w:rPr>
      <w:t>证券代码：6</w:t>
    </w:r>
    <w:r>
      <w:rPr>
        <w:rFonts w:ascii="宋体" w:eastAsia="宋体" w:hAnsi="宋体"/>
      </w:rPr>
      <w:t>88599</w:t>
    </w:r>
    <w:r>
      <w:rPr>
        <w:rFonts w:ascii="宋体" w:eastAsia="宋体" w:hAnsi="宋体"/>
      </w:rPr>
      <w:ptab w:relativeTo="margin" w:alignment="center" w:leader="none"/>
    </w:r>
    <w:r>
      <w:rPr>
        <w:rFonts w:ascii="宋体" w:eastAsia="宋体" w:hAnsi="宋体"/>
      </w:rPr>
      <w:ptab w:relativeTo="margin" w:alignment="right" w:leader="none"/>
    </w:r>
    <w:r>
      <w:rPr>
        <w:rFonts w:ascii="宋体" w:eastAsia="宋体" w:hAnsi="宋体" w:hint="eastAsia"/>
      </w:rPr>
      <w:t>证券简称：天合光能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55542"/>
    <w:multiLevelType w:val="multilevel"/>
    <w:tmpl w:val="1D655542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)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num w:numId="1" w16cid:durableId="47927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A"/>
    <w:rsid w:val="001E2A03"/>
    <w:rsid w:val="006E3C6A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A46"/>
  <w15:docId w15:val="{EDA471A5-10EE-452C-861D-308207B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120" w:after="120"/>
      <w:ind w:firstLineChars="200" w:firstLine="200"/>
      <w:jc w:val="left"/>
      <w:outlineLvl w:val="0"/>
    </w:pPr>
    <w:rPr>
      <w:rFonts w:asciiTheme="majorHAnsi" w:hAnsiTheme="majorHAnsi" w:cstheme="majorBidi"/>
      <w:bCs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1">
    <w:name w:val="网格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uiPriority w:val="10"/>
    <w:rPr>
      <w:rFonts w:asciiTheme="majorHAnsi" w:hAnsiTheme="majorHAnsi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olivia</dc:creator>
  <cp:lastModifiedBy>梓馨 徐</cp:lastModifiedBy>
  <cp:revision>2</cp:revision>
  <cp:lastPrinted>2020-06-19T09:05:00Z</cp:lastPrinted>
  <dcterms:created xsi:type="dcterms:W3CDTF">2024-04-26T07:14:00Z</dcterms:created>
  <dcterms:modified xsi:type="dcterms:W3CDTF">2024-04-26T07:14:00Z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9CDA413DFA2C37A01D322B661B597530_33</vt:lpwstr>
  </property>
  <property fmtid="{D5CDD505-2E9C-101B-9397-08002B2CF9AE}" pid="3" name="KSOProductBuildVer">
    <vt:lpwstr>2052-12.12.0</vt:lpwstr>
  </property>
</Properties>
</file>