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EB56" w14:textId="1C572CB0" w:rsidR="008F41C9" w:rsidRPr="007135AA" w:rsidRDefault="008F41C9" w:rsidP="00AB7E6C">
      <w:pPr>
        <w:spacing w:line="360" w:lineRule="auto"/>
        <w:jc w:val="center"/>
        <w:rPr>
          <w:rFonts w:hAnsi="宋体"/>
          <w:b/>
          <w:bCs/>
          <w:sz w:val="30"/>
          <w:szCs w:val="30"/>
        </w:rPr>
      </w:pPr>
      <w:r w:rsidRPr="007135AA">
        <w:rPr>
          <w:rFonts w:hAnsi="宋体" w:cs="Times New Roman" w:hint="eastAsia"/>
          <w:b/>
          <w:bCs/>
          <w:w w:val="95"/>
          <w:sz w:val="30"/>
          <w:szCs w:val="30"/>
          <w:lang w:bidi="zh-CN"/>
        </w:rPr>
        <w:t>关于</w:t>
      </w:r>
      <w:r w:rsidR="00C86947" w:rsidRPr="007135AA">
        <w:rPr>
          <w:rFonts w:hAnsi="宋体" w:cs="Times New Roman"/>
          <w:b/>
          <w:bCs/>
          <w:w w:val="95"/>
          <w:sz w:val="30"/>
          <w:szCs w:val="30"/>
          <w:lang w:bidi="zh-CN"/>
        </w:rPr>
        <w:t>2023</w:t>
      </w:r>
      <w:r w:rsidR="00C27ECB" w:rsidRPr="007135AA">
        <w:rPr>
          <w:rFonts w:hAnsi="宋体" w:cs="Times New Roman" w:hint="eastAsia"/>
          <w:b/>
          <w:bCs/>
          <w:w w:val="95"/>
          <w:sz w:val="30"/>
          <w:szCs w:val="30"/>
          <w:lang w:bidi="zh-CN"/>
        </w:rPr>
        <w:t>年度暨2</w:t>
      </w:r>
      <w:r w:rsidR="00C27ECB" w:rsidRPr="007135AA">
        <w:rPr>
          <w:rFonts w:hAnsi="宋体" w:cs="Times New Roman"/>
          <w:b/>
          <w:bCs/>
          <w:w w:val="95"/>
          <w:sz w:val="30"/>
          <w:szCs w:val="30"/>
          <w:lang w:bidi="zh-CN"/>
        </w:rPr>
        <w:t>024</w:t>
      </w:r>
      <w:r w:rsidR="00C27ECB" w:rsidRPr="007135AA">
        <w:rPr>
          <w:rFonts w:hAnsi="宋体" w:cs="Times New Roman" w:hint="eastAsia"/>
          <w:b/>
          <w:bCs/>
          <w:w w:val="95"/>
          <w:sz w:val="30"/>
          <w:szCs w:val="30"/>
          <w:lang w:bidi="zh-CN"/>
        </w:rPr>
        <w:t>年第一季度</w:t>
      </w:r>
      <w:r w:rsidRPr="007135AA">
        <w:rPr>
          <w:rFonts w:hAnsi="宋体" w:cs="Times New Roman" w:hint="eastAsia"/>
          <w:b/>
          <w:bCs/>
          <w:w w:val="95"/>
          <w:sz w:val="30"/>
          <w:szCs w:val="30"/>
          <w:lang w:bidi="zh-CN"/>
        </w:rPr>
        <w:t>业绩说明会召开情况</w:t>
      </w:r>
      <w:r w:rsidR="0088221F" w:rsidRPr="007135AA">
        <w:rPr>
          <w:rFonts w:hAnsi="宋体" w:cs="Times New Roman" w:hint="eastAsia"/>
          <w:b/>
          <w:bCs/>
          <w:w w:val="95"/>
          <w:sz w:val="30"/>
          <w:szCs w:val="30"/>
          <w:lang w:bidi="zh-CN"/>
        </w:rPr>
        <w:t>汇总</w:t>
      </w:r>
    </w:p>
    <w:p w14:paraId="20884943" w14:textId="77777777" w:rsidR="008F41C9" w:rsidRPr="00C86947" w:rsidRDefault="008F41C9" w:rsidP="00AB7E6C">
      <w:pPr>
        <w:pStyle w:val="a5"/>
        <w:kinsoku w:val="0"/>
        <w:overflowPunct w:val="0"/>
        <w:spacing w:line="360" w:lineRule="auto"/>
        <w:ind w:left="0" w:right="84"/>
        <w:jc w:val="both"/>
        <w:rPr>
          <w:rFonts w:hAnsi="宋体" w:cs="Times New Roman"/>
          <w:spacing w:val="-4"/>
        </w:rPr>
      </w:pPr>
    </w:p>
    <w:p w14:paraId="7DB1D2B4" w14:textId="7DF60995" w:rsidR="009C77BF" w:rsidRDefault="00C27ECB" w:rsidP="00AB7E6C">
      <w:pPr>
        <w:pStyle w:val="a5"/>
        <w:kinsoku w:val="0"/>
        <w:overflowPunct w:val="0"/>
        <w:spacing w:line="360" w:lineRule="auto"/>
        <w:ind w:right="84" w:firstLineChars="200" w:firstLine="464"/>
        <w:jc w:val="both"/>
        <w:rPr>
          <w:rFonts w:hAnsi="宋体" w:cs="Times New Roman"/>
          <w:spacing w:val="-4"/>
        </w:rPr>
      </w:pPr>
      <w:r>
        <w:rPr>
          <w:rFonts w:hAnsi="宋体" w:cs="Times New Roman"/>
          <w:spacing w:val="-4"/>
        </w:rPr>
        <w:t>2024</w:t>
      </w:r>
      <w:r w:rsidR="00C86947">
        <w:rPr>
          <w:rFonts w:hAnsi="宋体" w:cs="Times New Roman" w:hint="eastAsia"/>
          <w:spacing w:val="-4"/>
        </w:rPr>
        <w:t>年</w:t>
      </w:r>
      <w:r>
        <w:rPr>
          <w:rFonts w:hAnsi="宋体" w:cs="Times New Roman"/>
          <w:spacing w:val="-4"/>
        </w:rPr>
        <w:t>4</w:t>
      </w:r>
      <w:r w:rsidR="00C86947">
        <w:rPr>
          <w:rFonts w:hAnsi="宋体" w:cs="Times New Roman" w:hint="eastAsia"/>
          <w:spacing w:val="-4"/>
        </w:rPr>
        <w:t>月</w:t>
      </w:r>
      <w:r>
        <w:rPr>
          <w:rFonts w:hAnsi="宋体" w:cs="Times New Roman"/>
          <w:spacing w:val="-4"/>
        </w:rPr>
        <w:t>29</w:t>
      </w:r>
      <w:r w:rsidR="00C86947">
        <w:rPr>
          <w:rFonts w:hAnsi="宋体" w:cs="Times New Roman" w:hint="eastAsia"/>
          <w:spacing w:val="-4"/>
        </w:rPr>
        <w:t>日</w:t>
      </w:r>
      <w:r w:rsidR="009C77BF" w:rsidRPr="00AB7E6C">
        <w:rPr>
          <w:rFonts w:hAnsi="宋体" w:cs="Times New Roman" w:hint="eastAsia"/>
          <w:spacing w:val="-4"/>
        </w:rPr>
        <w:t>（星期</w:t>
      </w:r>
      <w:r>
        <w:rPr>
          <w:rFonts w:hAnsi="宋体" w:cs="Times New Roman" w:hint="eastAsia"/>
          <w:spacing w:val="-4"/>
        </w:rPr>
        <w:t>一</w:t>
      </w:r>
      <w:r w:rsidR="009C77BF" w:rsidRPr="00AB7E6C">
        <w:rPr>
          <w:rFonts w:hAnsi="宋体" w:cs="Times New Roman" w:hint="eastAsia"/>
          <w:spacing w:val="-4"/>
        </w:rPr>
        <w:t>）</w:t>
      </w:r>
      <w:r w:rsidR="00D135B1">
        <w:rPr>
          <w:rFonts w:hAnsi="宋体" w:cs="Times New Roman" w:hint="eastAsia"/>
          <w:spacing w:val="-4"/>
        </w:rPr>
        <w:t>上午</w:t>
      </w:r>
      <w:r>
        <w:rPr>
          <w:rFonts w:hAnsi="宋体" w:cs="Times New Roman"/>
          <w:spacing w:val="-4"/>
        </w:rPr>
        <w:t>10</w:t>
      </w:r>
      <w:r w:rsidR="009C77BF" w:rsidRPr="00AB7E6C">
        <w:rPr>
          <w:rFonts w:hAnsi="宋体" w:cs="Times New Roman" w:hint="eastAsia"/>
          <w:spacing w:val="-4"/>
        </w:rPr>
        <w:t>:00-1</w:t>
      </w:r>
      <w:r>
        <w:rPr>
          <w:rFonts w:hAnsi="宋体" w:cs="Times New Roman"/>
          <w:spacing w:val="-4"/>
        </w:rPr>
        <w:t>1</w:t>
      </w:r>
      <w:r w:rsidR="009C77BF" w:rsidRPr="00AB7E6C">
        <w:rPr>
          <w:rFonts w:hAnsi="宋体" w:cs="Times New Roman" w:hint="eastAsia"/>
          <w:spacing w:val="-4"/>
        </w:rPr>
        <w:t>:00，</w:t>
      </w:r>
      <w:r w:rsidR="00C86947">
        <w:rPr>
          <w:rFonts w:hAnsi="宋体" w:cs="Times New Roman" w:hint="eastAsia"/>
          <w:spacing w:val="-4"/>
        </w:rPr>
        <w:t>健之佳医药连锁集团股份有限公司</w:t>
      </w:r>
      <w:r w:rsidR="009C77BF" w:rsidRPr="00AB7E6C">
        <w:rPr>
          <w:rFonts w:hAnsi="宋体" w:cs="Times New Roman" w:hint="eastAsia"/>
          <w:spacing w:val="-4"/>
        </w:rPr>
        <w:t>（以下简称“公司”）</w:t>
      </w:r>
      <w:r w:rsidR="00D135B1" w:rsidRPr="00D135B1">
        <w:rPr>
          <w:rFonts w:hAnsi="宋体" w:cs="Times New Roman" w:hint="eastAsia"/>
          <w:spacing w:val="-4"/>
        </w:rPr>
        <w:t>通过上海证券交易所</w:t>
      </w:r>
      <w:proofErr w:type="gramStart"/>
      <w:r w:rsidR="00D135B1" w:rsidRPr="00D135B1">
        <w:rPr>
          <w:rFonts w:hAnsi="宋体" w:cs="Times New Roman" w:hint="eastAsia"/>
          <w:spacing w:val="-4"/>
        </w:rPr>
        <w:t>上证路演</w:t>
      </w:r>
      <w:proofErr w:type="gramEnd"/>
      <w:r w:rsidR="00D135B1" w:rsidRPr="00D135B1">
        <w:rPr>
          <w:rFonts w:hAnsi="宋体" w:cs="Times New Roman" w:hint="eastAsia"/>
          <w:spacing w:val="-4"/>
        </w:rPr>
        <w:t>中心（网址：</w:t>
      </w:r>
      <w:r w:rsidRPr="00C27ECB">
        <w:rPr>
          <w:rFonts w:hAnsi="宋体" w:cs="Times New Roman" w:hint="eastAsia"/>
          <w:spacing w:val="-4"/>
        </w:rPr>
        <w:t>http://roadshow.sseinfo.com/）网络互动召开了</w:t>
      </w:r>
      <w:r w:rsidRPr="00C27ECB">
        <w:rPr>
          <w:rFonts w:hAnsi="宋体" w:cs="Times New Roman"/>
          <w:spacing w:val="-4"/>
        </w:rPr>
        <w:t>2023年度暨</w:t>
      </w:r>
      <w:r w:rsidRPr="00C27ECB">
        <w:rPr>
          <w:rFonts w:hAnsi="宋体" w:cs="Times New Roman" w:hint="eastAsia"/>
          <w:spacing w:val="-4"/>
        </w:rPr>
        <w:t>2</w:t>
      </w:r>
      <w:r w:rsidRPr="00C27ECB">
        <w:rPr>
          <w:rFonts w:hAnsi="宋体" w:cs="Times New Roman"/>
          <w:spacing w:val="-4"/>
        </w:rPr>
        <w:t>024</w:t>
      </w:r>
      <w:r>
        <w:rPr>
          <w:rFonts w:hAnsi="宋体" w:cs="Times New Roman" w:hint="eastAsia"/>
          <w:spacing w:val="-4"/>
        </w:rPr>
        <w:t>年第一季度</w:t>
      </w:r>
      <w:r w:rsidR="00D135B1">
        <w:rPr>
          <w:rFonts w:hAnsi="宋体" w:cs="Times New Roman" w:hint="eastAsia"/>
          <w:spacing w:val="-4"/>
        </w:rPr>
        <w:t>业绩说明会</w:t>
      </w:r>
      <w:r w:rsidR="009C77BF" w:rsidRPr="00AB7E6C">
        <w:rPr>
          <w:rFonts w:hAnsi="宋体" w:cs="Times New Roman" w:hint="eastAsia"/>
          <w:spacing w:val="-4"/>
        </w:rPr>
        <w:t xml:space="preserve">，现将活动情况公告如下： </w:t>
      </w:r>
    </w:p>
    <w:p w14:paraId="09F310DE" w14:textId="77777777" w:rsidR="00FB1A92" w:rsidRPr="00AB7E6C" w:rsidRDefault="00FB1A92" w:rsidP="00AB7E6C">
      <w:pPr>
        <w:pStyle w:val="a5"/>
        <w:kinsoku w:val="0"/>
        <w:overflowPunct w:val="0"/>
        <w:spacing w:line="360" w:lineRule="auto"/>
        <w:ind w:right="84" w:firstLineChars="200" w:firstLine="464"/>
        <w:jc w:val="both"/>
        <w:rPr>
          <w:rFonts w:hAnsi="宋体" w:cs="Times New Roman"/>
          <w:spacing w:val="-4"/>
        </w:rPr>
      </w:pPr>
    </w:p>
    <w:p w14:paraId="60D565AC" w14:textId="78E60BF1" w:rsidR="009C77BF" w:rsidRPr="00AB7E6C" w:rsidRDefault="00974353" w:rsidP="00AB7E6C">
      <w:pPr>
        <w:pStyle w:val="a5"/>
        <w:kinsoku w:val="0"/>
        <w:overflowPunct w:val="0"/>
        <w:spacing w:line="360" w:lineRule="auto"/>
        <w:ind w:leftChars="129" w:left="284" w:right="84" w:firstLineChars="183" w:firstLine="425"/>
        <w:jc w:val="both"/>
        <w:rPr>
          <w:rFonts w:hAnsi="宋体" w:cs="Times New Roman"/>
          <w:spacing w:val="-4"/>
        </w:rPr>
      </w:pPr>
      <w:r w:rsidRPr="00AB7E6C">
        <w:rPr>
          <w:rFonts w:hAnsi="宋体" w:cs="Times New Roman" w:hint="eastAsia"/>
          <w:spacing w:val="-4"/>
        </w:rPr>
        <w:t>本次业绩说明会中投资者提出的主要问题及回复整理如下：</w:t>
      </w:r>
    </w:p>
    <w:p w14:paraId="23259BC1" w14:textId="42E16C0A" w:rsidR="007135AA" w:rsidRPr="007135AA" w:rsidRDefault="007135AA" w:rsidP="007135AA">
      <w:pPr>
        <w:adjustRightInd/>
        <w:spacing w:line="360" w:lineRule="auto"/>
        <w:ind w:firstLineChars="200" w:firstLine="482"/>
        <w:rPr>
          <w:rFonts w:hAnsi="宋体"/>
          <w:b/>
          <w:bCs/>
          <w:sz w:val="24"/>
          <w:szCs w:val="24"/>
        </w:rPr>
      </w:pPr>
      <w:r>
        <w:rPr>
          <w:rFonts w:hAnsi="宋体" w:hint="eastAsia"/>
          <w:b/>
          <w:bCs/>
          <w:sz w:val="24"/>
          <w:szCs w:val="24"/>
        </w:rPr>
        <w:t>一、</w:t>
      </w:r>
      <w:r w:rsidRPr="007135AA">
        <w:rPr>
          <w:rFonts w:hAnsi="宋体"/>
          <w:b/>
          <w:bCs/>
          <w:sz w:val="24"/>
          <w:szCs w:val="24"/>
        </w:rPr>
        <w:t>公司股价持续下滑，屡屡</w:t>
      </w:r>
      <w:proofErr w:type="gramStart"/>
      <w:r w:rsidRPr="007135AA">
        <w:rPr>
          <w:rFonts w:hAnsi="宋体"/>
          <w:b/>
          <w:bCs/>
          <w:sz w:val="24"/>
          <w:szCs w:val="24"/>
        </w:rPr>
        <w:t>拟大盘</w:t>
      </w:r>
      <w:proofErr w:type="gramEnd"/>
      <w:r w:rsidRPr="007135AA">
        <w:rPr>
          <w:rFonts w:hAnsi="宋体"/>
          <w:b/>
          <w:bCs/>
          <w:sz w:val="24"/>
          <w:szCs w:val="24"/>
        </w:rPr>
        <w:t>趋势下跌，公司股东进行套现离场，是后续公司战略发展出现问题了吗？</w:t>
      </w:r>
    </w:p>
    <w:p w14:paraId="74D4F5DB" w14:textId="7BEEE1E8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答：</w:t>
      </w:r>
      <w:r w:rsidRPr="007135AA">
        <w:rPr>
          <w:rFonts w:hAnsi="宋体" w:hint="eastAsia"/>
          <w:sz w:val="24"/>
          <w:szCs w:val="24"/>
        </w:rPr>
        <w:t>尊敬的投资者，您好！感谢您对公司的关注。</w:t>
      </w:r>
    </w:p>
    <w:p w14:paraId="28E8BBFC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公司上市后高效使用募集资金，快速发展，2</w:t>
      </w:r>
      <w:r w:rsidRPr="007135AA">
        <w:rPr>
          <w:rFonts w:hAnsi="宋体"/>
          <w:sz w:val="24"/>
          <w:szCs w:val="24"/>
        </w:rPr>
        <w:t>023</w:t>
      </w:r>
      <w:r w:rsidRPr="007135AA">
        <w:rPr>
          <w:rFonts w:hAnsi="宋体" w:hint="eastAsia"/>
          <w:sz w:val="24"/>
          <w:szCs w:val="24"/>
        </w:rPr>
        <w:t>年较2</w:t>
      </w:r>
      <w:r w:rsidRPr="007135AA">
        <w:rPr>
          <w:rFonts w:hAnsi="宋体"/>
          <w:sz w:val="24"/>
          <w:szCs w:val="24"/>
        </w:rPr>
        <w:t>020</w:t>
      </w:r>
      <w:r w:rsidRPr="007135AA">
        <w:rPr>
          <w:rFonts w:hAnsi="宋体" w:hint="eastAsia"/>
          <w:sz w:val="24"/>
          <w:szCs w:val="24"/>
        </w:rPr>
        <w:t>年</w:t>
      </w:r>
      <w:proofErr w:type="gramStart"/>
      <w:r w:rsidRPr="007135AA">
        <w:rPr>
          <w:rFonts w:hAnsi="宋体" w:hint="eastAsia"/>
          <w:sz w:val="24"/>
          <w:szCs w:val="24"/>
        </w:rPr>
        <w:t>上市初门店</w:t>
      </w:r>
      <w:proofErr w:type="gramEnd"/>
      <w:r w:rsidRPr="007135AA">
        <w:rPr>
          <w:rFonts w:hAnsi="宋体" w:hint="eastAsia"/>
          <w:sz w:val="24"/>
          <w:szCs w:val="24"/>
        </w:rPr>
        <w:t>数、营业收入、归属上市公司的扣除非经常性损益的净利润复合增长率分别达3</w:t>
      </w:r>
      <w:r w:rsidRPr="007135AA">
        <w:rPr>
          <w:rFonts w:hAnsi="宋体"/>
          <w:sz w:val="24"/>
          <w:szCs w:val="24"/>
        </w:rPr>
        <w:t>3.92%</w:t>
      </w:r>
      <w:r w:rsidRPr="007135AA">
        <w:rPr>
          <w:rFonts w:hAnsi="宋体" w:hint="eastAsia"/>
          <w:sz w:val="24"/>
          <w:szCs w:val="24"/>
        </w:rPr>
        <w:t>、2</w:t>
      </w:r>
      <w:r w:rsidRPr="007135AA">
        <w:rPr>
          <w:rFonts w:hAnsi="宋体"/>
          <w:sz w:val="24"/>
          <w:szCs w:val="24"/>
        </w:rPr>
        <w:t>6.69%</w:t>
      </w:r>
      <w:r w:rsidRPr="007135AA">
        <w:rPr>
          <w:rFonts w:hAnsi="宋体" w:hint="eastAsia"/>
          <w:sz w:val="24"/>
          <w:szCs w:val="24"/>
        </w:rPr>
        <w:t>、1</w:t>
      </w:r>
      <w:r w:rsidRPr="007135AA">
        <w:rPr>
          <w:rFonts w:hAnsi="宋体"/>
          <w:sz w:val="24"/>
          <w:szCs w:val="24"/>
        </w:rPr>
        <w:t>9</w:t>
      </w:r>
      <w:r w:rsidRPr="007135AA">
        <w:rPr>
          <w:rFonts w:hAnsi="宋体" w:hint="eastAsia"/>
          <w:sz w:val="24"/>
          <w:szCs w:val="24"/>
        </w:rPr>
        <w:t>.</w:t>
      </w:r>
      <w:r w:rsidRPr="007135AA">
        <w:rPr>
          <w:rFonts w:hAnsi="宋体"/>
          <w:sz w:val="24"/>
          <w:szCs w:val="24"/>
        </w:rPr>
        <w:t>05%</w:t>
      </w:r>
      <w:r w:rsidRPr="007135AA">
        <w:rPr>
          <w:rFonts w:hAnsi="宋体" w:hint="eastAsia"/>
          <w:sz w:val="24"/>
          <w:szCs w:val="24"/>
        </w:rPr>
        <w:t>；近</w:t>
      </w:r>
      <w:r w:rsidRPr="007135AA">
        <w:rPr>
          <w:rFonts w:hAnsi="宋体"/>
          <w:sz w:val="24"/>
          <w:szCs w:val="24"/>
        </w:rPr>
        <w:t>3年，扣除非经常性损益后的净资产收益率保持在14.67%-16.12%的</w:t>
      </w:r>
      <w:r w:rsidRPr="007135AA">
        <w:rPr>
          <w:rFonts w:hAnsi="宋体" w:hint="eastAsia"/>
          <w:sz w:val="24"/>
          <w:szCs w:val="24"/>
        </w:rPr>
        <w:t>较高水平除经营业绩和公司战略外，公司股价，还受宏观政策、市场环境、行业政策、竞争情况、未来发展预期等多种因素相关，存在一定的波动。</w:t>
      </w:r>
    </w:p>
    <w:p w14:paraId="03807BE8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2</w:t>
      </w:r>
      <w:r w:rsidRPr="007135AA">
        <w:rPr>
          <w:rFonts w:hAnsi="宋体"/>
          <w:sz w:val="24"/>
          <w:szCs w:val="24"/>
        </w:rPr>
        <w:t>021</w:t>
      </w:r>
      <w:r w:rsidRPr="007135AA">
        <w:rPr>
          <w:rFonts w:hAnsi="宋体" w:hint="eastAsia"/>
          <w:sz w:val="24"/>
          <w:szCs w:val="24"/>
        </w:rPr>
        <w:t>年1</w:t>
      </w:r>
      <w:r w:rsidRPr="007135AA">
        <w:rPr>
          <w:rFonts w:hAnsi="宋体"/>
          <w:sz w:val="24"/>
          <w:szCs w:val="24"/>
        </w:rPr>
        <w:t>2</w:t>
      </w:r>
      <w:r w:rsidRPr="007135AA">
        <w:rPr>
          <w:rFonts w:hAnsi="宋体" w:hint="eastAsia"/>
          <w:sz w:val="24"/>
          <w:szCs w:val="24"/>
        </w:rPr>
        <w:t>月部分原始股票解禁后，部分2014年及更早期投资并支持公司长期发展的股东</w:t>
      </w:r>
      <w:proofErr w:type="gramStart"/>
      <w:r w:rsidRPr="007135AA">
        <w:rPr>
          <w:rFonts w:hAnsi="宋体" w:hint="eastAsia"/>
          <w:sz w:val="24"/>
          <w:szCs w:val="24"/>
        </w:rPr>
        <w:t>减持系其</w:t>
      </w:r>
      <w:proofErr w:type="gramEnd"/>
      <w:r w:rsidRPr="007135AA">
        <w:rPr>
          <w:rFonts w:hAnsi="宋体" w:hint="eastAsia"/>
          <w:sz w:val="24"/>
          <w:szCs w:val="24"/>
        </w:rPr>
        <w:t>正常的投资决策。</w:t>
      </w:r>
    </w:p>
    <w:p w14:paraId="731E2016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实际控制人</w:t>
      </w:r>
      <w:proofErr w:type="gramStart"/>
      <w:r w:rsidRPr="007135AA">
        <w:rPr>
          <w:rFonts w:hAnsi="宋体" w:hint="eastAsia"/>
          <w:sz w:val="24"/>
          <w:szCs w:val="24"/>
        </w:rPr>
        <w:t>蓝波总通过</w:t>
      </w:r>
      <w:proofErr w:type="gramEnd"/>
      <w:r w:rsidRPr="007135AA">
        <w:rPr>
          <w:rFonts w:hAnsi="宋体" w:hint="eastAsia"/>
          <w:sz w:val="24"/>
          <w:szCs w:val="24"/>
        </w:rPr>
        <w:t>全额认购、完成2</w:t>
      </w:r>
      <w:r w:rsidRPr="007135AA">
        <w:rPr>
          <w:rFonts w:hAnsi="宋体"/>
          <w:sz w:val="24"/>
          <w:szCs w:val="24"/>
        </w:rPr>
        <w:t>022</w:t>
      </w:r>
      <w:r w:rsidRPr="007135AA">
        <w:rPr>
          <w:rFonts w:hAnsi="宋体" w:hint="eastAsia"/>
          <w:sz w:val="24"/>
          <w:szCs w:val="24"/>
        </w:rPr>
        <w:t>年4月公司4</w:t>
      </w:r>
      <w:r w:rsidRPr="007135AA">
        <w:rPr>
          <w:rFonts w:hAnsi="宋体"/>
          <w:sz w:val="24"/>
          <w:szCs w:val="24"/>
        </w:rPr>
        <w:t>.2</w:t>
      </w:r>
      <w:r w:rsidRPr="007135AA">
        <w:rPr>
          <w:rFonts w:hAnsi="宋体" w:hint="eastAsia"/>
          <w:sz w:val="24"/>
          <w:szCs w:val="24"/>
        </w:rPr>
        <w:t>亿非公开发行的股票，以实际行动支持公司发展。</w:t>
      </w:r>
    </w:p>
    <w:p w14:paraId="65C1DDA8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三个员工持股计划合伙企业合计持有公司1</w:t>
      </w:r>
      <w:r w:rsidRPr="007135AA">
        <w:rPr>
          <w:rFonts w:hAnsi="宋体"/>
          <w:sz w:val="24"/>
          <w:szCs w:val="24"/>
        </w:rPr>
        <w:t>.86%</w:t>
      </w:r>
      <w:r w:rsidRPr="007135AA">
        <w:rPr>
          <w:rFonts w:hAnsi="宋体" w:hint="eastAsia"/>
          <w:sz w:val="24"/>
          <w:szCs w:val="24"/>
        </w:rPr>
        <w:t>股权，合伙企业若有减持计划，由于蓝</w:t>
      </w:r>
      <w:proofErr w:type="gramStart"/>
      <w:r w:rsidRPr="007135AA">
        <w:rPr>
          <w:rFonts w:hAnsi="宋体" w:hint="eastAsia"/>
          <w:sz w:val="24"/>
          <w:szCs w:val="24"/>
        </w:rPr>
        <w:t>波总担任</w:t>
      </w:r>
      <w:proofErr w:type="gramEnd"/>
      <w:r w:rsidRPr="007135AA">
        <w:rPr>
          <w:rFonts w:hAnsi="宋体" w:hint="eastAsia"/>
          <w:sz w:val="24"/>
          <w:szCs w:val="24"/>
        </w:rPr>
        <w:t>管理合伙人，可能</w:t>
      </w:r>
      <w:proofErr w:type="gramStart"/>
      <w:r w:rsidRPr="007135AA">
        <w:rPr>
          <w:rFonts w:hAnsi="宋体" w:hint="eastAsia"/>
          <w:sz w:val="24"/>
          <w:szCs w:val="24"/>
        </w:rPr>
        <w:t>导致蓝总被动</w:t>
      </w:r>
      <w:proofErr w:type="gramEnd"/>
      <w:r w:rsidRPr="007135AA">
        <w:rPr>
          <w:rFonts w:hAnsi="宋体" w:hint="eastAsia"/>
          <w:sz w:val="24"/>
          <w:szCs w:val="24"/>
        </w:rPr>
        <w:t>跟随减持其份额。除此外，</w:t>
      </w:r>
      <w:proofErr w:type="gramStart"/>
      <w:r w:rsidRPr="007135AA">
        <w:rPr>
          <w:rFonts w:hAnsi="宋体" w:hint="eastAsia"/>
          <w:sz w:val="24"/>
          <w:szCs w:val="24"/>
        </w:rPr>
        <w:t>蓝波总没有</w:t>
      </w:r>
      <w:proofErr w:type="gramEnd"/>
      <w:r w:rsidRPr="007135AA">
        <w:rPr>
          <w:rFonts w:hAnsi="宋体" w:hint="eastAsia"/>
          <w:sz w:val="24"/>
          <w:szCs w:val="24"/>
        </w:rPr>
        <w:t>规划减持计划。</w:t>
      </w:r>
    </w:p>
    <w:p w14:paraId="086C8B38" w14:textId="2E1C1590" w:rsid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通过持续推进的股权激励计划、员工持股计划，将股东利益、公司利益和公司管理层、中高层管理干部及业务骨干个人利益结合在一起，使各方共同关注公司的长远发展，确保公司发展战略和经营目标的实现。谢谢！</w:t>
      </w:r>
    </w:p>
    <w:p w14:paraId="3F5302FD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</w:p>
    <w:p w14:paraId="18171CB9" w14:textId="4562FB27" w:rsidR="007135AA" w:rsidRPr="007135AA" w:rsidRDefault="007135AA" w:rsidP="007135AA">
      <w:pPr>
        <w:adjustRightInd/>
        <w:spacing w:line="360" w:lineRule="auto"/>
        <w:ind w:firstLineChars="200" w:firstLine="482"/>
        <w:jc w:val="both"/>
        <w:rPr>
          <w:rFonts w:hAnsi="宋体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hAnsi="宋体" w:hint="eastAsia"/>
          <w:b/>
          <w:bCs/>
          <w:sz w:val="24"/>
          <w:szCs w:val="24"/>
        </w:rPr>
        <w:t>二、</w:t>
      </w:r>
      <w:r w:rsidRPr="007135AA">
        <w:rPr>
          <w:rFonts w:hAnsi="宋体"/>
          <w:b/>
          <w:bCs/>
          <w:color w:val="333333"/>
          <w:sz w:val="24"/>
          <w:szCs w:val="24"/>
          <w:shd w:val="clear" w:color="auto" w:fill="FFFFFF"/>
        </w:rPr>
        <w:t>健之</w:t>
      </w:r>
      <w:proofErr w:type="gramStart"/>
      <w:r w:rsidRPr="007135AA">
        <w:rPr>
          <w:rFonts w:hAnsi="宋体"/>
          <w:b/>
          <w:bCs/>
          <w:color w:val="333333"/>
          <w:sz w:val="24"/>
          <w:szCs w:val="24"/>
          <w:shd w:val="clear" w:color="auto" w:fill="FFFFFF"/>
        </w:rPr>
        <w:t>佳历史</w:t>
      </w:r>
      <w:proofErr w:type="gramEnd"/>
      <w:r w:rsidRPr="007135AA">
        <w:rPr>
          <w:rFonts w:hAnsi="宋体"/>
          <w:b/>
          <w:bCs/>
          <w:color w:val="333333"/>
          <w:sz w:val="24"/>
          <w:szCs w:val="24"/>
          <w:shd w:val="clear" w:color="auto" w:fill="FFFFFF"/>
        </w:rPr>
        <w:t>年度业绩较好，但是23年没有发布业绩预告进行同</w:t>
      </w:r>
      <w:proofErr w:type="gramStart"/>
      <w:r w:rsidRPr="007135AA">
        <w:rPr>
          <w:rFonts w:hAnsi="宋体"/>
          <w:b/>
          <w:bCs/>
          <w:color w:val="333333"/>
          <w:sz w:val="24"/>
          <w:szCs w:val="24"/>
          <w:shd w:val="clear" w:color="auto" w:fill="FFFFFF"/>
        </w:rPr>
        <w:t>奥业绩预</w:t>
      </w:r>
      <w:proofErr w:type="gramEnd"/>
      <w:r w:rsidRPr="007135AA">
        <w:rPr>
          <w:rFonts w:hAnsi="宋体"/>
          <w:b/>
          <w:bCs/>
          <w:color w:val="333333"/>
          <w:sz w:val="24"/>
          <w:szCs w:val="24"/>
          <w:shd w:val="clear" w:color="auto" w:fill="FFFFFF"/>
        </w:rPr>
        <w:t>增，说明去年4季度业绩增长不理想，这是因为公司哪些业务导致的</w:t>
      </w:r>
      <w:r w:rsidRPr="007135AA">
        <w:rPr>
          <w:rFonts w:hAnsi="宋体" w:hint="eastAsia"/>
          <w:b/>
          <w:bCs/>
          <w:color w:val="333333"/>
          <w:sz w:val="24"/>
          <w:szCs w:val="24"/>
          <w:shd w:val="clear" w:color="auto" w:fill="FFFFFF"/>
        </w:rPr>
        <w:t>？</w:t>
      </w:r>
    </w:p>
    <w:p w14:paraId="49B5AA97" w14:textId="1912A844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color w:val="333333"/>
          <w:sz w:val="24"/>
          <w:szCs w:val="24"/>
          <w:shd w:val="clear" w:color="auto" w:fill="FFFFFF"/>
        </w:rPr>
      </w:pPr>
      <w:r>
        <w:rPr>
          <w:rFonts w:hAnsi="宋体" w:hint="eastAsia"/>
          <w:sz w:val="24"/>
          <w:szCs w:val="24"/>
        </w:rPr>
        <w:lastRenderedPageBreak/>
        <w:t>答：</w:t>
      </w:r>
      <w:r w:rsidRPr="007135AA">
        <w:rPr>
          <w:rFonts w:hAnsi="宋体" w:hint="eastAsia"/>
          <w:color w:val="333333"/>
          <w:sz w:val="24"/>
          <w:szCs w:val="24"/>
          <w:shd w:val="clear" w:color="auto" w:fill="FFFFFF"/>
        </w:rPr>
        <w:t>尊敬的投资者您好，感谢您对公司的关注！</w:t>
      </w:r>
      <w:r w:rsidRPr="007135AA">
        <w:rPr>
          <w:rFonts w:hAnsi="宋体"/>
          <w:color w:val="333333"/>
          <w:sz w:val="24"/>
          <w:szCs w:val="24"/>
          <w:shd w:val="clear" w:color="auto" w:fill="FFFFFF"/>
        </w:rPr>
        <w:t xml:space="preserve"> </w:t>
      </w:r>
    </w:p>
    <w:p w14:paraId="595E4456" w14:textId="77777777" w:rsidR="007135AA" w:rsidRPr="007135AA" w:rsidRDefault="007135AA" w:rsidP="007135AA">
      <w:pPr>
        <w:widowControl/>
        <w:adjustRightInd/>
        <w:spacing w:line="360" w:lineRule="auto"/>
        <w:ind w:firstLineChars="200" w:firstLine="480"/>
        <w:jc w:val="both"/>
        <w:rPr>
          <w:rFonts w:hAnsi="宋体"/>
          <w:color w:val="333333"/>
          <w:sz w:val="24"/>
          <w:szCs w:val="24"/>
          <w:shd w:val="clear" w:color="auto" w:fill="FFFFFF"/>
        </w:rPr>
      </w:pPr>
      <w:r w:rsidRPr="007135AA">
        <w:rPr>
          <w:rFonts w:hAnsi="宋体" w:hint="eastAsia"/>
          <w:color w:val="333333"/>
          <w:sz w:val="24"/>
          <w:szCs w:val="24"/>
          <w:shd w:val="clear" w:color="auto" w:fill="FFFFFF"/>
        </w:rPr>
        <w:t>公司严格按照信息披露相关法律法规披露业绩预告、业绩快报。</w:t>
      </w:r>
    </w:p>
    <w:p w14:paraId="10707D26" w14:textId="77777777" w:rsidR="007135AA" w:rsidRPr="007135AA" w:rsidRDefault="007135AA" w:rsidP="007135AA">
      <w:pPr>
        <w:widowControl/>
        <w:adjustRightInd/>
        <w:spacing w:line="360" w:lineRule="auto"/>
        <w:ind w:firstLineChars="200" w:firstLine="480"/>
        <w:jc w:val="both"/>
        <w:rPr>
          <w:rFonts w:hAnsi="宋体"/>
          <w:color w:val="333333"/>
          <w:sz w:val="24"/>
          <w:szCs w:val="24"/>
          <w:shd w:val="clear" w:color="auto" w:fill="FFFFFF"/>
        </w:rPr>
      </w:pPr>
      <w:r w:rsidRPr="007135AA">
        <w:rPr>
          <w:rFonts w:hAnsi="宋体" w:hint="eastAsia"/>
          <w:color w:val="333333"/>
          <w:sz w:val="24"/>
          <w:szCs w:val="24"/>
          <w:shd w:val="clear" w:color="auto" w:fill="FFFFFF"/>
        </w:rPr>
        <w:t>目前公司2023年度报告已披露，其中1-4季度数据已分别列示、披露，您和各位投资者可查阅。</w:t>
      </w:r>
    </w:p>
    <w:p w14:paraId="638D6FC2" w14:textId="59E2BB67" w:rsidR="007135AA" w:rsidRDefault="007135AA" w:rsidP="007135AA">
      <w:pPr>
        <w:widowControl/>
        <w:adjustRightInd/>
        <w:spacing w:line="360" w:lineRule="auto"/>
        <w:ind w:firstLineChars="200" w:firstLine="480"/>
        <w:jc w:val="both"/>
        <w:rPr>
          <w:rFonts w:hAnsi="宋体"/>
          <w:color w:val="333333"/>
          <w:sz w:val="24"/>
          <w:szCs w:val="24"/>
          <w:shd w:val="clear" w:color="auto" w:fill="FFFFFF"/>
        </w:rPr>
      </w:pPr>
      <w:r w:rsidRPr="007135AA">
        <w:rPr>
          <w:rFonts w:hAnsi="宋体" w:hint="eastAsia"/>
          <w:color w:val="333333"/>
          <w:sz w:val="24"/>
          <w:szCs w:val="24"/>
          <w:shd w:val="clear" w:color="auto" w:fill="FFFFFF"/>
        </w:rPr>
        <w:t>2022年4季度因疫情原因</w:t>
      </w:r>
      <w:proofErr w:type="gramStart"/>
      <w:r w:rsidRPr="007135AA">
        <w:rPr>
          <w:rFonts w:hAnsi="宋体" w:hint="eastAsia"/>
          <w:color w:val="333333"/>
          <w:sz w:val="24"/>
          <w:szCs w:val="24"/>
          <w:shd w:val="clear" w:color="auto" w:fill="FFFFFF"/>
        </w:rPr>
        <w:t>业绩超</w:t>
      </w:r>
      <w:proofErr w:type="gramEnd"/>
      <w:r w:rsidRPr="007135AA">
        <w:rPr>
          <w:rFonts w:hAnsi="宋体" w:hint="eastAsia"/>
          <w:color w:val="333333"/>
          <w:sz w:val="24"/>
          <w:szCs w:val="24"/>
          <w:shd w:val="clear" w:color="auto" w:fill="FFFFFF"/>
        </w:rPr>
        <w:t>预期，也导致同期营业收入、净利润高基数，2023年4季度公司经营恢复正常、业绩稳定、达成预算目标，全年股权激励计划目标超额达成。谢谢！</w:t>
      </w:r>
    </w:p>
    <w:p w14:paraId="045B3E9E" w14:textId="77777777" w:rsidR="007135AA" w:rsidRPr="007135AA" w:rsidRDefault="007135AA" w:rsidP="007135AA">
      <w:pPr>
        <w:widowControl/>
        <w:adjustRightInd/>
        <w:spacing w:line="360" w:lineRule="auto"/>
        <w:ind w:firstLineChars="200" w:firstLine="480"/>
        <w:jc w:val="both"/>
        <w:rPr>
          <w:rFonts w:hAnsi="宋体" w:hint="eastAsia"/>
          <w:color w:val="333333"/>
          <w:sz w:val="24"/>
          <w:szCs w:val="24"/>
          <w:shd w:val="clear" w:color="auto" w:fill="FFFFFF"/>
        </w:rPr>
      </w:pPr>
    </w:p>
    <w:p w14:paraId="7F50DDC0" w14:textId="67914036" w:rsidR="007135AA" w:rsidRPr="007135AA" w:rsidRDefault="007135AA" w:rsidP="007135AA">
      <w:pPr>
        <w:adjustRightInd/>
        <w:spacing w:line="360" w:lineRule="auto"/>
        <w:ind w:firstLineChars="200" w:firstLine="482"/>
        <w:jc w:val="both"/>
        <w:rPr>
          <w:rFonts w:hAnsi="宋体" w:hint="eastAsia"/>
          <w:b/>
          <w:bCs/>
          <w:sz w:val="24"/>
          <w:szCs w:val="24"/>
        </w:rPr>
      </w:pPr>
      <w:r w:rsidRPr="007135AA">
        <w:rPr>
          <w:rFonts w:hAnsi="宋体" w:hint="eastAsia"/>
          <w:b/>
          <w:bCs/>
          <w:sz w:val="24"/>
          <w:szCs w:val="24"/>
        </w:rPr>
        <w:t>三、</w:t>
      </w:r>
      <w:r w:rsidRPr="007135AA">
        <w:rPr>
          <w:rFonts w:hAnsi="宋体"/>
          <w:b/>
          <w:bCs/>
          <w:sz w:val="24"/>
          <w:szCs w:val="24"/>
        </w:rPr>
        <w:t>在一心</w:t>
      </w:r>
      <w:proofErr w:type="gramStart"/>
      <w:r w:rsidRPr="007135AA">
        <w:rPr>
          <w:rFonts w:hAnsi="宋体"/>
          <w:b/>
          <w:bCs/>
          <w:sz w:val="24"/>
          <w:szCs w:val="24"/>
        </w:rPr>
        <w:t>堂加大</w:t>
      </w:r>
      <w:proofErr w:type="gramEnd"/>
      <w:r w:rsidRPr="007135AA">
        <w:rPr>
          <w:rFonts w:hAnsi="宋体"/>
          <w:b/>
          <w:bCs/>
          <w:sz w:val="24"/>
          <w:szCs w:val="24"/>
        </w:rPr>
        <w:t>并购的情况，健之佳并购举措进度缓慢，省外并购布局较少，是只专注省内业务发展吗？</w:t>
      </w:r>
    </w:p>
    <w:p w14:paraId="5C580EBA" w14:textId="4997A6B1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答：</w:t>
      </w:r>
      <w:r w:rsidRPr="007135AA">
        <w:rPr>
          <w:rFonts w:hAnsi="宋体" w:hint="eastAsia"/>
          <w:sz w:val="24"/>
          <w:szCs w:val="24"/>
        </w:rPr>
        <w:t>尊敬的投资者您好！感谢您对公司的关注与支持。</w:t>
      </w:r>
    </w:p>
    <w:p w14:paraId="3939D8B4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公司通过自建+收购的方式推动外延扩张，近期以自建为主，收购为辅持续拓展，持续密集布点提升现有</w:t>
      </w:r>
      <w:r w:rsidRPr="007135AA">
        <w:rPr>
          <w:rFonts w:hAnsi="宋体"/>
          <w:sz w:val="24"/>
          <w:szCs w:val="24"/>
        </w:rPr>
        <w:t>6个省市门店规模和竞争力</w:t>
      </w:r>
      <w:r w:rsidRPr="007135AA">
        <w:rPr>
          <w:rFonts w:hAnsi="宋体" w:hint="eastAsia"/>
          <w:sz w:val="24"/>
          <w:szCs w:val="24"/>
        </w:rPr>
        <w:t>。</w:t>
      </w:r>
    </w:p>
    <w:p w14:paraId="7B3B30C7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在2023年度报告、2024年1季度报告报告中，对6个省区的拓展规划的策略做了披露，您和各位投资者可查阅。</w:t>
      </w:r>
    </w:p>
    <w:p w14:paraId="28CB35C2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在收购方面，随着监管日趋严格、市场竞争加剧，药店经营情况有所分化，中小连锁经营压力增加，有出售意向的企业较多，但对出售估值的预期仍较高，多高于市场给予上市公司估值水平。</w:t>
      </w:r>
    </w:p>
    <w:p w14:paraId="16DA29DF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公司与有出售意向的企业审慎洽谈，有进展但进度较慢，公司坚持估值底线，稳健推进。</w:t>
      </w:r>
    </w:p>
    <w:p w14:paraId="6E5EE780" w14:textId="6A3C35DB" w:rsid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在云南地区公司以自建为主，存在3年后接近拓展上限的风险；公司提前规划，在夯实云南利润中心的基础上，逐步将资源向云南之外的市场倾斜，在其他各省区，特别是薄弱和空白区域，拟继续通过收购，帮助公司依托成熟门店、团队快速拓展。截止2</w:t>
      </w:r>
      <w:r w:rsidRPr="007135AA">
        <w:rPr>
          <w:rFonts w:hAnsi="宋体"/>
          <w:sz w:val="24"/>
          <w:szCs w:val="24"/>
        </w:rPr>
        <w:t>024</w:t>
      </w:r>
      <w:r w:rsidRPr="007135AA">
        <w:rPr>
          <w:rFonts w:hAnsi="宋体" w:hint="eastAsia"/>
          <w:sz w:val="24"/>
          <w:szCs w:val="24"/>
        </w:rPr>
        <w:t>年1季度，云南市场医药门店数占比5</w:t>
      </w:r>
      <w:r w:rsidRPr="007135AA">
        <w:rPr>
          <w:rFonts w:hAnsi="宋体"/>
          <w:sz w:val="24"/>
          <w:szCs w:val="24"/>
        </w:rPr>
        <w:t>7.67%</w:t>
      </w:r>
      <w:r w:rsidRPr="007135AA">
        <w:rPr>
          <w:rFonts w:hAnsi="宋体" w:hint="eastAsia"/>
          <w:sz w:val="24"/>
          <w:szCs w:val="24"/>
        </w:rPr>
        <w:t>，较上市初的结构占</w:t>
      </w:r>
      <w:proofErr w:type="gramStart"/>
      <w:r w:rsidRPr="007135AA">
        <w:rPr>
          <w:rFonts w:hAnsi="宋体" w:hint="eastAsia"/>
          <w:sz w:val="24"/>
          <w:szCs w:val="24"/>
        </w:rPr>
        <w:t>比持续</w:t>
      </w:r>
      <w:proofErr w:type="gramEnd"/>
      <w:r w:rsidRPr="007135AA">
        <w:rPr>
          <w:rFonts w:hAnsi="宋体" w:hint="eastAsia"/>
          <w:sz w:val="24"/>
          <w:szCs w:val="24"/>
        </w:rPr>
        <w:t>下降，</w:t>
      </w:r>
      <w:r w:rsidRPr="007135AA">
        <w:rPr>
          <w:rFonts w:hAnsi="宋体"/>
          <w:sz w:val="24"/>
          <w:szCs w:val="24"/>
        </w:rPr>
        <w:t>川</w:t>
      </w:r>
      <w:proofErr w:type="gramStart"/>
      <w:r w:rsidRPr="007135AA">
        <w:rPr>
          <w:rFonts w:hAnsi="宋体"/>
          <w:sz w:val="24"/>
          <w:szCs w:val="24"/>
        </w:rPr>
        <w:t>渝桂冀辽门店</w:t>
      </w:r>
      <w:r w:rsidRPr="007135AA">
        <w:rPr>
          <w:rFonts w:hAnsi="宋体" w:hint="eastAsia"/>
          <w:sz w:val="24"/>
          <w:szCs w:val="24"/>
        </w:rPr>
        <w:t>数</w:t>
      </w:r>
      <w:r w:rsidRPr="007135AA">
        <w:rPr>
          <w:rFonts w:hAnsi="宋体"/>
          <w:sz w:val="24"/>
          <w:szCs w:val="24"/>
        </w:rPr>
        <w:t>结构占</w:t>
      </w:r>
      <w:proofErr w:type="gramEnd"/>
      <w:r w:rsidRPr="007135AA">
        <w:rPr>
          <w:rFonts w:hAnsi="宋体"/>
          <w:sz w:val="24"/>
          <w:szCs w:val="24"/>
        </w:rPr>
        <w:t>比提升至42.33%</w:t>
      </w:r>
      <w:r w:rsidRPr="007135AA">
        <w:rPr>
          <w:rFonts w:hAnsi="宋体" w:hint="eastAsia"/>
          <w:sz w:val="24"/>
          <w:szCs w:val="24"/>
        </w:rPr>
        <w:t>。谢谢！</w:t>
      </w:r>
    </w:p>
    <w:p w14:paraId="65181330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</w:p>
    <w:p w14:paraId="4A6C9FD9" w14:textId="0229DE68" w:rsidR="007135AA" w:rsidRPr="007135AA" w:rsidRDefault="007135AA" w:rsidP="007135AA">
      <w:pPr>
        <w:adjustRightInd/>
        <w:spacing w:line="360" w:lineRule="auto"/>
        <w:ind w:firstLineChars="200" w:firstLine="482"/>
        <w:jc w:val="both"/>
        <w:rPr>
          <w:rFonts w:hAnsi="宋体"/>
          <w:b/>
          <w:bCs/>
          <w:sz w:val="24"/>
          <w:szCs w:val="24"/>
        </w:rPr>
      </w:pPr>
      <w:r w:rsidRPr="007135AA">
        <w:rPr>
          <w:rFonts w:hAnsi="宋体" w:hint="eastAsia"/>
          <w:b/>
          <w:bCs/>
          <w:sz w:val="24"/>
          <w:szCs w:val="24"/>
        </w:rPr>
        <w:t>四、</w:t>
      </w:r>
      <w:r w:rsidRPr="007135AA">
        <w:rPr>
          <w:rFonts w:hAnsi="宋体"/>
          <w:b/>
          <w:bCs/>
          <w:sz w:val="24"/>
          <w:szCs w:val="24"/>
        </w:rPr>
        <w:t>健之</w:t>
      </w:r>
      <w:proofErr w:type="gramStart"/>
      <w:r w:rsidRPr="007135AA">
        <w:rPr>
          <w:rFonts w:hAnsi="宋体"/>
          <w:b/>
          <w:bCs/>
          <w:sz w:val="24"/>
          <w:szCs w:val="24"/>
        </w:rPr>
        <w:t>佳历史</w:t>
      </w:r>
      <w:proofErr w:type="gramEnd"/>
      <w:r w:rsidRPr="007135AA">
        <w:rPr>
          <w:rFonts w:hAnsi="宋体"/>
          <w:b/>
          <w:bCs/>
          <w:sz w:val="24"/>
          <w:szCs w:val="24"/>
        </w:rPr>
        <w:t>年度业绩较好，但是1季度业绩下滑，同类型公司如一心堂等都有所增长，主要下滑原因是啥</w:t>
      </w:r>
    </w:p>
    <w:p w14:paraId="443D1861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答：尊敬的投资者，您好！非常感谢您对公司的支持与关注。</w:t>
      </w:r>
    </w:p>
    <w:p w14:paraId="76DD2531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lastRenderedPageBreak/>
        <w:t>公司一季度业绩增长缓慢的因素主要由于以下几方面：</w:t>
      </w:r>
    </w:p>
    <w:p w14:paraId="1CE8AE7B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(</w:t>
      </w:r>
      <w:r w:rsidRPr="007135AA">
        <w:rPr>
          <w:rFonts w:hAnsi="宋体"/>
          <w:sz w:val="24"/>
          <w:szCs w:val="24"/>
        </w:rPr>
        <w:t>1)</w:t>
      </w:r>
      <w:r w:rsidRPr="007135AA">
        <w:rPr>
          <w:rFonts w:hAnsi="宋体" w:hint="eastAsia"/>
          <w:sz w:val="24"/>
          <w:szCs w:val="24"/>
        </w:rPr>
        <w:t>公司所处区域门诊统筹政策因处方来源尚未突破、处方流转少，结合个人账户改革影响顾客消费行为，公司一季度</w:t>
      </w:r>
      <w:proofErr w:type="gramStart"/>
      <w:r w:rsidRPr="007135AA">
        <w:rPr>
          <w:rFonts w:hAnsi="宋体" w:hint="eastAsia"/>
          <w:sz w:val="24"/>
          <w:szCs w:val="24"/>
        </w:rPr>
        <w:t>医</w:t>
      </w:r>
      <w:proofErr w:type="gramEnd"/>
      <w:r w:rsidRPr="007135AA">
        <w:rPr>
          <w:rFonts w:hAnsi="宋体" w:hint="eastAsia"/>
          <w:sz w:val="24"/>
          <w:szCs w:val="24"/>
        </w:rPr>
        <w:t>保结算收入（以</w:t>
      </w:r>
      <w:proofErr w:type="gramStart"/>
      <w:r w:rsidRPr="007135AA">
        <w:rPr>
          <w:rFonts w:hAnsi="宋体" w:hint="eastAsia"/>
          <w:sz w:val="24"/>
          <w:szCs w:val="24"/>
        </w:rPr>
        <w:t>医</w:t>
      </w:r>
      <w:proofErr w:type="gramEnd"/>
      <w:r w:rsidRPr="007135AA">
        <w:rPr>
          <w:rFonts w:hAnsi="宋体" w:hint="eastAsia"/>
          <w:sz w:val="24"/>
          <w:szCs w:val="24"/>
        </w:rPr>
        <w:t>保个人账户收入为主）占主营业务收入比例已由上年同期的</w:t>
      </w:r>
      <w:r w:rsidRPr="007135AA">
        <w:rPr>
          <w:rFonts w:hAnsi="宋体"/>
          <w:sz w:val="24"/>
          <w:szCs w:val="24"/>
        </w:rPr>
        <w:t>48%下降至42%，门诊统筹政策的集客红利尚未呈现</w:t>
      </w:r>
      <w:r w:rsidRPr="007135AA">
        <w:rPr>
          <w:rFonts w:hAnsi="宋体" w:hint="eastAsia"/>
          <w:sz w:val="24"/>
          <w:szCs w:val="24"/>
        </w:rPr>
        <w:t>；</w:t>
      </w:r>
    </w:p>
    <w:p w14:paraId="257A6AE5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(</w:t>
      </w:r>
      <w:r w:rsidRPr="007135AA">
        <w:rPr>
          <w:rFonts w:hAnsi="宋体"/>
          <w:sz w:val="24"/>
          <w:szCs w:val="24"/>
        </w:rPr>
        <w:t>2)</w:t>
      </w:r>
      <w:r w:rsidRPr="007135AA">
        <w:rPr>
          <w:rFonts w:hAnsi="宋体" w:hint="eastAsia"/>
          <w:sz w:val="24"/>
          <w:szCs w:val="24"/>
        </w:rPr>
        <w:t>经济恢复弱、不确定性增加，消费者收入预期减弱，影响消费者意愿和信心，医药健康消费市场短期增长动力弱。</w:t>
      </w:r>
    </w:p>
    <w:p w14:paraId="64638E3C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（3）外部因素影响超出预期，公司</w:t>
      </w:r>
      <w:r w:rsidRPr="007135AA">
        <w:rPr>
          <w:rFonts w:hAnsi="宋体"/>
          <w:sz w:val="24"/>
          <w:szCs w:val="24"/>
        </w:rPr>
        <w:t>1季度营业收入增长6.79%弱于预期。公司应对策略的执行力度和坚决性仍有强化空间，以</w:t>
      </w:r>
      <w:proofErr w:type="gramStart"/>
      <w:r w:rsidRPr="007135AA">
        <w:rPr>
          <w:rFonts w:hAnsi="宋体"/>
          <w:sz w:val="24"/>
          <w:szCs w:val="24"/>
        </w:rPr>
        <w:t>价换量</w:t>
      </w:r>
      <w:proofErr w:type="gramEnd"/>
      <w:r w:rsidRPr="007135AA">
        <w:rPr>
          <w:rFonts w:hAnsi="宋体"/>
          <w:sz w:val="24"/>
          <w:szCs w:val="24"/>
        </w:rPr>
        <w:t>、提升营业额、抢夺市场份额的措施</w:t>
      </w:r>
      <w:r w:rsidRPr="007135AA">
        <w:rPr>
          <w:rFonts w:hAnsi="宋体" w:hint="eastAsia"/>
          <w:sz w:val="24"/>
          <w:szCs w:val="24"/>
        </w:rPr>
        <w:t>需坚决执行。</w:t>
      </w:r>
    </w:p>
    <w:p w14:paraId="5A5472BB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公司抓住工业企业重视院外市场、基于顾客健康需求调整品种结构，加强非处方药、健康品类及</w:t>
      </w:r>
      <w:r w:rsidRPr="007135AA">
        <w:rPr>
          <w:rFonts w:hAnsi="宋体"/>
          <w:sz w:val="24"/>
          <w:szCs w:val="24"/>
        </w:rPr>
        <w:t>OEM产品引进、推广，</w:t>
      </w:r>
      <w:r w:rsidRPr="007135AA">
        <w:rPr>
          <w:rFonts w:hAnsi="宋体" w:hint="eastAsia"/>
          <w:sz w:val="24"/>
          <w:szCs w:val="24"/>
        </w:rPr>
        <w:t>提升商品</w:t>
      </w:r>
      <w:proofErr w:type="gramStart"/>
      <w:r w:rsidRPr="007135AA">
        <w:rPr>
          <w:rFonts w:hAnsi="宋体" w:hint="eastAsia"/>
          <w:sz w:val="24"/>
          <w:szCs w:val="24"/>
        </w:rPr>
        <w:t>品</w:t>
      </w:r>
      <w:proofErr w:type="gramEnd"/>
      <w:r w:rsidRPr="007135AA">
        <w:rPr>
          <w:rFonts w:hAnsi="宋体" w:hint="eastAsia"/>
          <w:sz w:val="24"/>
          <w:szCs w:val="24"/>
        </w:rPr>
        <w:t>效，贴牌商品销售额较上年同期增长</w:t>
      </w:r>
      <w:r w:rsidRPr="007135AA">
        <w:rPr>
          <w:rFonts w:hAnsi="宋体"/>
          <w:sz w:val="24"/>
          <w:szCs w:val="24"/>
        </w:rPr>
        <w:t>33%</w:t>
      </w:r>
      <w:r w:rsidRPr="007135AA">
        <w:rPr>
          <w:rFonts w:hAnsi="宋体" w:hint="eastAsia"/>
          <w:sz w:val="24"/>
          <w:szCs w:val="24"/>
        </w:rPr>
        <w:t>，</w:t>
      </w:r>
      <w:proofErr w:type="gramStart"/>
      <w:r w:rsidRPr="007135AA">
        <w:rPr>
          <w:rFonts w:hAnsi="宋体" w:hint="eastAsia"/>
          <w:sz w:val="24"/>
          <w:szCs w:val="24"/>
        </w:rPr>
        <w:t>占比较</w:t>
      </w:r>
      <w:proofErr w:type="gramEnd"/>
      <w:r w:rsidRPr="007135AA">
        <w:rPr>
          <w:rFonts w:hAnsi="宋体" w:hint="eastAsia"/>
          <w:sz w:val="24"/>
          <w:szCs w:val="24"/>
        </w:rPr>
        <w:t>上年同期提升</w:t>
      </w:r>
      <w:r w:rsidRPr="007135AA">
        <w:rPr>
          <w:rFonts w:hAnsi="宋体"/>
          <w:sz w:val="24"/>
          <w:szCs w:val="24"/>
        </w:rPr>
        <w:t>3.76%，有效减缓毛利率下降。本期综合毛利率34.36%</w:t>
      </w:r>
      <w:r w:rsidRPr="007135AA">
        <w:rPr>
          <w:rFonts w:hAnsi="宋体" w:hint="eastAsia"/>
          <w:sz w:val="24"/>
          <w:szCs w:val="24"/>
        </w:rPr>
        <w:t>，较上年同期增长</w:t>
      </w:r>
      <w:r w:rsidRPr="007135AA">
        <w:rPr>
          <w:rFonts w:hAnsi="宋体"/>
          <w:sz w:val="24"/>
          <w:szCs w:val="24"/>
        </w:rPr>
        <w:t>1.75%</w:t>
      </w:r>
      <w:r w:rsidRPr="007135AA">
        <w:rPr>
          <w:rFonts w:hAnsi="宋体" w:hint="eastAsia"/>
          <w:sz w:val="24"/>
          <w:szCs w:val="24"/>
        </w:rPr>
        <w:t>。</w:t>
      </w:r>
    </w:p>
    <w:p w14:paraId="74C24F17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（4）</w:t>
      </w:r>
      <w:proofErr w:type="gramStart"/>
      <w:r w:rsidRPr="007135AA">
        <w:rPr>
          <w:rFonts w:hAnsi="宋体" w:hint="eastAsia"/>
          <w:sz w:val="24"/>
          <w:szCs w:val="24"/>
        </w:rPr>
        <w:t>本期门</w:t>
      </w:r>
      <w:proofErr w:type="gramEnd"/>
      <w:r w:rsidRPr="007135AA">
        <w:rPr>
          <w:rFonts w:hAnsi="宋体" w:hint="eastAsia"/>
          <w:sz w:val="24"/>
          <w:szCs w:val="24"/>
        </w:rPr>
        <w:t>店数较上年一季度末净增</w:t>
      </w:r>
      <w:r w:rsidRPr="007135AA">
        <w:rPr>
          <w:rFonts w:hAnsi="宋体"/>
          <w:sz w:val="24"/>
          <w:szCs w:val="24"/>
        </w:rPr>
        <w:t>1,071家、增幅25.55%，且基本系新店及正整合的收购店，低收入增幅贡献的综合毛利</w:t>
      </w:r>
      <w:proofErr w:type="gramStart"/>
      <w:r w:rsidRPr="007135AA">
        <w:rPr>
          <w:rFonts w:hAnsi="宋体"/>
          <w:sz w:val="24"/>
          <w:szCs w:val="24"/>
        </w:rPr>
        <w:t>额无法</w:t>
      </w:r>
      <w:proofErr w:type="gramEnd"/>
      <w:r w:rsidRPr="007135AA">
        <w:rPr>
          <w:rFonts w:hAnsi="宋体"/>
          <w:sz w:val="24"/>
          <w:szCs w:val="24"/>
        </w:rPr>
        <w:t>覆盖门</w:t>
      </w:r>
      <w:proofErr w:type="gramStart"/>
      <w:r w:rsidRPr="007135AA">
        <w:rPr>
          <w:rFonts w:hAnsi="宋体"/>
          <w:sz w:val="24"/>
          <w:szCs w:val="24"/>
        </w:rPr>
        <w:t>店增长</w:t>
      </w:r>
      <w:proofErr w:type="gramEnd"/>
      <w:r w:rsidRPr="007135AA">
        <w:rPr>
          <w:rFonts w:hAnsi="宋体"/>
          <w:sz w:val="24"/>
          <w:szCs w:val="24"/>
        </w:rPr>
        <w:t>25.55%带来的期间费用19.98%的刚性增长，导致</w:t>
      </w:r>
      <w:r w:rsidRPr="007135AA">
        <w:rPr>
          <w:rFonts w:hAnsi="宋体" w:hint="eastAsia"/>
          <w:sz w:val="24"/>
          <w:szCs w:val="24"/>
        </w:rPr>
        <w:t>归属于上市公司股东的扣除非经常性损益的净利润</w:t>
      </w:r>
      <w:r w:rsidRPr="007135AA">
        <w:rPr>
          <w:rFonts w:hAnsi="宋体"/>
          <w:sz w:val="24"/>
          <w:szCs w:val="24"/>
        </w:rPr>
        <w:t>5,043.21</w:t>
      </w:r>
      <w:r w:rsidRPr="007135AA">
        <w:rPr>
          <w:rFonts w:hAnsi="宋体" w:hint="eastAsia"/>
          <w:sz w:val="24"/>
          <w:szCs w:val="24"/>
        </w:rPr>
        <w:t>万元，较基数略高的</w:t>
      </w:r>
      <w:r w:rsidRPr="007135AA">
        <w:rPr>
          <w:rFonts w:hAnsi="宋体"/>
          <w:sz w:val="24"/>
          <w:szCs w:val="24"/>
        </w:rPr>
        <w:t>2023年1季度同比降低32.32</w:t>
      </w:r>
    </w:p>
    <w:p w14:paraId="5D61196B" w14:textId="77777777" w:rsid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公司</w:t>
      </w:r>
      <w:r w:rsidRPr="007135AA">
        <w:rPr>
          <w:rFonts w:hAnsi="宋体"/>
          <w:sz w:val="24"/>
          <w:szCs w:val="24"/>
        </w:rPr>
        <w:t>2024 年度工作保持谨慎、积极的态度，</w:t>
      </w:r>
      <w:r w:rsidRPr="007135AA">
        <w:rPr>
          <w:rFonts w:hAnsi="宋体" w:hint="eastAsia"/>
          <w:sz w:val="24"/>
          <w:szCs w:val="24"/>
        </w:rPr>
        <w:t>严控风险，着力推动效率提升、高质量发展，以自身工作的确定性，应对外部环境的不确定性。计划</w:t>
      </w:r>
      <w:r w:rsidRPr="007135AA">
        <w:rPr>
          <w:rFonts w:hAnsi="宋体"/>
          <w:sz w:val="24"/>
          <w:szCs w:val="24"/>
        </w:rPr>
        <w:t xml:space="preserve"> 2-4 季度以更坚决、主动的策略专注强化营运力、商品力和专业力，提升管理</w:t>
      </w:r>
      <w:r w:rsidRPr="007135AA">
        <w:rPr>
          <w:rFonts w:hAnsi="宋体" w:hint="eastAsia"/>
          <w:sz w:val="24"/>
          <w:szCs w:val="24"/>
        </w:rPr>
        <w:t>和营运效率，</w:t>
      </w:r>
      <w:proofErr w:type="gramStart"/>
      <w:r w:rsidRPr="007135AA">
        <w:rPr>
          <w:rFonts w:hAnsi="宋体" w:hint="eastAsia"/>
          <w:sz w:val="24"/>
          <w:szCs w:val="24"/>
        </w:rPr>
        <w:t>控费增效</w:t>
      </w:r>
      <w:proofErr w:type="gramEnd"/>
      <w:r w:rsidRPr="007135AA">
        <w:rPr>
          <w:rFonts w:hAnsi="宋体" w:hint="eastAsia"/>
          <w:sz w:val="24"/>
          <w:szCs w:val="24"/>
        </w:rPr>
        <w:t>、积极竞价，与工业企业联合加大促销和专业推广力度，力争为顾客提供极致性价比的服务和产品的核心经营策略高效贯彻、执行，以</w:t>
      </w:r>
      <w:proofErr w:type="gramStart"/>
      <w:r w:rsidRPr="007135AA">
        <w:rPr>
          <w:rFonts w:hAnsi="宋体" w:hint="eastAsia"/>
          <w:sz w:val="24"/>
          <w:szCs w:val="24"/>
        </w:rPr>
        <w:t>价换量</w:t>
      </w:r>
      <w:proofErr w:type="gramEnd"/>
      <w:r w:rsidRPr="007135AA">
        <w:rPr>
          <w:rFonts w:hAnsi="宋体" w:hint="eastAsia"/>
          <w:sz w:val="24"/>
          <w:szCs w:val="24"/>
        </w:rPr>
        <w:t>、提升营业额、抢夺市场份额，提升店效、人效。</w:t>
      </w:r>
    </w:p>
    <w:p w14:paraId="3FEF0872" w14:textId="77777777" w:rsid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</w:p>
    <w:p w14:paraId="1CF3DFE6" w14:textId="448EB638" w:rsidR="007135AA" w:rsidRPr="007135AA" w:rsidRDefault="007135AA" w:rsidP="007135AA">
      <w:pPr>
        <w:spacing w:line="360" w:lineRule="auto"/>
        <w:ind w:firstLineChars="200" w:firstLine="482"/>
        <w:rPr>
          <w:rFonts w:hAnsi="宋体" w:hint="eastAsia"/>
          <w:b/>
          <w:bCs/>
          <w:sz w:val="24"/>
          <w:szCs w:val="24"/>
        </w:rPr>
      </w:pPr>
      <w:r w:rsidRPr="007135AA">
        <w:rPr>
          <w:rFonts w:hAnsi="宋体" w:hint="eastAsia"/>
          <w:b/>
          <w:bCs/>
          <w:sz w:val="24"/>
          <w:szCs w:val="24"/>
        </w:rPr>
        <w:t>五、</w:t>
      </w:r>
      <w:r w:rsidRPr="007135AA">
        <w:rPr>
          <w:rFonts w:hAnsi="宋体"/>
          <w:b/>
          <w:bCs/>
          <w:sz w:val="24"/>
          <w:szCs w:val="24"/>
        </w:rPr>
        <w:t>健之佳有考虑进行实市值管理吗？以及在销售增长放缓的时候，是否考虑进行加大资本市场运作？</w:t>
      </w:r>
    </w:p>
    <w:p w14:paraId="52E13945" w14:textId="1552F2C3" w:rsidR="007135AA" w:rsidRPr="008F1EC1" w:rsidRDefault="007135AA" w:rsidP="007135AA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答：</w:t>
      </w:r>
      <w:r w:rsidRPr="008F1EC1">
        <w:rPr>
          <w:rFonts w:hAnsi="宋体" w:hint="eastAsia"/>
          <w:sz w:val="24"/>
          <w:szCs w:val="24"/>
        </w:rPr>
        <w:t>尊敬的投资者您好！感谢您对公司的关注与支持。</w:t>
      </w:r>
    </w:p>
    <w:p w14:paraId="255EE72E" w14:textId="77777777" w:rsidR="007135AA" w:rsidRDefault="007135AA" w:rsidP="007135AA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公司重视规范</w:t>
      </w:r>
      <w:r w:rsidRPr="008F1EC1">
        <w:rPr>
          <w:rFonts w:hAnsi="宋体"/>
          <w:sz w:val="24"/>
          <w:szCs w:val="24"/>
        </w:rPr>
        <w:t>市值</w:t>
      </w:r>
      <w:r>
        <w:rPr>
          <w:rFonts w:hAnsi="宋体" w:hint="eastAsia"/>
          <w:sz w:val="24"/>
          <w:szCs w:val="24"/>
        </w:rPr>
        <w:t>管理工作，与资本市场保持良好沟通，积极传递公司投</w:t>
      </w:r>
      <w:r>
        <w:rPr>
          <w:rFonts w:hAnsi="宋体" w:hint="eastAsia"/>
          <w:sz w:val="24"/>
          <w:szCs w:val="24"/>
        </w:rPr>
        <w:lastRenderedPageBreak/>
        <w:t>资价值，</w:t>
      </w:r>
      <w:r w:rsidRPr="008F1EC1">
        <w:rPr>
          <w:rFonts w:hAnsi="宋体"/>
          <w:sz w:val="24"/>
          <w:szCs w:val="24"/>
        </w:rPr>
        <w:t>努力为投资者创造更好的回报。</w:t>
      </w:r>
    </w:p>
    <w:p w14:paraId="44D7A4C1" w14:textId="77777777" w:rsidR="007135AA" w:rsidRDefault="007135AA" w:rsidP="007135AA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公司本年建立了《股份回购管理制度》，审慎、依法合</w:t>
      </w:r>
      <w:proofErr w:type="gramStart"/>
      <w:r>
        <w:rPr>
          <w:rFonts w:hAnsi="宋体" w:hint="eastAsia"/>
          <w:sz w:val="24"/>
          <w:szCs w:val="24"/>
        </w:rPr>
        <w:t>规</w:t>
      </w:r>
      <w:proofErr w:type="gramEnd"/>
      <w:r>
        <w:rPr>
          <w:rFonts w:hAnsi="宋体" w:hint="eastAsia"/>
          <w:sz w:val="24"/>
          <w:szCs w:val="24"/>
        </w:rPr>
        <w:t>开展市值管理维护工作，禁止操纵市场、内幕交易、违规利益输送等伪市值管理等违法违规行为。</w:t>
      </w:r>
    </w:p>
    <w:p w14:paraId="1FD8602C" w14:textId="77777777" w:rsidR="007135AA" w:rsidRDefault="007135AA" w:rsidP="007135AA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2021</w:t>
      </w:r>
      <w:r>
        <w:rPr>
          <w:rFonts w:hAnsi="宋体" w:hint="eastAsia"/>
          <w:sz w:val="24"/>
          <w:szCs w:val="24"/>
        </w:rPr>
        <w:t>年，公司推出股权激励计划和员工持股计划，分别有1</w:t>
      </w:r>
      <w:r>
        <w:rPr>
          <w:rFonts w:hAnsi="宋体"/>
          <w:sz w:val="24"/>
          <w:szCs w:val="24"/>
        </w:rPr>
        <w:t>71</w:t>
      </w:r>
      <w:r>
        <w:rPr>
          <w:rFonts w:hAnsi="宋体" w:hint="eastAsia"/>
          <w:sz w:val="24"/>
          <w:szCs w:val="24"/>
        </w:rPr>
        <w:t>位和1</w:t>
      </w:r>
      <w:r>
        <w:rPr>
          <w:rFonts w:hAnsi="宋体"/>
          <w:sz w:val="24"/>
          <w:szCs w:val="24"/>
        </w:rPr>
        <w:t>036</w:t>
      </w:r>
      <w:r>
        <w:rPr>
          <w:rFonts w:hAnsi="宋体" w:hint="eastAsia"/>
          <w:sz w:val="24"/>
          <w:szCs w:val="24"/>
        </w:rPr>
        <w:t>位员工参与。通过全体员工的共同努力，实现归属上市股东的净利润累计三年增长6</w:t>
      </w:r>
      <w:r>
        <w:rPr>
          <w:rFonts w:hAnsi="宋体"/>
          <w:sz w:val="24"/>
          <w:szCs w:val="24"/>
        </w:rPr>
        <w:t>8.98%</w:t>
      </w:r>
      <w:r>
        <w:rPr>
          <w:rFonts w:hAnsi="宋体" w:hint="eastAsia"/>
          <w:sz w:val="24"/>
          <w:szCs w:val="24"/>
        </w:rPr>
        <w:t>，超出原计划3</w:t>
      </w:r>
      <w:r>
        <w:rPr>
          <w:rFonts w:hAnsi="宋体"/>
          <w:sz w:val="24"/>
          <w:szCs w:val="24"/>
        </w:rPr>
        <w:t>.98%</w:t>
      </w:r>
      <w:r>
        <w:rPr>
          <w:rFonts w:hAnsi="宋体" w:hint="eastAsia"/>
          <w:sz w:val="24"/>
          <w:szCs w:val="24"/>
        </w:rPr>
        <w:t>，达到设定激励计划的目标。</w:t>
      </w:r>
    </w:p>
    <w:p w14:paraId="4AEE4C94" w14:textId="77777777" w:rsidR="007135AA" w:rsidRDefault="007135AA" w:rsidP="007135AA">
      <w:pPr>
        <w:spacing w:line="360" w:lineRule="auto"/>
        <w:ind w:firstLine="20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</w:t>
      </w:r>
      <w:r>
        <w:rPr>
          <w:rFonts w:hAnsi="宋体"/>
          <w:sz w:val="24"/>
          <w:szCs w:val="24"/>
        </w:rPr>
        <w:t>022</w:t>
      </w:r>
      <w:r>
        <w:rPr>
          <w:rFonts w:hAnsi="宋体" w:hint="eastAsia"/>
          <w:sz w:val="24"/>
          <w:szCs w:val="24"/>
        </w:rPr>
        <w:t>年4月，公司实际控制人</w:t>
      </w:r>
      <w:proofErr w:type="gramStart"/>
      <w:r>
        <w:rPr>
          <w:rFonts w:hAnsi="宋体" w:hint="eastAsia"/>
          <w:sz w:val="24"/>
          <w:szCs w:val="24"/>
        </w:rPr>
        <w:t>蓝波总通过</w:t>
      </w:r>
      <w:proofErr w:type="gramEnd"/>
      <w:r>
        <w:rPr>
          <w:rFonts w:hAnsi="宋体" w:hint="eastAsia"/>
          <w:sz w:val="24"/>
          <w:szCs w:val="24"/>
        </w:rPr>
        <w:t>全额认购、完成4</w:t>
      </w:r>
      <w:r>
        <w:rPr>
          <w:rFonts w:hAnsi="宋体"/>
          <w:sz w:val="24"/>
          <w:szCs w:val="24"/>
        </w:rPr>
        <w:t>.2</w:t>
      </w:r>
      <w:r>
        <w:rPr>
          <w:rFonts w:hAnsi="宋体" w:hint="eastAsia"/>
          <w:sz w:val="24"/>
          <w:szCs w:val="24"/>
        </w:rPr>
        <w:t>亿非公开发行的股票，以实际行动支持公司发展。</w:t>
      </w:r>
    </w:p>
    <w:p w14:paraId="32FCA661" w14:textId="77777777" w:rsidR="007135AA" w:rsidRPr="00A84C76" w:rsidRDefault="007135AA" w:rsidP="007135AA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结合后续经营发展需要，公司2</w:t>
      </w:r>
      <w:r>
        <w:rPr>
          <w:rFonts w:hAnsi="宋体"/>
          <w:sz w:val="24"/>
          <w:szCs w:val="24"/>
        </w:rPr>
        <w:t>024</w:t>
      </w:r>
      <w:r>
        <w:rPr>
          <w:rFonts w:hAnsi="宋体" w:hint="eastAsia"/>
          <w:sz w:val="24"/>
          <w:szCs w:val="24"/>
        </w:rPr>
        <w:t>年推出新一期股权激励计划和员工持股计划，通过激发员工的积极性和主观能动性驱动业绩持续增长；结合公司发展需要、征询监管机构意见、参考同行业上市公司经验，规划后续融资计划。谢谢！</w:t>
      </w:r>
    </w:p>
    <w:p w14:paraId="48E28EBA" w14:textId="3C34ED94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 w:hint="eastAsia"/>
          <w:sz w:val="24"/>
          <w:szCs w:val="24"/>
        </w:rPr>
      </w:pPr>
    </w:p>
    <w:p w14:paraId="03C2B588" w14:textId="5718FCAC" w:rsidR="007135AA" w:rsidRPr="007135AA" w:rsidRDefault="007135AA" w:rsidP="007135AA">
      <w:pPr>
        <w:adjustRightInd/>
        <w:spacing w:line="360" w:lineRule="auto"/>
        <w:ind w:firstLine="200"/>
        <w:jc w:val="both"/>
        <w:rPr>
          <w:rFonts w:hAnsi="宋体"/>
          <w:b/>
          <w:bCs/>
          <w:sz w:val="24"/>
          <w:szCs w:val="24"/>
        </w:rPr>
      </w:pPr>
      <w:r w:rsidRPr="007135AA">
        <w:rPr>
          <w:rFonts w:hAnsi="宋体" w:hint="eastAsia"/>
          <w:b/>
          <w:bCs/>
          <w:sz w:val="24"/>
          <w:szCs w:val="24"/>
        </w:rPr>
        <w:t>六、</w:t>
      </w:r>
      <w:r w:rsidRPr="007135AA">
        <w:rPr>
          <w:rFonts w:hAnsi="宋体"/>
          <w:b/>
          <w:bCs/>
          <w:sz w:val="24"/>
          <w:szCs w:val="24"/>
        </w:rPr>
        <w:t>之后会考虑加强与云南省内医药制造业的上市公司合作吗？如云南白药、贝泰妮、</w:t>
      </w:r>
      <w:proofErr w:type="gramStart"/>
      <w:r w:rsidRPr="007135AA">
        <w:rPr>
          <w:rFonts w:hAnsi="宋体"/>
          <w:b/>
          <w:bCs/>
          <w:sz w:val="24"/>
          <w:szCs w:val="24"/>
        </w:rPr>
        <w:t>昆药等</w:t>
      </w:r>
      <w:proofErr w:type="gramEnd"/>
      <w:r w:rsidRPr="007135AA">
        <w:rPr>
          <w:rFonts w:hAnsi="宋体"/>
          <w:b/>
          <w:bCs/>
          <w:sz w:val="24"/>
          <w:szCs w:val="24"/>
        </w:rPr>
        <w:t>，像是一心堂屡屡发布新闻加强对知名医药企业合作，健</w:t>
      </w:r>
      <w:proofErr w:type="gramStart"/>
      <w:r w:rsidRPr="007135AA">
        <w:rPr>
          <w:rFonts w:hAnsi="宋体"/>
          <w:b/>
          <w:bCs/>
          <w:sz w:val="24"/>
          <w:szCs w:val="24"/>
        </w:rPr>
        <w:t>之佳会同步</w:t>
      </w:r>
      <w:proofErr w:type="gramEnd"/>
      <w:r w:rsidRPr="007135AA">
        <w:rPr>
          <w:rFonts w:hAnsi="宋体"/>
          <w:b/>
          <w:bCs/>
          <w:sz w:val="24"/>
          <w:szCs w:val="24"/>
        </w:rPr>
        <w:t>跟进吗</w:t>
      </w:r>
    </w:p>
    <w:p w14:paraId="5FBAD8E1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答：尊敬的投资者，您好！非常感谢您对公司的支持与关注。</w:t>
      </w:r>
    </w:p>
    <w:p w14:paraId="1E1F0B9A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公司与云南白药、贝泰妮、</w:t>
      </w:r>
      <w:proofErr w:type="gramStart"/>
      <w:r w:rsidRPr="007135AA">
        <w:rPr>
          <w:rFonts w:hAnsi="宋体" w:hint="eastAsia"/>
          <w:sz w:val="24"/>
          <w:szCs w:val="24"/>
        </w:rPr>
        <w:t>昆药及其</w:t>
      </w:r>
      <w:proofErr w:type="gramEnd"/>
      <w:r w:rsidRPr="007135AA">
        <w:rPr>
          <w:rFonts w:hAnsi="宋体" w:hint="eastAsia"/>
          <w:sz w:val="24"/>
          <w:szCs w:val="24"/>
        </w:rPr>
        <w:t>他国内外知名医药企业的合作深入、广泛。云南白药下属的云南省医药公司是健之</w:t>
      </w:r>
      <w:proofErr w:type="gramStart"/>
      <w:r w:rsidRPr="007135AA">
        <w:rPr>
          <w:rFonts w:hAnsi="宋体" w:hint="eastAsia"/>
          <w:sz w:val="24"/>
          <w:szCs w:val="24"/>
        </w:rPr>
        <w:t>佳最大</w:t>
      </w:r>
      <w:proofErr w:type="gramEnd"/>
      <w:r w:rsidRPr="007135AA">
        <w:rPr>
          <w:rFonts w:hAnsi="宋体" w:hint="eastAsia"/>
          <w:sz w:val="24"/>
          <w:szCs w:val="24"/>
        </w:rPr>
        <w:t>供应商。</w:t>
      </w:r>
    </w:p>
    <w:p w14:paraId="280CE0F3" w14:textId="77777777" w:rsidR="007135AA" w:rsidRPr="007135AA" w:rsidRDefault="007135AA" w:rsidP="007135AA">
      <w:pPr>
        <w:adjustRightInd/>
        <w:spacing w:line="360" w:lineRule="auto"/>
        <w:ind w:firstLineChars="200" w:firstLine="480"/>
        <w:jc w:val="both"/>
        <w:rPr>
          <w:rFonts w:hAnsi="宋体"/>
          <w:sz w:val="24"/>
          <w:szCs w:val="24"/>
        </w:rPr>
      </w:pPr>
      <w:r w:rsidRPr="007135AA">
        <w:rPr>
          <w:rFonts w:hAnsi="宋体" w:hint="eastAsia"/>
          <w:sz w:val="24"/>
          <w:szCs w:val="24"/>
        </w:rPr>
        <w:t>公司积极承接顾客外流、工业企业重视院外市场的长期趋势，坚持业务转型，将获取进销差价、前台高毛利模式向挖掘供应链价值、提升专业服务价值、改善综合毛利率转变。未来公司将持续拓展合作渠道，除中西成药外，加强非药产品、自有品牌产品等其他健康相关品类商品规划和引进，满足消费者的需求。谢谢！</w:t>
      </w:r>
    </w:p>
    <w:p w14:paraId="45D43F5A" w14:textId="77777777" w:rsidR="00C86947" w:rsidRPr="007135AA" w:rsidRDefault="00C86947" w:rsidP="00C86947">
      <w:pPr>
        <w:pStyle w:val="a5"/>
        <w:kinsoku w:val="0"/>
        <w:overflowPunct w:val="0"/>
        <w:spacing w:line="360" w:lineRule="auto"/>
        <w:ind w:leftChars="129" w:left="284" w:right="84" w:firstLineChars="183" w:firstLine="425"/>
        <w:rPr>
          <w:rFonts w:hAnsi="宋体" w:cs="Times New Roman"/>
          <w:spacing w:val="-4"/>
        </w:rPr>
      </w:pPr>
    </w:p>
    <w:p w14:paraId="6D9A1DA9" w14:textId="77777777" w:rsidR="00607EB9" w:rsidRPr="00AB7E6C" w:rsidRDefault="00607EB9" w:rsidP="00AB7E6C">
      <w:pPr>
        <w:pStyle w:val="a5"/>
        <w:kinsoku w:val="0"/>
        <w:overflowPunct w:val="0"/>
        <w:spacing w:before="9" w:line="360" w:lineRule="auto"/>
        <w:ind w:left="0"/>
        <w:rPr>
          <w:rFonts w:hAnsi="宋体" w:cs="Times New Roman"/>
        </w:rPr>
      </w:pPr>
    </w:p>
    <w:p w14:paraId="4C70DB2C" w14:textId="6D2E438B" w:rsidR="00607EB9" w:rsidRPr="00AB7E6C" w:rsidRDefault="00C86947" w:rsidP="00AB7E6C">
      <w:pPr>
        <w:pStyle w:val="a5"/>
        <w:kinsoku w:val="0"/>
        <w:overflowPunct w:val="0"/>
        <w:spacing w:before="66" w:line="360" w:lineRule="auto"/>
        <w:ind w:left="0" w:right="216"/>
        <w:jc w:val="right"/>
        <w:rPr>
          <w:rFonts w:hAnsi="宋体" w:cs="Times New Roman"/>
        </w:rPr>
      </w:pPr>
      <w:r>
        <w:rPr>
          <w:rFonts w:hAnsi="宋体" w:cs="Times New Roman" w:hint="eastAsia"/>
        </w:rPr>
        <w:t>健之佳医药连锁集团股份有限公司</w:t>
      </w:r>
      <w:r w:rsidR="002F1C9C" w:rsidRPr="00AB7E6C">
        <w:rPr>
          <w:rFonts w:hAnsi="宋体" w:cs="Times New Roman"/>
        </w:rPr>
        <w:t xml:space="preserve"> </w:t>
      </w:r>
    </w:p>
    <w:p w14:paraId="113BDA15" w14:textId="18E22B86" w:rsidR="00607EB9" w:rsidRPr="00AB7E6C" w:rsidRDefault="007135AA" w:rsidP="00AB7E6C">
      <w:pPr>
        <w:pStyle w:val="a5"/>
        <w:kinsoku w:val="0"/>
        <w:overflowPunct w:val="0"/>
        <w:spacing w:before="66" w:line="360" w:lineRule="auto"/>
        <w:ind w:left="0" w:right="216"/>
        <w:jc w:val="right"/>
        <w:rPr>
          <w:rFonts w:hAnsi="宋体" w:cs="Times New Roman"/>
          <w:spacing w:val="-30"/>
        </w:rPr>
      </w:pPr>
      <w:r>
        <w:rPr>
          <w:rFonts w:hAnsi="宋体" w:cs="Times New Roman"/>
        </w:rPr>
        <w:t>2024</w:t>
      </w:r>
      <w:r w:rsidR="00C86947">
        <w:rPr>
          <w:rFonts w:hAnsi="宋体" w:cs="Times New Roman" w:hint="eastAsia"/>
        </w:rPr>
        <w:t>年</w:t>
      </w:r>
      <w:r>
        <w:rPr>
          <w:rFonts w:hAnsi="宋体" w:cs="Times New Roman"/>
        </w:rPr>
        <w:t>4</w:t>
      </w:r>
      <w:r w:rsidR="00C86947">
        <w:rPr>
          <w:rFonts w:hAnsi="宋体" w:cs="Times New Roman" w:hint="eastAsia"/>
        </w:rPr>
        <w:t>月2</w:t>
      </w:r>
      <w:r>
        <w:rPr>
          <w:rFonts w:hAnsi="宋体" w:cs="Times New Roman"/>
        </w:rPr>
        <w:t>9</w:t>
      </w:r>
      <w:r w:rsidR="00C86947">
        <w:rPr>
          <w:rFonts w:hAnsi="宋体" w:cs="Times New Roman" w:hint="eastAsia"/>
        </w:rPr>
        <w:t>日</w:t>
      </w:r>
      <w:r w:rsidR="002F1C9C" w:rsidRPr="00AB7E6C">
        <w:rPr>
          <w:rFonts w:hAnsi="宋体" w:cs="Times New Roman"/>
          <w:spacing w:val="-30"/>
        </w:rPr>
        <w:t xml:space="preserve"> </w:t>
      </w:r>
    </w:p>
    <w:sectPr w:rsidR="00607EB9" w:rsidRPr="00AB7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1474" w14:textId="77777777" w:rsidR="00E2497E" w:rsidRDefault="00E2497E">
      <w:r>
        <w:separator/>
      </w:r>
    </w:p>
  </w:endnote>
  <w:endnote w:type="continuationSeparator" w:id="0">
    <w:p w14:paraId="2C43CEF5" w14:textId="77777777" w:rsidR="00E2497E" w:rsidRDefault="00E2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A899" w14:textId="77777777" w:rsidR="00E2497E" w:rsidRDefault="00E2497E">
      <w:r>
        <w:separator/>
      </w:r>
    </w:p>
  </w:footnote>
  <w:footnote w:type="continuationSeparator" w:id="0">
    <w:p w14:paraId="0FB5D6A0" w14:textId="77777777" w:rsidR="00E2497E" w:rsidRDefault="00E24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0FF"/>
    <w:multiLevelType w:val="hybridMultilevel"/>
    <w:tmpl w:val="AE06C988"/>
    <w:lvl w:ilvl="0" w:tplc="319EFBF6">
      <w:start w:val="12"/>
      <w:numFmt w:val="decimal"/>
      <w:lvlText w:val="%1、"/>
      <w:lvlJc w:val="left"/>
      <w:pPr>
        <w:ind w:left="8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" w15:restartNumberingAfterBreak="0">
    <w:nsid w:val="5C4C1BFD"/>
    <w:multiLevelType w:val="hybridMultilevel"/>
    <w:tmpl w:val="5F0A6172"/>
    <w:lvl w:ilvl="0" w:tplc="23920872">
      <w:start w:val="1"/>
      <w:numFmt w:val="decimal"/>
      <w:lvlText w:val="%1、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4" w:hanging="420"/>
      </w:pPr>
    </w:lvl>
    <w:lvl w:ilvl="2" w:tplc="0409001B" w:tentative="1">
      <w:start w:val="1"/>
      <w:numFmt w:val="lowerRoman"/>
      <w:lvlText w:val="%3."/>
      <w:lvlJc w:val="righ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9" w:tentative="1">
      <w:start w:val="1"/>
      <w:numFmt w:val="lowerLetter"/>
      <w:lvlText w:val="%5)"/>
      <w:lvlJc w:val="left"/>
      <w:pPr>
        <w:ind w:left="2884" w:hanging="420"/>
      </w:pPr>
    </w:lvl>
    <w:lvl w:ilvl="5" w:tplc="0409001B" w:tentative="1">
      <w:start w:val="1"/>
      <w:numFmt w:val="lowerRoman"/>
      <w:lvlText w:val="%6."/>
      <w:lvlJc w:val="righ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9" w:tentative="1">
      <w:start w:val="1"/>
      <w:numFmt w:val="lowerLetter"/>
      <w:lvlText w:val="%8)"/>
      <w:lvlJc w:val="left"/>
      <w:pPr>
        <w:ind w:left="4144" w:hanging="420"/>
      </w:pPr>
    </w:lvl>
    <w:lvl w:ilvl="8" w:tplc="0409001B" w:tentative="1">
      <w:start w:val="1"/>
      <w:numFmt w:val="lowerRoman"/>
      <w:lvlText w:val="%9."/>
      <w:lvlJc w:val="right"/>
      <w:pPr>
        <w:ind w:left="4564" w:hanging="420"/>
      </w:pPr>
    </w:lvl>
  </w:abstractNum>
  <w:abstractNum w:abstractNumId="2" w15:restartNumberingAfterBreak="0">
    <w:nsid w:val="60351A49"/>
    <w:multiLevelType w:val="hybridMultilevel"/>
    <w:tmpl w:val="5560C288"/>
    <w:lvl w:ilvl="0" w:tplc="EB2A3FAE">
      <w:start w:val="11"/>
      <w:numFmt w:val="decimal"/>
      <w:lvlText w:val="%1、"/>
      <w:lvlJc w:val="left"/>
      <w:pPr>
        <w:ind w:left="8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3" w15:restartNumberingAfterBreak="0">
    <w:nsid w:val="77C06241"/>
    <w:multiLevelType w:val="hybridMultilevel"/>
    <w:tmpl w:val="F878C2A8"/>
    <w:lvl w:ilvl="0" w:tplc="E8E8C4A8">
      <w:start w:val="1"/>
      <w:numFmt w:val="decimal"/>
      <w:lvlText w:val="%1、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 w16cid:durableId="1134327674">
    <w:abstractNumId w:val="1"/>
  </w:num>
  <w:num w:numId="2" w16cid:durableId="578757468">
    <w:abstractNumId w:val="2"/>
  </w:num>
  <w:num w:numId="3" w16cid:durableId="1868904064">
    <w:abstractNumId w:val="0"/>
  </w:num>
  <w:num w:numId="4" w16cid:durableId="89890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C6"/>
    <w:rsid w:val="00007C97"/>
    <w:rsid w:val="000102B0"/>
    <w:rsid w:val="00015BBF"/>
    <w:rsid w:val="00025E8F"/>
    <w:rsid w:val="00036C80"/>
    <w:rsid w:val="00043006"/>
    <w:rsid w:val="000454D7"/>
    <w:rsid w:val="00045794"/>
    <w:rsid w:val="00046646"/>
    <w:rsid w:val="00046E69"/>
    <w:rsid w:val="00073801"/>
    <w:rsid w:val="00081C64"/>
    <w:rsid w:val="0008741B"/>
    <w:rsid w:val="00090C44"/>
    <w:rsid w:val="00091A9C"/>
    <w:rsid w:val="000949D4"/>
    <w:rsid w:val="000C5729"/>
    <w:rsid w:val="000D0310"/>
    <w:rsid w:val="000D28ED"/>
    <w:rsid w:val="000D354B"/>
    <w:rsid w:val="0011196F"/>
    <w:rsid w:val="001138CE"/>
    <w:rsid w:val="00114126"/>
    <w:rsid w:val="001164D9"/>
    <w:rsid w:val="00117543"/>
    <w:rsid w:val="00131A20"/>
    <w:rsid w:val="00135566"/>
    <w:rsid w:val="00156F5B"/>
    <w:rsid w:val="00167A28"/>
    <w:rsid w:val="001706F9"/>
    <w:rsid w:val="00172121"/>
    <w:rsid w:val="001832A0"/>
    <w:rsid w:val="001859E5"/>
    <w:rsid w:val="00191BE3"/>
    <w:rsid w:val="00197BEE"/>
    <w:rsid w:val="001B7848"/>
    <w:rsid w:val="001B799C"/>
    <w:rsid w:val="001D70E8"/>
    <w:rsid w:val="001F55BB"/>
    <w:rsid w:val="00204CF0"/>
    <w:rsid w:val="00236D6C"/>
    <w:rsid w:val="00244199"/>
    <w:rsid w:val="002442CA"/>
    <w:rsid w:val="00244872"/>
    <w:rsid w:val="00254E97"/>
    <w:rsid w:val="0026438E"/>
    <w:rsid w:val="00277440"/>
    <w:rsid w:val="00294E8F"/>
    <w:rsid w:val="002A00B1"/>
    <w:rsid w:val="002A7310"/>
    <w:rsid w:val="002B088A"/>
    <w:rsid w:val="002C5E88"/>
    <w:rsid w:val="002F1C9C"/>
    <w:rsid w:val="002F6F12"/>
    <w:rsid w:val="002F7A14"/>
    <w:rsid w:val="003028D8"/>
    <w:rsid w:val="00303236"/>
    <w:rsid w:val="00306A1C"/>
    <w:rsid w:val="00330B27"/>
    <w:rsid w:val="003556F3"/>
    <w:rsid w:val="00357B4C"/>
    <w:rsid w:val="003604FC"/>
    <w:rsid w:val="0037255E"/>
    <w:rsid w:val="00374704"/>
    <w:rsid w:val="00374ABF"/>
    <w:rsid w:val="003D73AC"/>
    <w:rsid w:val="003E1323"/>
    <w:rsid w:val="003E65BD"/>
    <w:rsid w:val="003E67DC"/>
    <w:rsid w:val="003F3043"/>
    <w:rsid w:val="003F449E"/>
    <w:rsid w:val="00416809"/>
    <w:rsid w:val="00436781"/>
    <w:rsid w:val="004727D6"/>
    <w:rsid w:val="00490D22"/>
    <w:rsid w:val="004A3B18"/>
    <w:rsid w:val="004B176C"/>
    <w:rsid w:val="004C3123"/>
    <w:rsid w:val="004D3681"/>
    <w:rsid w:val="004D3E2F"/>
    <w:rsid w:val="004D79D3"/>
    <w:rsid w:val="004F3628"/>
    <w:rsid w:val="004F6115"/>
    <w:rsid w:val="005053A2"/>
    <w:rsid w:val="005075CC"/>
    <w:rsid w:val="0052637F"/>
    <w:rsid w:val="00531452"/>
    <w:rsid w:val="005314E0"/>
    <w:rsid w:val="005338EE"/>
    <w:rsid w:val="0054155E"/>
    <w:rsid w:val="00546358"/>
    <w:rsid w:val="00551212"/>
    <w:rsid w:val="00551BED"/>
    <w:rsid w:val="00561DB2"/>
    <w:rsid w:val="0056664F"/>
    <w:rsid w:val="00586872"/>
    <w:rsid w:val="005A5D98"/>
    <w:rsid w:val="005B2A16"/>
    <w:rsid w:val="005C57E6"/>
    <w:rsid w:val="005D09CA"/>
    <w:rsid w:val="005D3367"/>
    <w:rsid w:val="005E2A91"/>
    <w:rsid w:val="005E5729"/>
    <w:rsid w:val="005F1E1E"/>
    <w:rsid w:val="005F4F29"/>
    <w:rsid w:val="006034A7"/>
    <w:rsid w:val="00607EB9"/>
    <w:rsid w:val="006116AE"/>
    <w:rsid w:val="00632DBC"/>
    <w:rsid w:val="00640BCD"/>
    <w:rsid w:val="006426E1"/>
    <w:rsid w:val="00644956"/>
    <w:rsid w:val="00644FFA"/>
    <w:rsid w:val="00655ACD"/>
    <w:rsid w:val="0067495B"/>
    <w:rsid w:val="006841F5"/>
    <w:rsid w:val="00692FD8"/>
    <w:rsid w:val="006957AF"/>
    <w:rsid w:val="006A064D"/>
    <w:rsid w:val="006A3076"/>
    <w:rsid w:val="006A396C"/>
    <w:rsid w:val="006B1CD9"/>
    <w:rsid w:val="006B2C2C"/>
    <w:rsid w:val="006D0D57"/>
    <w:rsid w:val="006D6AF3"/>
    <w:rsid w:val="006F01B3"/>
    <w:rsid w:val="00712B02"/>
    <w:rsid w:val="007135AA"/>
    <w:rsid w:val="00715025"/>
    <w:rsid w:val="00720843"/>
    <w:rsid w:val="00741892"/>
    <w:rsid w:val="007465AB"/>
    <w:rsid w:val="00773F75"/>
    <w:rsid w:val="007779AE"/>
    <w:rsid w:val="00782D71"/>
    <w:rsid w:val="0078441E"/>
    <w:rsid w:val="00785122"/>
    <w:rsid w:val="00787EEC"/>
    <w:rsid w:val="00792E3F"/>
    <w:rsid w:val="007944A3"/>
    <w:rsid w:val="007A0129"/>
    <w:rsid w:val="007A12F9"/>
    <w:rsid w:val="007A3B83"/>
    <w:rsid w:val="007A62F7"/>
    <w:rsid w:val="007B4CC3"/>
    <w:rsid w:val="007B796D"/>
    <w:rsid w:val="007C3760"/>
    <w:rsid w:val="007D0E34"/>
    <w:rsid w:val="007D1E94"/>
    <w:rsid w:val="007E00E4"/>
    <w:rsid w:val="007E0C67"/>
    <w:rsid w:val="007E500A"/>
    <w:rsid w:val="007F7F01"/>
    <w:rsid w:val="00825AB3"/>
    <w:rsid w:val="0084130E"/>
    <w:rsid w:val="00855F0F"/>
    <w:rsid w:val="008801F6"/>
    <w:rsid w:val="0088221F"/>
    <w:rsid w:val="0089141C"/>
    <w:rsid w:val="008D1997"/>
    <w:rsid w:val="008D6A24"/>
    <w:rsid w:val="008E7C5A"/>
    <w:rsid w:val="008F41C9"/>
    <w:rsid w:val="00901F02"/>
    <w:rsid w:val="00907A6C"/>
    <w:rsid w:val="00910224"/>
    <w:rsid w:val="00920FAF"/>
    <w:rsid w:val="00923E91"/>
    <w:rsid w:val="00940AFC"/>
    <w:rsid w:val="00964561"/>
    <w:rsid w:val="00972A79"/>
    <w:rsid w:val="00973467"/>
    <w:rsid w:val="00974353"/>
    <w:rsid w:val="00974BD4"/>
    <w:rsid w:val="00975960"/>
    <w:rsid w:val="009825C6"/>
    <w:rsid w:val="00987FC4"/>
    <w:rsid w:val="00990E1F"/>
    <w:rsid w:val="009A1BC3"/>
    <w:rsid w:val="009A5732"/>
    <w:rsid w:val="009A67AF"/>
    <w:rsid w:val="009C77BF"/>
    <w:rsid w:val="009F1730"/>
    <w:rsid w:val="009F4275"/>
    <w:rsid w:val="00A01AE6"/>
    <w:rsid w:val="00A1362C"/>
    <w:rsid w:val="00A154A7"/>
    <w:rsid w:val="00A75A7A"/>
    <w:rsid w:val="00A81D89"/>
    <w:rsid w:val="00A860FC"/>
    <w:rsid w:val="00AA38AF"/>
    <w:rsid w:val="00AB1F1E"/>
    <w:rsid w:val="00AB2C56"/>
    <w:rsid w:val="00AB7E6C"/>
    <w:rsid w:val="00AC4D18"/>
    <w:rsid w:val="00AF5C59"/>
    <w:rsid w:val="00B04E44"/>
    <w:rsid w:val="00B10042"/>
    <w:rsid w:val="00B24998"/>
    <w:rsid w:val="00B32406"/>
    <w:rsid w:val="00B577BE"/>
    <w:rsid w:val="00B64E8B"/>
    <w:rsid w:val="00B80BED"/>
    <w:rsid w:val="00B849E0"/>
    <w:rsid w:val="00B86447"/>
    <w:rsid w:val="00B9655A"/>
    <w:rsid w:val="00BA6064"/>
    <w:rsid w:val="00BB2282"/>
    <w:rsid w:val="00BB3A07"/>
    <w:rsid w:val="00BE0B7F"/>
    <w:rsid w:val="00BF0E82"/>
    <w:rsid w:val="00BF11FC"/>
    <w:rsid w:val="00BF2878"/>
    <w:rsid w:val="00BF68A7"/>
    <w:rsid w:val="00C24499"/>
    <w:rsid w:val="00C27ECB"/>
    <w:rsid w:val="00C34126"/>
    <w:rsid w:val="00C36C4C"/>
    <w:rsid w:val="00C40C3F"/>
    <w:rsid w:val="00C41040"/>
    <w:rsid w:val="00C41BAB"/>
    <w:rsid w:val="00C62371"/>
    <w:rsid w:val="00C62C0F"/>
    <w:rsid w:val="00C661E7"/>
    <w:rsid w:val="00C673C9"/>
    <w:rsid w:val="00C81B7C"/>
    <w:rsid w:val="00C82AF0"/>
    <w:rsid w:val="00C86947"/>
    <w:rsid w:val="00C87BA7"/>
    <w:rsid w:val="00C9422F"/>
    <w:rsid w:val="00C9578A"/>
    <w:rsid w:val="00CB35BB"/>
    <w:rsid w:val="00CC24F9"/>
    <w:rsid w:val="00CD66B8"/>
    <w:rsid w:val="00CE73AC"/>
    <w:rsid w:val="00D134D1"/>
    <w:rsid w:val="00D135B1"/>
    <w:rsid w:val="00D37766"/>
    <w:rsid w:val="00D43605"/>
    <w:rsid w:val="00D47CE1"/>
    <w:rsid w:val="00D55E8E"/>
    <w:rsid w:val="00D84687"/>
    <w:rsid w:val="00D9480C"/>
    <w:rsid w:val="00D964E4"/>
    <w:rsid w:val="00DA1412"/>
    <w:rsid w:val="00DB0A93"/>
    <w:rsid w:val="00E2497E"/>
    <w:rsid w:val="00E265BE"/>
    <w:rsid w:val="00E40173"/>
    <w:rsid w:val="00E42D4D"/>
    <w:rsid w:val="00E57D57"/>
    <w:rsid w:val="00E7336E"/>
    <w:rsid w:val="00E73E52"/>
    <w:rsid w:val="00E77D48"/>
    <w:rsid w:val="00E83F20"/>
    <w:rsid w:val="00EA0E7B"/>
    <w:rsid w:val="00EB2A32"/>
    <w:rsid w:val="00EC2D6B"/>
    <w:rsid w:val="00EF57A8"/>
    <w:rsid w:val="00F06545"/>
    <w:rsid w:val="00F12BB4"/>
    <w:rsid w:val="00F60B59"/>
    <w:rsid w:val="00F660FB"/>
    <w:rsid w:val="00F7010F"/>
    <w:rsid w:val="00F745AC"/>
    <w:rsid w:val="00F813A3"/>
    <w:rsid w:val="00F84E3C"/>
    <w:rsid w:val="00F86E72"/>
    <w:rsid w:val="00F931D3"/>
    <w:rsid w:val="00FB0155"/>
    <w:rsid w:val="00FB1A92"/>
    <w:rsid w:val="00FB60F0"/>
    <w:rsid w:val="00FF0680"/>
    <w:rsid w:val="00FF4F1A"/>
    <w:rsid w:val="00FF77ED"/>
    <w:rsid w:val="00FF7F97"/>
    <w:rsid w:val="163D1E85"/>
    <w:rsid w:val="421D04FF"/>
    <w:rsid w:val="58B54C13"/>
    <w:rsid w:val="7F38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C48A22"/>
  <w15:docId w15:val="{F0DA27AD-6496-41EC-8A16-55DBB1E2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1"/>
    <w:qFormat/>
    <w:pPr>
      <w:adjustRightInd/>
      <w:ind w:left="775"/>
      <w:outlineLvl w:val="1"/>
    </w:pPr>
    <w:rPr>
      <w:rFonts w:hAnsi="宋体"/>
      <w:b/>
      <w:bCs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1"/>
    <w:qFormat/>
    <w:pPr>
      <w:ind w:left="32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Title"/>
    <w:basedOn w:val="a"/>
    <w:next w:val="a"/>
    <w:link w:val="ae"/>
    <w:uiPriority w:val="1"/>
    <w:qFormat/>
    <w:pPr>
      <w:ind w:left="1166" w:right="1035"/>
      <w:jc w:val="center"/>
    </w:pPr>
    <w:rPr>
      <w:b/>
      <w:bCs/>
      <w:sz w:val="30"/>
      <w:szCs w:val="30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正文文本 字符"/>
    <w:basedOn w:val="a0"/>
    <w:link w:val="a5"/>
    <w:uiPriority w:val="1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e">
    <w:name w:val="标题 字符"/>
    <w:basedOn w:val="a0"/>
    <w:link w:val="ad"/>
    <w:uiPriority w:val="1"/>
    <w:qFormat/>
    <w:rPr>
      <w:rFonts w:ascii="宋体" w:eastAsia="宋体" w:hAnsi="Times New Roman" w:cs="宋体"/>
      <w:b/>
      <w:bCs/>
      <w:kern w:val="0"/>
      <w:sz w:val="30"/>
      <w:szCs w:val="30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宋体" w:eastAsia="宋体" w:hAnsi="Times New Roman" w:cs="宋体"/>
      <w:kern w:val="0"/>
      <w:sz w:val="22"/>
    </w:rPr>
  </w:style>
  <w:style w:type="character" w:customStyle="1" w:styleId="font71">
    <w:name w:val="font71"/>
    <w:basedOn w:val="a0"/>
    <w:qFormat/>
    <w:rPr>
      <w:rFonts w:ascii="仿宋" w:eastAsia="仿宋" w:hAnsi="仿宋" w:cs="仿宋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b/>
      <w:bCs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20">
    <w:name w:val="标题 2 字符"/>
    <w:basedOn w:val="a0"/>
    <w:link w:val="2"/>
    <w:uiPriority w:val="1"/>
    <w:qFormat/>
    <w:rPr>
      <w:rFonts w:ascii="宋体" w:eastAsia="宋体" w:hAnsi="宋体" w:cs="宋体"/>
      <w:b/>
      <w:bCs/>
      <w:kern w:val="0"/>
      <w:sz w:val="28"/>
      <w:szCs w:val="28"/>
      <w:lang w:val="zh-CN" w:bidi="zh-CN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eastAsia="宋体" w:hAnsi="Times New Roman" w:cs="宋体"/>
      <w:kern w:val="0"/>
      <w:sz w:val="18"/>
      <w:szCs w:val="18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宋体" w:eastAsia="宋体" w:hAnsi="Times New Roman" w:cs="宋体"/>
      <w:b/>
      <w:bCs/>
      <w:kern w:val="0"/>
      <w:sz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rPr>
      <w:rFonts w:ascii="宋体" w:eastAsia="宋体" w:hAnsi="Times New Roman" w:cs="宋体"/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宋体" w:eastAsia="宋体" w:hAnsi="Times New Roman" w:cs="宋体"/>
      <w:kern w:val="0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Times New Roman" w:cs="宋体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2C5E88"/>
    <w:pPr>
      <w:autoSpaceDE/>
      <w:autoSpaceDN/>
      <w:adjustRightInd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f3">
    <w:name w:val="Hyperlink"/>
    <w:basedOn w:val="a0"/>
    <w:uiPriority w:val="99"/>
    <w:unhideWhenUsed/>
    <w:rsid w:val="0052637F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26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8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李凌云</dc:creator>
  <cp:keywords/>
  <dc:description/>
  <cp:lastModifiedBy>罗 国彦</cp:lastModifiedBy>
  <cp:revision>7</cp:revision>
  <dcterms:created xsi:type="dcterms:W3CDTF">2023-09-21T07:40:00Z</dcterms:created>
  <dcterms:modified xsi:type="dcterms:W3CDTF">2024-04-29T05:49:00Z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A87F0390A1BD41BDA81BB18C385D33C9</vt:lpwstr>
  </property>
</Properties>
</file>