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27284" w14:textId="6FFE9263" w:rsidR="00300FEB" w:rsidRPr="006F7A87" w:rsidRDefault="00300FEB" w:rsidP="00950355">
      <w:pPr>
        <w:pStyle w:val="a7"/>
        <w:spacing w:before="41"/>
        <w:ind w:left="0"/>
        <w:jc w:val="both"/>
        <w:rPr>
          <w:rFonts w:asciiTheme="minorEastAsia" w:eastAsiaTheme="minorEastAsia" w:hAnsiTheme="minorEastAsia"/>
          <w:sz w:val="24"/>
          <w:szCs w:val="24"/>
        </w:rPr>
      </w:pPr>
      <w:bookmarkStart w:id="0" w:name="_Hlk114058811"/>
      <w:r w:rsidRPr="008E2A47">
        <w:rPr>
          <w:rFonts w:hint="eastAsia"/>
          <w:sz w:val="24"/>
          <w:szCs w:val="24"/>
        </w:rPr>
        <w:t>证券代码：</w:t>
      </w:r>
      <w:r w:rsidRPr="008E2A47">
        <w:rPr>
          <w:sz w:val="24"/>
          <w:szCs w:val="24"/>
        </w:rPr>
        <w:t xml:space="preserve">600821  </w:t>
      </w:r>
      <w:r w:rsidRPr="008E2A47">
        <w:rPr>
          <w:sz w:val="24"/>
        </w:rPr>
        <w:t xml:space="preserve"> </w:t>
      </w:r>
      <w:r w:rsidRPr="008E2A47">
        <w:rPr>
          <w:sz w:val="24"/>
          <w:szCs w:val="24"/>
        </w:rPr>
        <w:t xml:space="preserve"> </w:t>
      </w:r>
      <w:r w:rsidRPr="008E2A47">
        <w:rPr>
          <w:sz w:val="24"/>
        </w:rPr>
        <w:t xml:space="preserve">    </w:t>
      </w:r>
      <w:r w:rsidR="003E0083">
        <w:rPr>
          <w:sz w:val="24"/>
        </w:rPr>
        <w:t xml:space="preserve">                           </w:t>
      </w:r>
      <w:r w:rsidRPr="008E2A47">
        <w:rPr>
          <w:rFonts w:hint="eastAsia"/>
          <w:sz w:val="24"/>
          <w:szCs w:val="24"/>
        </w:rPr>
        <w:t>证券简称：金开新能</w:t>
      </w:r>
      <w:r w:rsidRPr="008E2A47">
        <w:rPr>
          <w:sz w:val="24"/>
        </w:rPr>
        <w:t xml:space="preserve"> </w:t>
      </w:r>
    </w:p>
    <w:bookmarkEnd w:id="0"/>
    <w:p w14:paraId="15BFFBAF" w14:textId="77777777" w:rsidR="00300FEB" w:rsidRPr="00F22946" w:rsidRDefault="00300FEB" w:rsidP="00300FEB">
      <w:pPr>
        <w:spacing w:before="94" w:line="555" w:lineRule="exact"/>
        <w:jc w:val="center"/>
        <w:rPr>
          <w:b/>
          <w:color w:val="FF0000"/>
          <w:sz w:val="32"/>
          <w:szCs w:val="32"/>
        </w:rPr>
      </w:pPr>
      <w:r w:rsidRPr="00F22946">
        <w:rPr>
          <w:b/>
          <w:color w:val="FF0000"/>
          <w:sz w:val="32"/>
          <w:szCs w:val="32"/>
        </w:rPr>
        <w:t>金开新能源股份有限公司</w:t>
      </w:r>
    </w:p>
    <w:p w14:paraId="58A4BFC4" w14:textId="009C4611" w:rsidR="00300FEB" w:rsidRPr="00F22946" w:rsidRDefault="003E0083" w:rsidP="00F179C9">
      <w:pPr>
        <w:pStyle w:val="a7"/>
        <w:ind w:left="0"/>
        <w:jc w:val="center"/>
        <w:rPr>
          <w:b/>
          <w:sz w:val="24"/>
          <w:szCs w:val="24"/>
        </w:rPr>
      </w:pPr>
      <w:r w:rsidRPr="003E0083">
        <w:rPr>
          <w:b/>
          <w:color w:val="FF0000"/>
          <w:sz w:val="32"/>
          <w:szCs w:val="32"/>
        </w:rPr>
        <w:t>202</w:t>
      </w:r>
      <w:r w:rsidR="00D4659C">
        <w:rPr>
          <w:b/>
          <w:color w:val="FF0000"/>
          <w:sz w:val="32"/>
          <w:szCs w:val="32"/>
        </w:rPr>
        <w:t>4</w:t>
      </w:r>
      <w:r w:rsidRPr="003E0083">
        <w:rPr>
          <w:b/>
          <w:color w:val="FF0000"/>
          <w:sz w:val="32"/>
          <w:szCs w:val="32"/>
        </w:rPr>
        <w:t>年</w:t>
      </w:r>
      <w:r w:rsidR="00CB6F2D">
        <w:rPr>
          <w:rFonts w:hint="eastAsia"/>
          <w:b/>
          <w:color w:val="FF0000"/>
          <w:sz w:val="32"/>
          <w:szCs w:val="32"/>
        </w:rPr>
        <w:t>4</w:t>
      </w:r>
      <w:r w:rsidRPr="003E0083">
        <w:rPr>
          <w:b/>
          <w:color w:val="FF0000"/>
          <w:sz w:val="32"/>
          <w:szCs w:val="32"/>
        </w:rPr>
        <w:t>月投资者关系活动记录表</w:t>
      </w:r>
    </w:p>
    <w:tbl>
      <w:tblPr>
        <w:tblStyle w:val="af2"/>
        <w:tblW w:w="0" w:type="auto"/>
        <w:tblLook w:val="04A0" w:firstRow="1" w:lastRow="0" w:firstColumn="1" w:lastColumn="0" w:noHBand="0" w:noVBand="1"/>
      </w:tblPr>
      <w:tblGrid>
        <w:gridCol w:w="2518"/>
        <w:gridCol w:w="6004"/>
      </w:tblGrid>
      <w:tr w:rsidR="003E0083" w14:paraId="31E047AD" w14:textId="77777777" w:rsidTr="00945B6F">
        <w:tc>
          <w:tcPr>
            <w:tcW w:w="2518" w:type="dxa"/>
          </w:tcPr>
          <w:p w14:paraId="43AEDBA6" w14:textId="02B2AF08" w:rsidR="003E0083" w:rsidRPr="004C1999" w:rsidRDefault="003E0083" w:rsidP="002A225E">
            <w:pPr>
              <w:pStyle w:val="a7"/>
              <w:spacing w:before="14"/>
              <w:ind w:left="0"/>
              <w:contextualSpacing/>
              <w:jc w:val="both"/>
              <w:rPr>
                <w:rFonts w:cs="黑体-WinCharSetFFFF-H"/>
                <w:b/>
                <w:bCs/>
                <w:sz w:val="24"/>
                <w:szCs w:val="24"/>
              </w:rPr>
            </w:pPr>
            <w:r w:rsidRPr="004C1999">
              <w:rPr>
                <w:rFonts w:cs="黑体-WinCharSetFFFF-H" w:hint="eastAsia"/>
                <w:b/>
                <w:bCs/>
                <w:sz w:val="24"/>
                <w:szCs w:val="24"/>
              </w:rPr>
              <w:t>投资者关系活动类别</w:t>
            </w:r>
          </w:p>
        </w:tc>
        <w:tc>
          <w:tcPr>
            <w:tcW w:w="6004" w:type="dxa"/>
          </w:tcPr>
          <w:p w14:paraId="48AB265D" w14:textId="18F6220C" w:rsidR="003E0083" w:rsidRDefault="00D76031" w:rsidP="002A225E">
            <w:pPr>
              <w:pStyle w:val="a7"/>
              <w:spacing w:before="14"/>
              <w:ind w:left="0"/>
              <w:contextualSpacing/>
              <w:jc w:val="both"/>
              <w:rPr>
                <w:rFonts w:cs="黑体-WinCharSetFFFF-H"/>
                <w:sz w:val="24"/>
                <w:szCs w:val="24"/>
              </w:rPr>
            </w:pPr>
            <w:r w:rsidRPr="004C1999">
              <w:rPr>
                <w:rFonts w:cs="黑体-WinCharSetFFFF-H" w:hint="eastAsia"/>
                <w:sz w:val="24"/>
                <w:szCs w:val="24"/>
              </w:rPr>
              <w:t>■</w:t>
            </w:r>
            <w:r w:rsidR="003E0083" w:rsidRPr="003E0083">
              <w:rPr>
                <w:rFonts w:cs="黑体-WinCharSetFFFF-H"/>
                <w:sz w:val="24"/>
                <w:szCs w:val="24"/>
              </w:rPr>
              <w:t xml:space="preserve">特定对象调研 </w:t>
            </w:r>
            <w:r w:rsidR="003E0083">
              <w:rPr>
                <w:rFonts w:cs="黑体-WinCharSetFFFF-H"/>
                <w:sz w:val="24"/>
                <w:szCs w:val="24"/>
              </w:rPr>
              <w:t xml:space="preserve">  </w:t>
            </w:r>
            <w:r w:rsidR="003E0083" w:rsidRPr="003E0083">
              <w:rPr>
                <w:rFonts w:cs="黑体-WinCharSetFFFF-H"/>
                <w:sz w:val="24"/>
                <w:szCs w:val="24"/>
              </w:rPr>
              <w:t>□分析师会议</w:t>
            </w:r>
          </w:p>
          <w:p w14:paraId="123753C7" w14:textId="512B6CF4" w:rsidR="003E0083" w:rsidRDefault="003E0083" w:rsidP="002A225E">
            <w:pPr>
              <w:pStyle w:val="a7"/>
              <w:spacing w:before="14"/>
              <w:ind w:left="0"/>
              <w:contextualSpacing/>
              <w:jc w:val="both"/>
              <w:rPr>
                <w:rFonts w:cs="黑体-WinCharSetFFFF-H"/>
                <w:sz w:val="24"/>
                <w:szCs w:val="24"/>
              </w:rPr>
            </w:pPr>
            <w:r w:rsidRPr="003E0083">
              <w:rPr>
                <w:rFonts w:cs="黑体-WinCharSetFFFF-H"/>
                <w:sz w:val="24"/>
                <w:szCs w:val="24"/>
              </w:rPr>
              <w:t xml:space="preserve">□媒体采访 </w:t>
            </w:r>
            <w:r>
              <w:rPr>
                <w:rFonts w:cs="黑体-WinCharSetFFFF-H"/>
                <w:sz w:val="24"/>
                <w:szCs w:val="24"/>
              </w:rPr>
              <w:t xml:space="preserve">      </w:t>
            </w:r>
            <w:r w:rsidRPr="003E0083">
              <w:rPr>
                <w:rFonts w:cs="黑体-WinCharSetFFFF-H"/>
                <w:sz w:val="24"/>
                <w:szCs w:val="24"/>
              </w:rPr>
              <w:t>□业绩说明会</w:t>
            </w:r>
          </w:p>
          <w:p w14:paraId="3CA5EAC5" w14:textId="77777777" w:rsidR="003E0083" w:rsidRDefault="003E0083" w:rsidP="002A225E">
            <w:pPr>
              <w:pStyle w:val="a7"/>
              <w:spacing w:before="14"/>
              <w:ind w:left="0"/>
              <w:contextualSpacing/>
              <w:jc w:val="both"/>
              <w:rPr>
                <w:rFonts w:cs="黑体-WinCharSetFFFF-H"/>
                <w:sz w:val="24"/>
                <w:szCs w:val="24"/>
              </w:rPr>
            </w:pPr>
            <w:r w:rsidRPr="003E0083">
              <w:rPr>
                <w:rFonts w:cs="黑体-WinCharSetFFFF-H"/>
                <w:sz w:val="24"/>
                <w:szCs w:val="24"/>
              </w:rPr>
              <w:t xml:space="preserve">□新闻发布会 </w:t>
            </w:r>
            <w:r>
              <w:rPr>
                <w:rFonts w:cs="黑体-WinCharSetFFFF-H"/>
                <w:sz w:val="24"/>
                <w:szCs w:val="24"/>
              </w:rPr>
              <w:t xml:space="preserve">    </w:t>
            </w:r>
            <w:r w:rsidRPr="003E0083">
              <w:rPr>
                <w:rFonts w:cs="黑体-WinCharSetFFFF-H"/>
                <w:sz w:val="24"/>
                <w:szCs w:val="24"/>
              </w:rPr>
              <w:t>□路演活动</w:t>
            </w:r>
          </w:p>
          <w:p w14:paraId="262D45EC" w14:textId="075463DC" w:rsidR="003E0083" w:rsidRPr="003E0083" w:rsidRDefault="003E0083" w:rsidP="002A225E">
            <w:pPr>
              <w:pStyle w:val="a7"/>
              <w:spacing w:before="14"/>
              <w:ind w:left="0"/>
              <w:contextualSpacing/>
              <w:jc w:val="both"/>
              <w:rPr>
                <w:rFonts w:cs="黑体-WinCharSetFFFF-H"/>
                <w:sz w:val="24"/>
                <w:szCs w:val="24"/>
              </w:rPr>
            </w:pPr>
            <w:r w:rsidRPr="003E0083">
              <w:rPr>
                <w:rFonts w:cs="黑体-WinCharSetFFFF-H"/>
                <w:sz w:val="24"/>
                <w:szCs w:val="24"/>
              </w:rPr>
              <w:t>□现场参观</w:t>
            </w:r>
            <w:r>
              <w:rPr>
                <w:rFonts w:cs="黑体-WinCharSetFFFF-H" w:hint="eastAsia"/>
                <w:sz w:val="24"/>
                <w:szCs w:val="24"/>
              </w:rPr>
              <w:t xml:space="preserve"> </w:t>
            </w:r>
            <w:r>
              <w:rPr>
                <w:rFonts w:cs="黑体-WinCharSetFFFF-H"/>
                <w:sz w:val="24"/>
                <w:szCs w:val="24"/>
              </w:rPr>
              <w:t xml:space="preserve">      </w:t>
            </w:r>
            <w:r w:rsidR="00CF0E2E" w:rsidRPr="004C1999">
              <w:rPr>
                <w:rFonts w:cs="黑体-WinCharSetFFFF-H" w:hint="eastAsia"/>
                <w:sz w:val="24"/>
                <w:szCs w:val="24"/>
              </w:rPr>
              <w:t>■</w:t>
            </w:r>
            <w:r w:rsidRPr="003E0083">
              <w:rPr>
                <w:rFonts w:cs="黑体-WinCharSetFFFF-H"/>
                <w:sz w:val="24"/>
                <w:szCs w:val="24"/>
              </w:rPr>
              <w:t>其他</w:t>
            </w:r>
            <w:r w:rsidR="004C1999">
              <w:rPr>
                <w:rFonts w:cs="黑体-WinCharSetFFFF-H" w:hint="eastAsia"/>
                <w:sz w:val="24"/>
                <w:szCs w:val="24"/>
              </w:rPr>
              <w:t>（券商策略会）</w:t>
            </w:r>
          </w:p>
        </w:tc>
      </w:tr>
      <w:tr w:rsidR="00945B6F" w14:paraId="4D1941FD" w14:textId="77777777" w:rsidTr="00945B6F">
        <w:tc>
          <w:tcPr>
            <w:tcW w:w="2518" w:type="dxa"/>
          </w:tcPr>
          <w:p w14:paraId="46FDFBF2" w14:textId="74DD5C24" w:rsidR="00945B6F" w:rsidRPr="004C1999" w:rsidRDefault="00945B6F" w:rsidP="002A225E">
            <w:pPr>
              <w:pStyle w:val="a7"/>
              <w:spacing w:before="14"/>
              <w:ind w:left="0"/>
              <w:contextualSpacing/>
              <w:jc w:val="both"/>
              <w:rPr>
                <w:rFonts w:cs="黑体-WinCharSetFFFF-H"/>
                <w:b/>
                <w:bCs/>
                <w:sz w:val="24"/>
                <w:szCs w:val="24"/>
              </w:rPr>
            </w:pPr>
            <w:r w:rsidRPr="00945B6F">
              <w:rPr>
                <w:rFonts w:cs="黑体-WinCharSetFFFF-H" w:hint="eastAsia"/>
                <w:b/>
                <w:bCs/>
                <w:sz w:val="24"/>
                <w:szCs w:val="24"/>
              </w:rPr>
              <w:t>参与单位名称</w:t>
            </w:r>
          </w:p>
        </w:tc>
        <w:tc>
          <w:tcPr>
            <w:tcW w:w="6004" w:type="dxa"/>
          </w:tcPr>
          <w:p w14:paraId="18B75A8B" w14:textId="03D310E0" w:rsidR="00945B6F" w:rsidRPr="004C1999" w:rsidRDefault="008126FE" w:rsidP="002A225E">
            <w:pPr>
              <w:pStyle w:val="a7"/>
              <w:spacing w:before="14"/>
              <w:ind w:left="0"/>
              <w:contextualSpacing/>
              <w:jc w:val="both"/>
              <w:rPr>
                <w:rFonts w:cs="黑体-WinCharSetFFFF-H"/>
                <w:sz w:val="24"/>
                <w:szCs w:val="24"/>
              </w:rPr>
            </w:pPr>
            <w:proofErr w:type="gramStart"/>
            <w:r w:rsidRPr="00055D49">
              <w:rPr>
                <w:rFonts w:cs="黑体-WinCharSetFFFF-H" w:hint="eastAsia"/>
                <w:sz w:val="24"/>
                <w:szCs w:val="24"/>
              </w:rPr>
              <w:t>工银瑞信</w:t>
            </w:r>
            <w:proofErr w:type="gramEnd"/>
            <w:r>
              <w:rPr>
                <w:rFonts w:cs="黑体-WinCharSetFFFF-H" w:hint="eastAsia"/>
                <w:sz w:val="24"/>
                <w:szCs w:val="24"/>
              </w:rPr>
              <w:t>、</w:t>
            </w:r>
            <w:r w:rsidR="00055D49" w:rsidRPr="00055D49">
              <w:rPr>
                <w:rFonts w:cs="黑体-WinCharSetFFFF-H" w:hint="eastAsia"/>
                <w:sz w:val="24"/>
                <w:szCs w:val="24"/>
              </w:rPr>
              <w:t>银华基金</w:t>
            </w:r>
            <w:r w:rsidR="00055D49">
              <w:rPr>
                <w:rFonts w:cs="黑体-WinCharSetFFFF-H" w:hint="eastAsia"/>
                <w:sz w:val="24"/>
                <w:szCs w:val="24"/>
              </w:rPr>
              <w:t>、</w:t>
            </w:r>
            <w:r w:rsidR="00055D49" w:rsidRPr="00055D49">
              <w:rPr>
                <w:rFonts w:cs="黑体-WinCharSetFFFF-H" w:hint="eastAsia"/>
                <w:sz w:val="24"/>
                <w:szCs w:val="24"/>
              </w:rPr>
              <w:t>东兴基金</w:t>
            </w:r>
            <w:r w:rsidR="00055D49">
              <w:rPr>
                <w:rFonts w:cs="黑体-WinCharSetFFFF-H" w:hint="eastAsia"/>
                <w:sz w:val="24"/>
                <w:szCs w:val="24"/>
              </w:rPr>
              <w:t>、</w:t>
            </w:r>
            <w:r w:rsidR="00055D49" w:rsidRPr="00055D49">
              <w:rPr>
                <w:rFonts w:cs="黑体-WinCharSetFFFF-H" w:hint="eastAsia"/>
                <w:sz w:val="24"/>
                <w:szCs w:val="24"/>
              </w:rPr>
              <w:t>朱雀基金</w:t>
            </w:r>
            <w:r w:rsidR="00055D49">
              <w:rPr>
                <w:rFonts w:cs="黑体-WinCharSetFFFF-H" w:hint="eastAsia"/>
                <w:sz w:val="24"/>
                <w:szCs w:val="24"/>
              </w:rPr>
              <w:t>、</w:t>
            </w:r>
            <w:r w:rsidR="00055D49" w:rsidRPr="00055D49">
              <w:rPr>
                <w:rFonts w:cs="黑体-WinCharSetFFFF-H" w:hint="eastAsia"/>
                <w:sz w:val="24"/>
                <w:szCs w:val="24"/>
              </w:rPr>
              <w:t>幸福人寿</w:t>
            </w:r>
            <w:r w:rsidR="00055D49">
              <w:rPr>
                <w:rFonts w:cs="黑体-WinCharSetFFFF-H" w:hint="eastAsia"/>
                <w:sz w:val="24"/>
                <w:szCs w:val="24"/>
              </w:rPr>
              <w:t>、</w:t>
            </w:r>
            <w:r w:rsidR="00055D49" w:rsidRPr="00055D49">
              <w:rPr>
                <w:rFonts w:cs="黑体-WinCharSetFFFF-H" w:hint="eastAsia"/>
                <w:sz w:val="24"/>
                <w:szCs w:val="24"/>
              </w:rPr>
              <w:t>长城财富保险资管</w:t>
            </w:r>
            <w:r w:rsidR="00055D49">
              <w:rPr>
                <w:rFonts w:cs="黑体-WinCharSetFFFF-H" w:hint="eastAsia"/>
                <w:sz w:val="24"/>
                <w:szCs w:val="24"/>
              </w:rPr>
              <w:t>、</w:t>
            </w:r>
            <w:r w:rsidR="00055D49" w:rsidRPr="00055D49">
              <w:rPr>
                <w:rFonts w:cs="黑体-WinCharSetFFFF-H" w:hint="eastAsia"/>
                <w:sz w:val="24"/>
                <w:szCs w:val="24"/>
              </w:rPr>
              <w:t>明达资产</w:t>
            </w:r>
            <w:r w:rsidR="00055D49">
              <w:rPr>
                <w:rFonts w:cs="黑体-WinCharSetFFFF-H" w:hint="eastAsia"/>
                <w:sz w:val="24"/>
                <w:szCs w:val="24"/>
              </w:rPr>
              <w:t>、</w:t>
            </w:r>
            <w:r w:rsidR="00055D49" w:rsidRPr="00055D49">
              <w:rPr>
                <w:rFonts w:cs="黑体-WinCharSetFFFF-H" w:hint="eastAsia"/>
                <w:sz w:val="24"/>
                <w:szCs w:val="24"/>
              </w:rPr>
              <w:t>国寿安保</w:t>
            </w:r>
            <w:r w:rsidR="00055D49">
              <w:rPr>
                <w:rFonts w:cs="黑体-WinCharSetFFFF-H" w:hint="eastAsia"/>
                <w:sz w:val="24"/>
                <w:szCs w:val="24"/>
              </w:rPr>
              <w:t>、</w:t>
            </w:r>
            <w:r w:rsidR="00055D49" w:rsidRPr="00055D49">
              <w:rPr>
                <w:rFonts w:cs="黑体-WinCharSetFFFF-H" w:hint="eastAsia"/>
                <w:sz w:val="24"/>
                <w:szCs w:val="24"/>
              </w:rPr>
              <w:t>华源证券</w:t>
            </w:r>
            <w:r>
              <w:rPr>
                <w:rFonts w:cs="黑体-WinCharSetFFFF-H" w:hint="eastAsia"/>
                <w:sz w:val="24"/>
                <w:szCs w:val="24"/>
              </w:rPr>
              <w:t>、</w:t>
            </w:r>
            <w:r w:rsidRPr="00055D49">
              <w:rPr>
                <w:rFonts w:cs="黑体-WinCharSetFFFF-H" w:hint="eastAsia"/>
                <w:sz w:val="24"/>
                <w:szCs w:val="24"/>
              </w:rPr>
              <w:t>津投资本</w:t>
            </w:r>
            <w:r>
              <w:rPr>
                <w:rFonts w:cs="黑体-WinCharSetFFFF-H" w:hint="eastAsia"/>
                <w:sz w:val="24"/>
                <w:szCs w:val="24"/>
              </w:rPr>
              <w:t>等</w:t>
            </w:r>
          </w:p>
        </w:tc>
      </w:tr>
      <w:tr w:rsidR="00945B6F" w14:paraId="23FC778F" w14:textId="77777777" w:rsidTr="00945B6F">
        <w:tc>
          <w:tcPr>
            <w:tcW w:w="2518" w:type="dxa"/>
          </w:tcPr>
          <w:p w14:paraId="5F6EE1CE" w14:textId="27837AEC" w:rsidR="00945B6F" w:rsidRPr="00945B6F" w:rsidRDefault="00945B6F" w:rsidP="002A225E">
            <w:pPr>
              <w:pStyle w:val="a7"/>
              <w:spacing w:before="14"/>
              <w:ind w:left="0"/>
              <w:contextualSpacing/>
              <w:jc w:val="both"/>
              <w:rPr>
                <w:rFonts w:cs="黑体-WinCharSetFFFF-H"/>
                <w:b/>
                <w:bCs/>
                <w:sz w:val="24"/>
                <w:szCs w:val="24"/>
              </w:rPr>
            </w:pPr>
            <w:r>
              <w:rPr>
                <w:rFonts w:cs="黑体-WinCharSetFFFF-H" w:hint="eastAsia"/>
                <w:b/>
                <w:bCs/>
                <w:sz w:val="24"/>
                <w:szCs w:val="24"/>
              </w:rPr>
              <w:t>时间</w:t>
            </w:r>
          </w:p>
        </w:tc>
        <w:tc>
          <w:tcPr>
            <w:tcW w:w="6004" w:type="dxa"/>
          </w:tcPr>
          <w:p w14:paraId="3BD98CD4" w14:textId="48A9C2FC" w:rsidR="00945B6F" w:rsidRPr="00945B6F" w:rsidRDefault="00945B6F" w:rsidP="002A225E">
            <w:pPr>
              <w:pStyle w:val="a7"/>
              <w:spacing w:before="14"/>
              <w:ind w:left="0"/>
              <w:contextualSpacing/>
              <w:jc w:val="both"/>
              <w:rPr>
                <w:rFonts w:cs="黑体-WinCharSetFFFF-H"/>
                <w:sz w:val="24"/>
                <w:szCs w:val="24"/>
              </w:rPr>
            </w:pPr>
            <w:r>
              <w:rPr>
                <w:rFonts w:cs="黑体-WinCharSetFFFF-H" w:hint="eastAsia"/>
                <w:sz w:val="24"/>
                <w:szCs w:val="24"/>
              </w:rPr>
              <w:t>2</w:t>
            </w:r>
            <w:r>
              <w:rPr>
                <w:rFonts w:cs="黑体-WinCharSetFFFF-H"/>
                <w:sz w:val="24"/>
                <w:szCs w:val="24"/>
              </w:rPr>
              <w:t>02</w:t>
            </w:r>
            <w:r w:rsidR="00D4659C">
              <w:rPr>
                <w:rFonts w:cs="黑体-WinCharSetFFFF-H"/>
                <w:sz w:val="24"/>
                <w:szCs w:val="24"/>
              </w:rPr>
              <w:t>4</w:t>
            </w:r>
            <w:r>
              <w:rPr>
                <w:rFonts w:cs="黑体-WinCharSetFFFF-H" w:hint="eastAsia"/>
                <w:sz w:val="24"/>
                <w:szCs w:val="24"/>
              </w:rPr>
              <w:t>年</w:t>
            </w:r>
            <w:r w:rsidR="00CB6F2D">
              <w:rPr>
                <w:rFonts w:cs="黑体-WinCharSetFFFF-H" w:hint="eastAsia"/>
                <w:sz w:val="24"/>
                <w:szCs w:val="24"/>
              </w:rPr>
              <w:t>4</w:t>
            </w:r>
            <w:r>
              <w:rPr>
                <w:rFonts w:cs="黑体-WinCharSetFFFF-H" w:hint="eastAsia"/>
                <w:sz w:val="24"/>
                <w:szCs w:val="24"/>
              </w:rPr>
              <w:t>月</w:t>
            </w:r>
          </w:p>
        </w:tc>
      </w:tr>
      <w:tr w:rsidR="00945B6F" w14:paraId="3B0D4927" w14:textId="77777777" w:rsidTr="00945B6F">
        <w:tc>
          <w:tcPr>
            <w:tcW w:w="2518" w:type="dxa"/>
          </w:tcPr>
          <w:p w14:paraId="45A65C21" w14:textId="07BC331D" w:rsidR="00945B6F" w:rsidRDefault="00945B6F" w:rsidP="002A225E">
            <w:pPr>
              <w:pStyle w:val="a7"/>
              <w:spacing w:before="14"/>
              <w:ind w:left="0"/>
              <w:contextualSpacing/>
              <w:jc w:val="both"/>
              <w:rPr>
                <w:rFonts w:cs="黑体-WinCharSetFFFF-H"/>
                <w:b/>
                <w:bCs/>
                <w:sz w:val="24"/>
                <w:szCs w:val="24"/>
              </w:rPr>
            </w:pPr>
            <w:r>
              <w:rPr>
                <w:rFonts w:cs="黑体-WinCharSetFFFF-H" w:hint="eastAsia"/>
                <w:b/>
                <w:bCs/>
                <w:sz w:val="24"/>
                <w:szCs w:val="24"/>
              </w:rPr>
              <w:t>地点</w:t>
            </w:r>
          </w:p>
        </w:tc>
        <w:tc>
          <w:tcPr>
            <w:tcW w:w="6004" w:type="dxa"/>
          </w:tcPr>
          <w:p w14:paraId="1A293CC6" w14:textId="46082B56" w:rsidR="00945B6F" w:rsidRDefault="00945B6F" w:rsidP="002A225E">
            <w:pPr>
              <w:pStyle w:val="a7"/>
              <w:spacing w:before="14"/>
              <w:ind w:left="0"/>
              <w:contextualSpacing/>
              <w:jc w:val="both"/>
              <w:rPr>
                <w:rFonts w:cs="黑体-WinCharSetFFFF-H"/>
                <w:sz w:val="24"/>
                <w:szCs w:val="24"/>
              </w:rPr>
            </w:pPr>
            <w:r>
              <w:rPr>
                <w:rFonts w:cs="黑体-WinCharSetFFFF-H" w:hint="eastAsia"/>
                <w:sz w:val="24"/>
                <w:szCs w:val="24"/>
              </w:rPr>
              <w:t>北京</w:t>
            </w:r>
          </w:p>
        </w:tc>
      </w:tr>
      <w:tr w:rsidR="003E0083" w14:paraId="71545F2D" w14:textId="77777777" w:rsidTr="00E24574">
        <w:trPr>
          <w:trHeight w:val="371"/>
        </w:trPr>
        <w:tc>
          <w:tcPr>
            <w:tcW w:w="2518" w:type="dxa"/>
          </w:tcPr>
          <w:p w14:paraId="0E1AA2C9" w14:textId="0B815E8E" w:rsidR="003E0083" w:rsidRPr="00E24574" w:rsidRDefault="003E0083" w:rsidP="002A225E">
            <w:pPr>
              <w:pStyle w:val="a7"/>
              <w:spacing w:before="14"/>
              <w:ind w:left="0"/>
              <w:contextualSpacing/>
              <w:jc w:val="both"/>
              <w:rPr>
                <w:rFonts w:cs="黑体-WinCharSetFFFF-H"/>
                <w:b/>
                <w:bCs/>
                <w:sz w:val="24"/>
                <w:szCs w:val="24"/>
              </w:rPr>
            </w:pPr>
            <w:r w:rsidRPr="00E24574">
              <w:rPr>
                <w:rFonts w:cs="黑体-WinCharSetFFFF-H" w:hint="eastAsia"/>
                <w:b/>
                <w:bCs/>
                <w:sz w:val="24"/>
                <w:szCs w:val="24"/>
              </w:rPr>
              <w:t>公司接待人员</w:t>
            </w:r>
          </w:p>
        </w:tc>
        <w:tc>
          <w:tcPr>
            <w:tcW w:w="6004" w:type="dxa"/>
          </w:tcPr>
          <w:p w14:paraId="2EE3B99C" w14:textId="2BC682A9" w:rsidR="003E0083" w:rsidRPr="003E0083" w:rsidRDefault="00CB6F2D" w:rsidP="002A225E">
            <w:pPr>
              <w:pStyle w:val="a7"/>
              <w:spacing w:before="14"/>
              <w:ind w:left="0"/>
              <w:contextualSpacing/>
              <w:jc w:val="both"/>
              <w:rPr>
                <w:rFonts w:cs="黑体-WinCharSetFFFF-H"/>
                <w:sz w:val="24"/>
                <w:szCs w:val="24"/>
              </w:rPr>
            </w:pPr>
            <w:r>
              <w:rPr>
                <w:rFonts w:cs="黑体-WinCharSetFFFF-H" w:hint="eastAsia"/>
                <w:sz w:val="24"/>
                <w:szCs w:val="24"/>
              </w:rPr>
              <w:t>证券事务代表张宇光</w:t>
            </w:r>
            <w:r w:rsidR="00A33E64">
              <w:rPr>
                <w:rFonts w:cs="黑体-WinCharSetFFFF-H" w:hint="eastAsia"/>
                <w:sz w:val="24"/>
                <w:szCs w:val="24"/>
              </w:rPr>
              <w:t>等</w:t>
            </w:r>
          </w:p>
        </w:tc>
      </w:tr>
      <w:tr w:rsidR="003E0083" w14:paraId="33707EF7" w14:textId="77777777" w:rsidTr="003E0083">
        <w:trPr>
          <w:trHeight w:val="361"/>
        </w:trPr>
        <w:tc>
          <w:tcPr>
            <w:tcW w:w="8522" w:type="dxa"/>
            <w:gridSpan w:val="2"/>
          </w:tcPr>
          <w:p w14:paraId="33EA028C" w14:textId="7D1533DE" w:rsidR="003E0083" w:rsidRPr="004C1999" w:rsidRDefault="003E0083" w:rsidP="004C1999">
            <w:pPr>
              <w:pStyle w:val="a7"/>
              <w:spacing w:before="14"/>
              <w:ind w:left="0"/>
              <w:contextualSpacing/>
              <w:jc w:val="center"/>
              <w:rPr>
                <w:rFonts w:cs="黑体-WinCharSetFFFF-H"/>
                <w:b/>
                <w:bCs/>
                <w:sz w:val="24"/>
                <w:szCs w:val="24"/>
              </w:rPr>
            </w:pPr>
            <w:r w:rsidRPr="004C1999">
              <w:rPr>
                <w:rFonts w:cs="黑体-WinCharSetFFFF-H" w:hint="eastAsia"/>
                <w:b/>
                <w:bCs/>
                <w:sz w:val="24"/>
                <w:szCs w:val="24"/>
              </w:rPr>
              <w:t>投资者关系活动主要内容</w:t>
            </w:r>
          </w:p>
        </w:tc>
      </w:tr>
      <w:tr w:rsidR="003E0083" w14:paraId="0570E3AE" w14:textId="77777777" w:rsidTr="003E0083">
        <w:trPr>
          <w:trHeight w:val="361"/>
        </w:trPr>
        <w:tc>
          <w:tcPr>
            <w:tcW w:w="8522" w:type="dxa"/>
            <w:gridSpan w:val="2"/>
          </w:tcPr>
          <w:p w14:paraId="3F53CCF9" w14:textId="76679B30" w:rsidR="00321A95" w:rsidRPr="00260E59" w:rsidRDefault="00321A95" w:rsidP="00321A95">
            <w:pPr>
              <w:pStyle w:val="a7"/>
              <w:spacing w:before="14"/>
              <w:ind w:left="0"/>
              <w:contextualSpacing/>
              <w:jc w:val="both"/>
              <w:rPr>
                <w:rFonts w:cs="黑体-WinCharSetFFFF-H"/>
                <w:sz w:val="24"/>
                <w:szCs w:val="24"/>
                <w:lang w:val="en-US"/>
              </w:rPr>
            </w:pPr>
            <w:r w:rsidRPr="00260E59">
              <w:rPr>
                <w:rFonts w:cs="黑体-WinCharSetFFFF-H" w:hint="eastAsia"/>
                <w:b/>
                <w:bCs/>
                <w:sz w:val="24"/>
                <w:szCs w:val="24"/>
              </w:rPr>
              <w:t>问题</w:t>
            </w:r>
            <w:proofErr w:type="gramStart"/>
            <w:r w:rsidR="006800DF" w:rsidRPr="00260E59">
              <w:rPr>
                <w:rFonts w:cs="黑体-WinCharSetFFFF-H" w:hint="eastAsia"/>
                <w:b/>
                <w:bCs/>
                <w:sz w:val="24"/>
                <w:szCs w:val="24"/>
              </w:rPr>
              <w:t>一</w:t>
            </w:r>
            <w:proofErr w:type="gramEnd"/>
            <w:r w:rsidRPr="00260E59">
              <w:rPr>
                <w:rFonts w:cs="黑体-WinCharSetFFFF-H" w:hint="eastAsia"/>
                <w:b/>
                <w:bCs/>
                <w:sz w:val="24"/>
                <w:szCs w:val="24"/>
              </w:rPr>
              <w:t>：</w:t>
            </w:r>
            <w:r w:rsidR="00011E19" w:rsidRPr="00011E19">
              <w:rPr>
                <w:rFonts w:cs="黑体-WinCharSetFFFF-H" w:hint="eastAsia"/>
                <w:b/>
                <w:bCs/>
                <w:sz w:val="24"/>
                <w:szCs w:val="24"/>
              </w:rPr>
              <w:t>请问公司</w:t>
            </w:r>
            <w:r w:rsidR="00011E19">
              <w:rPr>
                <w:rFonts w:cs="黑体-WinCharSetFFFF-H" w:hint="eastAsia"/>
                <w:b/>
                <w:bCs/>
                <w:sz w:val="24"/>
                <w:szCs w:val="24"/>
              </w:rPr>
              <w:t>的装机开展情况？</w:t>
            </w:r>
          </w:p>
          <w:p w14:paraId="000F653B" w14:textId="658F4510" w:rsidR="00011E19" w:rsidRPr="0003198A" w:rsidRDefault="00321A95" w:rsidP="0003198A">
            <w:pPr>
              <w:pStyle w:val="a7"/>
              <w:spacing w:before="14"/>
              <w:ind w:left="0" w:firstLineChars="200" w:firstLine="482"/>
              <w:contextualSpacing/>
              <w:jc w:val="both"/>
              <w:rPr>
                <w:rFonts w:cs="黑体-WinCharSetFFFF-H"/>
                <w:sz w:val="24"/>
                <w:szCs w:val="24"/>
              </w:rPr>
            </w:pPr>
            <w:r w:rsidRPr="00260E59">
              <w:rPr>
                <w:rFonts w:cs="黑体-WinCharSetFFFF-H" w:hint="eastAsia"/>
                <w:b/>
                <w:bCs/>
                <w:sz w:val="24"/>
                <w:szCs w:val="24"/>
              </w:rPr>
              <w:t>答：</w:t>
            </w:r>
            <w:r w:rsidR="007233B3" w:rsidRPr="0003198A">
              <w:rPr>
                <w:rFonts w:cs="黑体-WinCharSetFFFF-H" w:hint="eastAsia"/>
                <w:sz w:val="24"/>
                <w:szCs w:val="24"/>
              </w:rPr>
              <w:t>公司秉承高质量发展理念，围绕“三步走”战略规划，积极响应电力市场变化</w:t>
            </w:r>
            <w:r w:rsidR="007233B3">
              <w:rPr>
                <w:rFonts w:cs="黑体-WinCharSetFFFF-H" w:hint="eastAsia"/>
                <w:sz w:val="24"/>
                <w:szCs w:val="24"/>
              </w:rPr>
              <w:t>，</w:t>
            </w:r>
            <w:r w:rsidR="007233B3" w:rsidRPr="0003198A">
              <w:rPr>
                <w:rFonts w:cs="黑体-WinCharSetFFFF-H" w:hint="eastAsia"/>
                <w:sz w:val="24"/>
                <w:szCs w:val="24"/>
              </w:rPr>
              <w:t>持续投资优质且多元化的光伏、风</w:t>
            </w:r>
            <w:proofErr w:type="gramStart"/>
            <w:r w:rsidR="007233B3" w:rsidRPr="0003198A">
              <w:rPr>
                <w:rFonts w:cs="黑体-WinCharSetFFFF-H" w:hint="eastAsia"/>
                <w:sz w:val="24"/>
                <w:szCs w:val="24"/>
              </w:rPr>
              <w:t>电资产</w:t>
            </w:r>
            <w:proofErr w:type="gramEnd"/>
            <w:r w:rsidR="007233B3" w:rsidRPr="0003198A">
              <w:rPr>
                <w:rFonts w:cs="黑体-WinCharSetFFFF-H" w:hint="eastAsia"/>
                <w:sz w:val="24"/>
                <w:szCs w:val="24"/>
              </w:rPr>
              <w:t>组合，重点在消</w:t>
            </w:r>
            <w:proofErr w:type="gramStart"/>
            <w:r w:rsidR="007233B3" w:rsidRPr="0003198A">
              <w:rPr>
                <w:rFonts w:cs="黑体-WinCharSetFFFF-H" w:hint="eastAsia"/>
                <w:sz w:val="24"/>
                <w:szCs w:val="24"/>
              </w:rPr>
              <w:t>纳情况</w:t>
            </w:r>
            <w:proofErr w:type="gramEnd"/>
            <w:r w:rsidR="007233B3" w:rsidRPr="0003198A">
              <w:rPr>
                <w:rFonts w:cs="黑体-WinCharSetFFFF-H" w:hint="eastAsia"/>
                <w:sz w:val="24"/>
                <w:szCs w:val="24"/>
              </w:rPr>
              <w:t>良好且具备电价优势的津冀、长江经济带及珠三角等中东南地区开展业务布局</w:t>
            </w:r>
            <w:r w:rsidR="007233B3">
              <w:rPr>
                <w:rFonts w:cs="黑体-WinCharSetFFFF-H" w:hint="eastAsia"/>
                <w:sz w:val="24"/>
                <w:szCs w:val="24"/>
              </w:rPr>
              <w:t>。</w:t>
            </w:r>
            <w:r w:rsidR="0003198A" w:rsidRPr="0003198A">
              <w:rPr>
                <w:rFonts w:cs="黑体-WinCharSetFFFF-H" w:hint="eastAsia"/>
                <w:sz w:val="24"/>
                <w:szCs w:val="24"/>
              </w:rPr>
              <w:t>截至</w:t>
            </w:r>
            <w:r w:rsidR="0003198A" w:rsidRPr="0003198A">
              <w:rPr>
                <w:rFonts w:cs="黑体-WinCharSetFFFF-H"/>
                <w:sz w:val="24"/>
                <w:szCs w:val="24"/>
              </w:rPr>
              <w:t xml:space="preserve"> 2023 年末，公司核准装机容量6,448兆瓦，并网容量4,480兆瓦，分别同比增长16%、19%。其中，光伏发电项目并网容量3,097兆瓦，风</w:t>
            </w:r>
            <w:proofErr w:type="gramStart"/>
            <w:r w:rsidR="0003198A" w:rsidRPr="0003198A">
              <w:rPr>
                <w:rFonts w:cs="黑体-WinCharSetFFFF-H"/>
                <w:sz w:val="24"/>
                <w:szCs w:val="24"/>
              </w:rPr>
              <w:t>电项目</w:t>
            </w:r>
            <w:proofErr w:type="gramEnd"/>
            <w:r w:rsidR="0003198A" w:rsidRPr="0003198A">
              <w:rPr>
                <w:rFonts w:cs="黑体-WinCharSetFFFF-H"/>
                <w:sz w:val="24"/>
                <w:szCs w:val="24"/>
              </w:rPr>
              <w:t>并网容量1,257兆瓦，储能及生物质发</w:t>
            </w:r>
            <w:r w:rsidR="0003198A" w:rsidRPr="0003198A">
              <w:rPr>
                <w:rFonts w:cs="黑体-WinCharSetFFFF-H" w:hint="eastAsia"/>
                <w:sz w:val="24"/>
                <w:szCs w:val="24"/>
              </w:rPr>
              <w:t>电项目并网容量</w:t>
            </w:r>
            <w:r w:rsidR="0003198A" w:rsidRPr="0003198A">
              <w:rPr>
                <w:rFonts w:cs="黑体-WinCharSetFFFF-H"/>
                <w:sz w:val="24"/>
                <w:szCs w:val="24"/>
              </w:rPr>
              <w:t>127兆瓦</w:t>
            </w:r>
            <w:r w:rsidR="007233B3">
              <w:rPr>
                <w:rFonts w:cs="黑体-WinCharSetFFFF-H" w:hint="eastAsia"/>
                <w:sz w:val="24"/>
                <w:szCs w:val="24"/>
              </w:rPr>
              <w:t>。</w:t>
            </w:r>
            <w:r w:rsidR="0003198A" w:rsidRPr="0003198A">
              <w:rPr>
                <w:rFonts w:cs="黑体-WinCharSetFFFF-H" w:hint="eastAsia"/>
                <w:sz w:val="24"/>
                <w:szCs w:val="24"/>
              </w:rPr>
              <w:t>公司</w:t>
            </w:r>
            <w:r w:rsidR="007233B3">
              <w:rPr>
                <w:rFonts w:cs="黑体-WinCharSetFFFF-H" w:hint="eastAsia"/>
                <w:sz w:val="24"/>
                <w:szCs w:val="24"/>
              </w:rPr>
              <w:t>披露的</w:t>
            </w:r>
            <w:r w:rsidR="0003198A" w:rsidRPr="0003198A">
              <w:rPr>
                <w:rFonts w:cs="黑体-WinCharSetFFFF-H" w:hint="eastAsia"/>
                <w:sz w:val="24"/>
                <w:szCs w:val="24"/>
              </w:rPr>
              <w:t>“三步走”战略安排</w:t>
            </w:r>
            <w:r w:rsidR="007233B3">
              <w:rPr>
                <w:rFonts w:cs="黑体-WinCharSetFFFF-H" w:hint="eastAsia"/>
                <w:sz w:val="24"/>
                <w:szCs w:val="24"/>
              </w:rPr>
              <w:t>及相应</w:t>
            </w:r>
            <w:r w:rsidR="0003198A" w:rsidRPr="0003198A">
              <w:rPr>
                <w:rFonts w:cs="黑体-WinCharSetFFFF-H"/>
                <w:sz w:val="24"/>
                <w:szCs w:val="24"/>
              </w:rPr>
              <w:t>规划</w:t>
            </w:r>
            <w:r w:rsidR="007233B3">
              <w:rPr>
                <w:rFonts w:cs="黑体-WinCharSetFFFF-H" w:hint="eastAsia"/>
                <w:sz w:val="24"/>
                <w:szCs w:val="24"/>
              </w:rPr>
              <w:t>，</w:t>
            </w:r>
            <w:r w:rsidR="0003198A" w:rsidRPr="0003198A">
              <w:rPr>
                <w:rFonts w:cs="黑体-WinCharSetFFFF-H"/>
                <w:sz w:val="24"/>
                <w:szCs w:val="24"/>
              </w:rPr>
              <w:t>是基于当前能够掌握的信息与数据对未来所做出的估计或预测，不构成公司对投资者的实质承诺，敬请投资者注意投资风险。</w:t>
            </w:r>
          </w:p>
          <w:p w14:paraId="1A7DE772" w14:textId="7D235514" w:rsidR="00B87B92" w:rsidRPr="00B87B92" w:rsidRDefault="00B87B92" w:rsidP="00B87B92">
            <w:pPr>
              <w:pStyle w:val="a7"/>
              <w:spacing w:before="14"/>
              <w:ind w:left="0"/>
              <w:contextualSpacing/>
              <w:jc w:val="both"/>
              <w:rPr>
                <w:rFonts w:cs="黑体-WinCharSetFFFF-H"/>
                <w:b/>
                <w:bCs/>
                <w:sz w:val="24"/>
                <w:szCs w:val="24"/>
                <w:lang w:val="en-US"/>
              </w:rPr>
            </w:pPr>
            <w:r w:rsidRPr="00B87B92">
              <w:rPr>
                <w:rFonts w:cs="黑体-WinCharSetFFFF-H" w:hint="eastAsia"/>
                <w:b/>
                <w:bCs/>
                <w:sz w:val="24"/>
                <w:szCs w:val="24"/>
              </w:rPr>
              <w:t>问题</w:t>
            </w:r>
            <w:r>
              <w:rPr>
                <w:rFonts w:cs="黑体-WinCharSetFFFF-H" w:hint="eastAsia"/>
                <w:b/>
                <w:bCs/>
                <w:sz w:val="24"/>
                <w:szCs w:val="24"/>
              </w:rPr>
              <w:t>二</w:t>
            </w:r>
            <w:r w:rsidRPr="00B87B92">
              <w:rPr>
                <w:rFonts w:cs="黑体-WinCharSetFFFF-H" w:hint="eastAsia"/>
                <w:b/>
                <w:bCs/>
                <w:sz w:val="24"/>
                <w:szCs w:val="24"/>
              </w:rPr>
              <w:t>：请问公司在现在光伏</w:t>
            </w:r>
            <w:r w:rsidR="00C72105">
              <w:rPr>
                <w:rFonts w:cs="黑体-WinCharSetFFFF-H" w:hint="eastAsia"/>
                <w:b/>
                <w:bCs/>
                <w:sz w:val="24"/>
                <w:szCs w:val="24"/>
              </w:rPr>
              <w:t>组件</w:t>
            </w:r>
            <w:r w:rsidRPr="00B87B92">
              <w:rPr>
                <w:rFonts w:cs="黑体-WinCharSetFFFF-H" w:hint="eastAsia"/>
                <w:b/>
                <w:bCs/>
                <w:sz w:val="24"/>
                <w:szCs w:val="24"/>
              </w:rPr>
              <w:t>造价水平下的</w:t>
            </w:r>
            <w:r w:rsidRPr="00B87B92">
              <w:rPr>
                <w:rFonts w:cs="黑体-WinCharSetFFFF-H"/>
                <w:b/>
                <w:bCs/>
                <w:sz w:val="24"/>
                <w:szCs w:val="24"/>
              </w:rPr>
              <w:t>光伏收益率？</w:t>
            </w:r>
          </w:p>
          <w:p w14:paraId="3434DE2D" w14:textId="58D59201" w:rsidR="00B61D4C" w:rsidRPr="00B61D4C" w:rsidRDefault="00B87B92" w:rsidP="00E6306D">
            <w:pPr>
              <w:pStyle w:val="a7"/>
              <w:spacing w:before="14"/>
              <w:ind w:left="0" w:firstLineChars="200" w:firstLine="482"/>
              <w:contextualSpacing/>
              <w:jc w:val="both"/>
              <w:rPr>
                <w:rFonts w:cs="黑体-WinCharSetFFFF-H"/>
                <w:sz w:val="24"/>
                <w:szCs w:val="24"/>
              </w:rPr>
            </w:pPr>
            <w:r w:rsidRPr="00945B6F">
              <w:rPr>
                <w:rFonts w:cs="黑体-WinCharSetFFFF-H" w:hint="eastAsia"/>
                <w:b/>
                <w:bCs/>
                <w:sz w:val="24"/>
                <w:szCs w:val="24"/>
              </w:rPr>
              <w:t>答：</w:t>
            </w:r>
            <w:r w:rsidR="007233B3">
              <w:rPr>
                <w:rFonts w:cs="黑体-WinCharSetFFFF-H" w:hint="eastAsia"/>
                <w:sz w:val="24"/>
                <w:szCs w:val="24"/>
              </w:rPr>
              <w:t>现阶段</w:t>
            </w:r>
            <w:r w:rsidR="00B61D4C" w:rsidRPr="00B61D4C">
              <w:rPr>
                <w:rFonts w:cs="黑体-WinCharSetFFFF-H" w:hint="eastAsia"/>
                <w:sz w:val="24"/>
                <w:szCs w:val="24"/>
              </w:rPr>
              <w:t>光伏组件</w:t>
            </w:r>
            <w:r w:rsidR="007233B3">
              <w:rPr>
                <w:rFonts w:cs="黑体-WinCharSetFFFF-H" w:hint="eastAsia"/>
                <w:sz w:val="24"/>
                <w:szCs w:val="24"/>
              </w:rPr>
              <w:t>价格处于历史低位</w:t>
            </w:r>
            <w:r w:rsidR="00B61D4C" w:rsidRPr="00B61D4C">
              <w:rPr>
                <w:rFonts w:cs="黑体-WinCharSetFFFF-H" w:hint="eastAsia"/>
                <w:sz w:val="24"/>
                <w:szCs w:val="24"/>
              </w:rPr>
              <w:t>，</w:t>
            </w:r>
            <w:r w:rsidR="007233B3">
              <w:rPr>
                <w:rFonts w:cs="黑体-WinCharSetFFFF-H" w:hint="eastAsia"/>
                <w:sz w:val="24"/>
                <w:szCs w:val="24"/>
              </w:rPr>
              <w:t>有效降低光伏发电项目的总投资成本，有利于提高项目收益水平，利好新能源电力运营商提高企业效益。</w:t>
            </w:r>
            <w:r w:rsidR="00B61D4C" w:rsidRPr="00B61D4C">
              <w:rPr>
                <w:rFonts w:cs="黑体-WinCharSetFFFF-H" w:hint="eastAsia"/>
                <w:sz w:val="24"/>
                <w:szCs w:val="24"/>
              </w:rPr>
              <w:t>公司</w:t>
            </w:r>
            <w:r w:rsidR="007233B3">
              <w:rPr>
                <w:rFonts w:cs="黑体-WinCharSetFFFF-H" w:hint="eastAsia"/>
                <w:sz w:val="24"/>
                <w:szCs w:val="24"/>
              </w:rPr>
              <w:t>将</w:t>
            </w:r>
            <w:r w:rsidR="00B61D4C" w:rsidRPr="00B61D4C">
              <w:rPr>
                <w:rFonts w:cs="黑体-WinCharSetFFFF-H" w:hint="eastAsia"/>
                <w:sz w:val="24"/>
                <w:szCs w:val="24"/>
              </w:rPr>
              <w:t>密切关注市场价格变动，科学</w:t>
            </w:r>
            <w:r w:rsidR="00324F58">
              <w:rPr>
                <w:rFonts w:cs="黑体-WinCharSetFFFF-H" w:hint="eastAsia"/>
                <w:sz w:val="24"/>
                <w:szCs w:val="24"/>
              </w:rPr>
              <w:t>研究判断</w:t>
            </w:r>
            <w:r w:rsidR="00B61D4C" w:rsidRPr="00B61D4C">
              <w:rPr>
                <w:rFonts w:cs="黑体-WinCharSetFFFF-H" w:hint="eastAsia"/>
                <w:sz w:val="24"/>
                <w:szCs w:val="24"/>
              </w:rPr>
              <w:t>价格走势，合理控制工程造价，确保项目投资收益满足公司</w:t>
            </w:r>
            <w:proofErr w:type="gramStart"/>
            <w:r w:rsidR="007233B3">
              <w:rPr>
                <w:rFonts w:cs="黑体-WinCharSetFFFF-H" w:hint="eastAsia"/>
                <w:sz w:val="24"/>
                <w:szCs w:val="24"/>
              </w:rPr>
              <w:t>内部投决</w:t>
            </w:r>
            <w:r w:rsidR="00B61D4C" w:rsidRPr="00B61D4C">
              <w:rPr>
                <w:rFonts w:cs="黑体-WinCharSetFFFF-H" w:hint="eastAsia"/>
                <w:sz w:val="24"/>
                <w:szCs w:val="24"/>
              </w:rPr>
              <w:t>收益率</w:t>
            </w:r>
            <w:proofErr w:type="gramEnd"/>
            <w:r w:rsidR="00B61D4C" w:rsidRPr="00B61D4C">
              <w:rPr>
                <w:rFonts w:cs="黑体-WinCharSetFFFF-H" w:hint="eastAsia"/>
                <w:sz w:val="24"/>
                <w:szCs w:val="24"/>
              </w:rPr>
              <w:t>要求。</w:t>
            </w:r>
          </w:p>
          <w:p w14:paraId="771E1D80" w14:textId="3709EFA5" w:rsidR="00B87B92" w:rsidRPr="00B87B92" w:rsidRDefault="00B87B92" w:rsidP="00B87B92">
            <w:pPr>
              <w:pStyle w:val="a7"/>
              <w:spacing w:before="14"/>
              <w:ind w:left="0"/>
              <w:contextualSpacing/>
              <w:jc w:val="both"/>
              <w:rPr>
                <w:rFonts w:cs="黑体-WinCharSetFFFF-H"/>
                <w:b/>
                <w:bCs/>
                <w:sz w:val="24"/>
                <w:szCs w:val="24"/>
                <w:lang w:val="en-US"/>
              </w:rPr>
            </w:pPr>
            <w:r w:rsidRPr="00B87B92">
              <w:rPr>
                <w:rFonts w:cs="黑体-WinCharSetFFFF-H" w:hint="eastAsia"/>
                <w:b/>
                <w:bCs/>
                <w:sz w:val="24"/>
                <w:szCs w:val="24"/>
              </w:rPr>
              <w:t>问题</w:t>
            </w:r>
            <w:r>
              <w:rPr>
                <w:rFonts w:cs="黑体-WinCharSetFFFF-H" w:hint="eastAsia"/>
                <w:b/>
                <w:bCs/>
                <w:sz w:val="24"/>
                <w:szCs w:val="24"/>
              </w:rPr>
              <w:t>三</w:t>
            </w:r>
            <w:r w:rsidRPr="00B87B92">
              <w:rPr>
                <w:rFonts w:cs="黑体-WinCharSetFFFF-H" w:hint="eastAsia"/>
                <w:b/>
                <w:bCs/>
                <w:sz w:val="24"/>
                <w:szCs w:val="24"/>
              </w:rPr>
              <w:t>：请问公司</w:t>
            </w:r>
            <w:r>
              <w:rPr>
                <w:rFonts w:cs="黑体-WinCharSetFFFF-H" w:hint="eastAsia"/>
                <w:b/>
                <w:bCs/>
                <w:sz w:val="24"/>
                <w:szCs w:val="24"/>
              </w:rPr>
              <w:t>现在的补贴情况</w:t>
            </w:r>
            <w:r w:rsidRPr="00B87B92">
              <w:rPr>
                <w:rFonts w:cs="黑体-WinCharSetFFFF-H"/>
                <w:b/>
                <w:bCs/>
                <w:sz w:val="24"/>
                <w:szCs w:val="24"/>
              </w:rPr>
              <w:t>？</w:t>
            </w:r>
          </w:p>
          <w:p w14:paraId="370FE349" w14:textId="2DEAB90F" w:rsidR="002F584A" w:rsidRDefault="00B87B92" w:rsidP="002F584A">
            <w:pPr>
              <w:pStyle w:val="a7"/>
              <w:spacing w:before="14"/>
              <w:ind w:left="0" w:firstLineChars="200" w:firstLine="482"/>
              <w:contextualSpacing/>
              <w:jc w:val="both"/>
              <w:rPr>
                <w:rFonts w:cs="黑体-WinCharSetFFFF-H"/>
                <w:sz w:val="24"/>
                <w:szCs w:val="24"/>
              </w:rPr>
            </w:pPr>
            <w:r w:rsidRPr="00945B6F">
              <w:rPr>
                <w:rFonts w:cs="黑体-WinCharSetFFFF-H" w:hint="eastAsia"/>
                <w:b/>
                <w:bCs/>
                <w:sz w:val="24"/>
                <w:szCs w:val="24"/>
              </w:rPr>
              <w:t>答：</w:t>
            </w:r>
            <w:r w:rsidR="008126FE">
              <w:rPr>
                <w:rFonts w:cs="黑体-WinCharSetFFFF-H" w:hint="eastAsia"/>
                <w:sz w:val="24"/>
                <w:szCs w:val="24"/>
              </w:rPr>
              <w:t>截至2023年底公司应收新能源补贴约为50亿元，占</w:t>
            </w:r>
            <w:r w:rsidR="008126FE" w:rsidRPr="003E35DD">
              <w:rPr>
                <w:rFonts w:cs="黑体-WinCharSetFFFF-H" w:hint="eastAsia"/>
                <w:sz w:val="24"/>
                <w:szCs w:val="24"/>
              </w:rPr>
              <w:t>应收账款比例</w:t>
            </w:r>
            <w:r w:rsidR="008126FE">
              <w:rPr>
                <w:rFonts w:cs="黑体-WinCharSetFFFF-H" w:hint="eastAsia"/>
                <w:sz w:val="24"/>
                <w:szCs w:val="24"/>
              </w:rPr>
              <w:t>约为86%</w:t>
            </w:r>
            <w:r w:rsidR="007233B3">
              <w:rPr>
                <w:rFonts w:cs="黑体-WinCharSetFFFF-H" w:hint="eastAsia"/>
                <w:sz w:val="24"/>
                <w:szCs w:val="24"/>
              </w:rPr>
              <w:t>。</w:t>
            </w:r>
            <w:r w:rsidR="00145848">
              <w:rPr>
                <w:rFonts w:cs="黑体-WinCharSetFFFF-H" w:hint="eastAsia"/>
                <w:sz w:val="24"/>
                <w:szCs w:val="24"/>
              </w:rPr>
              <w:t>应收新能源补贴</w:t>
            </w:r>
            <w:r w:rsidR="00145848" w:rsidRPr="00145848">
              <w:rPr>
                <w:rFonts w:cs="黑体-WinCharSetFFFF-H" w:hint="eastAsia"/>
                <w:sz w:val="24"/>
                <w:szCs w:val="24"/>
              </w:rPr>
              <w:t>占应收账款比例较</w:t>
            </w:r>
            <w:r w:rsidR="00145848">
              <w:rPr>
                <w:rFonts w:cs="黑体-WinCharSetFFFF-H" w:hint="eastAsia"/>
                <w:sz w:val="24"/>
                <w:szCs w:val="24"/>
              </w:rPr>
              <w:t>高</w:t>
            </w:r>
            <w:r w:rsidR="00145848" w:rsidRPr="00145848">
              <w:rPr>
                <w:rFonts w:cs="黑体-WinCharSetFFFF-H" w:hint="eastAsia"/>
                <w:sz w:val="24"/>
                <w:szCs w:val="24"/>
              </w:rPr>
              <w:t>，</w:t>
            </w:r>
            <w:r w:rsidR="003E35DD" w:rsidRPr="003E35DD">
              <w:rPr>
                <w:rFonts w:cs="黑体-WinCharSetFFFF-H" w:hint="eastAsia"/>
                <w:sz w:val="24"/>
                <w:szCs w:val="24"/>
              </w:rPr>
              <w:t>符合新能源</w:t>
            </w:r>
            <w:r w:rsidR="007233B3">
              <w:rPr>
                <w:rFonts w:cs="黑体-WinCharSetFFFF-H" w:hint="eastAsia"/>
                <w:sz w:val="24"/>
                <w:szCs w:val="24"/>
              </w:rPr>
              <w:t>电力</w:t>
            </w:r>
            <w:r w:rsidR="003E35DD" w:rsidRPr="003E35DD">
              <w:rPr>
                <w:rFonts w:cs="黑体-WinCharSetFFFF-H" w:hint="eastAsia"/>
                <w:sz w:val="24"/>
                <w:szCs w:val="24"/>
              </w:rPr>
              <w:t>行业特点</w:t>
            </w:r>
            <w:r w:rsidR="003E35DD">
              <w:rPr>
                <w:rFonts w:cs="黑体-WinCharSetFFFF-H" w:hint="eastAsia"/>
                <w:sz w:val="24"/>
                <w:szCs w:val="24"/>
              </w:rPr>
              <w:t>，</w:t>
            </w:r>
            <w:r w:rsidR="003E35DD" w:rsidRPr="003E35DD">
              <w:rPr>
                <w:rFonts w:cs="黑体-WinCharSetFFFF-H" w:hint="eastAsia"/>
                <w:sz w:val="24"/>
                <w:szCs w:val="24"/>
              </w:rPr>
              <w:t>随</w:t>
            </w:r>
            <w:r w:rsidR="00145848">
              <w:rPr>
                <w:rFonts w:cs="黑体-WinCharSetFFFF-H" w:hint="eastAsia"/>
                <w:sz w:val="24"/>
                <w:szCs w:val="24"/>
              </w:rPr>
              <w:t>着</w:t>
            </w:r>
            <w:r w:rsidR="003E35DD" w:rsidRPr="003E35DD">
              <w:rPr>
                <w:rFonts w:cs="黑体-WinCharSetFFFF-H" w:hint="eastAsia"/>
                <w:sz w:val="24"/>
                <w:szCs w:val="24"/>
              </w:rPr>
              <w:t>公司</w:t>
            </w:r>
            <w:r w:rsidR="007233B3">
              <w:rPr>
                <w:rFonts w:cs="黑体-WinCharSetFFFF-H" w:hint="eastAsia"/>
                <w:sz w:val="24"/>
                <w:szCs w:val="24"/>
              </w:rPr>
              <w:t>平价项目</w:t>
            </w:r>
            <w:r w:rsidR="003E35DD" w:rsidRPr="003E35DD">
              <w:rPr>
                <w:rFonts w:cs="黑体-WinCharSetFFFF-H" w:hint="eastAsia"/>
                <w:sz w:val="24"/>
                <w:szCs w:val="24"/>
              </w:rPr>
              <w:t>装机规模增加，</w:t>
            </w:r>
            <w:r w:rsidR="007233B3">
              <w:rPr>
                <w:rFonts w:cs="黑体-WinCharSetFFFF-H" w:hint="eastAsia"/>
                <w:sz w:val="24"/>
                <w:szCs w:val="24"/>
              </w:rPr>
              <w:t>整体</w:t>
            </w:r>
            <w:r w:rsidR="003E35DD" w:rsidRPr="003E35DD">
              <w:rPr>
                <w:rFonts w:cs="黑体-WinCharSetFFFF-H" w:hint="eastAsia"/>
                <w:sz w:val="24"/>
                <w:szCs w:val="24"/>
              </w:rPr>
              <w:t>电费收入</w:t>
            </w:r>
            <w:r w:rsidR="007233B3">
              <w:rPr>
                <w:rFonts w:cs="黑体-WinCharSetFFFF-H" w:hint="eastAsia"/>
                <w:sz w:val="24"/>
                <w:szCs w:val="24"/>
              </w:rPr>
              <w:t>同步增长，现金流情况持续优化，</w:t>
            </w:r>
            <w:r w:rsidR="003E35DD" w:rsidRPr="003E35DD">
              <w:rPr>
                <w:rFonts w:cs="黑体-WinCharSetFFFF-H" w:hint="eastAsia"/>
                <w:sz w:val="24"/>
                <w:szCs w:val="24"/>
              </w:rPr>
              <w:t>补贴</w:t>
            </w:r>
            <w:r w:rsidR="007233B3">
              <w:rPr>
                <w:rFonts w:cs="黑体-WinCharSetFFFF-H" w:hint="eastAsia"/>
                <w:sz w:val="24"/>
                <w:szCs w:val="24"/>
              </w:rPr>
              <w:t>回款影响将进一步弱化</w:t>
            </w:r>
            <w:r w:rsidR="002F584A" w:rsidRPr="002F584A">
              <w:rPr>
                <w:rFonts w:cs="黑体-WinCharSetFFFF-H" w:hint="eastAsia"/>
                <w:sz w:val="24"/>
                <w:szCs w:val="24"/>
              </w:rPr>
              <w:t>。公司</w:t>
            </w:r>
            <w:r w:rsidR="007233B3">
              <w:rPr>
                <w:rFonts w:cs="黑体-WinCharSetFFFF-H" w:hint="eastAsia"/>
                <w:sz w:val="24"/>
                <w:szCs w:val="24"/>
              </w:rPr>
              <w:t>将</w:t>
            </w:r>
            <w:r w:rsidR="002F584A" w:rsidRPr="002F584A">
              <w:rPr>
                <w:rFonts w:cs="黑体-WinCharSetFFFF-H" w:hint="eastAsia"/>
                <w:sz w:val="24"/>
                <w:szCs w:val="24"/>
              </w:rPr>
              <w:t>持续关注可再生能源发电项目补贴</w:t>
            </w:r>
            <w:r w:rsidR="007233B3">
              <w:rPr>
                <w:rFonts w:cs="黑体-WinCharSetFFFF-H" w:hint="eastAsia"/>
                <w:sz w:val="24"/>
                <w:szCs w:val="24"/>
              </w:rPr>
              <w:t>合</w:t>
            </w:r>
            <w:proofErr w:type="gramStart"/>
            <w:r w:rsidR="007233B3">
              <w:rPr>
                <w:rFonts w:cs="黑体-WinCharSetFFFF-H" w:hint="eastAsia"/>
                <w:sz w:val="24"/>
                <w:szCs w:val="24"/>
              </w:rPr>
              <w:t>规</w:t>
            </w:r>
            <w:proofErr w:type="gramEnd"/>
            <w:r w:rsidR="007233B3">
              <w:rPr>
                <w:rFonts w:cs="黑体-WinCharSetFFFF-H" w:hint="eastAsia"/>
                <w:sz w:val="24"/>
                <w:szCs w:val="24"/>
              </w:rPr>
              <w:t>审查及发放</w:t>
            </w:r>
            <w:r w:rsidR="002F584A" w:rsidRPr="002F584A">
              <w:rPr>
                <w:rFonts w:cs="黑体-WinCharSetFFFF-H" w:hint="eastAsia"/>
                <w:sz w:val="24"/>
                <w:szCs w:val="24"/>
              </w:rPr>
              <w:t>相关进展情况。如有涉及披露事项，公司将按照相关规定进行披露。</w:t>
            </w:r>
          </w:p>
          <w:p w14:paraId="19A63D94" w14:textId="3082C5FB" w:rsidR="00397AC9" w:rsidRDefault="00B87B92" w:rsidP="00397AC9">
            <w:pPr>
              <w:pStyle w:val="a7"/>
              <w:spacing w:before="14"/>
              <w:ind w:left="0"/>
              <w:contextualSpacing/>
              <w:jc w:val="both"/>
              <w:rPr>
                <w:rFonts w:cs="黑体-WinCharSetFFFF-H"/>
                <w:b/>
                <w:bCs/>
                <w:sz w:val="24"/>
                <w:szCs w:val="24"/>
              </w:rPr>
            </w:pPr>
            <w:r w:rsidRPr="00B87B92">
              <w:rPr>
                <w:rFonts w:cs="黑体-WinCharSetFFFF-H" w:hint="eastAsia"/>
                <w:b/>
                <w:bCs/>
                <w:sz w:val="24"/>
                <w:szCs w:val="24"/>
              </w:rPr>
              <w:t>问题</w:t>
            </w:r>
            <w:r>
              <w:rPr>
                <w:rFonts w:cs="黑体-WinCharSetFFFF-H" w:hint="eastAsia"/>
                <w:b/>
                <w:bCs/>
                <w:sz w:val="24"/>
                <w:szCs w:val="24"/>
              </w:rPr>
              <w:t>四</w:t>
            </w:r>
            <w:r w:rsidRPr="00B87B92">
              <w:rPr>
                <w:rFonts w:cs="黑体-WinCharSetFFFF-H" w:hint="eastAsia"/>
                <w:b/>
                <w:bCs/>
                <w:sz w:val="24"/>
                <w:szCs w:val="24"/>
              </w:rPr>
              <w:t>：</w:t>
            </w:r>
            <w:r w:rsidR="00397AC9" w:rsidRPr="00397AC9">
              <w:rPr>
                <w:rFonts w:cs="黑体-WinCharSetFFFF-H" w:hint="eastAsia"/>
                <w:b/>
                <w:bCs/>
                <w:sz w:val="24"/>
                <w:szCs w:val="24"/>
              </w:rPr>
              <w:t>请问公司补贴</w:t>
            </w:r>
            <w:r w:rsidR="0045123D">
              <w:rPr>
                <w:rFonts w:cs="黑体-WinCharSetFFFF-H" w:hint="eastAsia"/>
                <w:b/>
                <w:bCs/>
                <w:sz w:val="24"/>
                <w:szCs w:val="24"/>
              </w:rPr>
              <w:t>是否存在</w:t>
            </w:r>
            <w:r w:rsidR="00397AC9" w:rsidRPr="00397AC9">
              <w:rPr>
                <w:rFonts w:cs="黑体-WinCharSetFFFF-H" w:hint="eastAsia"/>
                <w:b/>
                <w:bCs/>
                <w:sz w:val="24"/>
                <w:szCs w:val="24"/>
              </w:rPr>
              <w:t>计提坏账风险？</w:t>
            </w:r>
          </w:p>
          <w:p w14:paraId="38F8E529" w14:textId="07B1FD01" w:rsidR="00AB26D3" w:rsidRDefault="00B87B92" w:rsidP="003E35DD">
            <w:pPr>
              <w:pStyle w:val="a7"/>
              <w:spacing w:before="14"/>
              <w:ind w:left="0" w:firstLineChars="200" w:firstLine="482"/>
              <w:contextualSpacing/>
              <w:jc w:val="both"/>
              <w:rPr>
                <w:rFonts w:cs="黑体-WinCharSetFFFF-H"/>
                <w:b/>
                <w:bCs/>
                <w:sz w:val="24"/>
                <w:szCs w:val="24"/>
              </w:rPr>
            </w:pPr>
            <w:r w:rsidRPr="00945B6F">
              <w:rPr>
                <w:rFonts w:cs="黑体-WinCharSetFFFF-H" w:hint="eastAsia"/>
                <w:b/>
                <w:bCs/>
                <w:sz w:val="24"/>
                <w:szCs w:val="24"/>
              </w:rPr>
              <w:t>答：</w:t>
            </w:r>
            <w:r w:rsidR="00AB26D3" w:rsidRPr="003E35DD">
              <w:rPr>
                <w:rFonts w:cs="黑体-WinCharSetFFFF-H" w:hint="eastAsia"/>
                <w:sz w:val="24"/>
                <w:szCs w:val="24"/>
              </w:rPr>
              <w:t>公司补贴应收款是基于</w:t>
            </w:r>
            <w:proofErr w:type="gramStart"/>
            <w:r w:rsidR="00AB26D3" w:rsidRPr="003E35DD">
              <w:rPr>
                <w:rFonts w:cs="黑体-WinCharSetFFFF-H" w:hint="eastAsia"/>
                <w:sz w:val="24"/>
                <w:szCs w:val="24"/>
              </w:rPr>
              <w:t>国家发改委</w:t>
            </w:r>
            <w:proofErr w:type="gramEnd"/>
            <w:r w:rsidR="00AB26D3" w:rsidRPr="003E35DD">
              <w:rPr>
                <w:rFonts w:cs="黑体-WinCharSetFFFF-H" w:hint="eastAsia"/>
                <w:sz w:val="24"/>
                <w:szCs w:val="24"/>
              </w:rPr>
              <w:t>、财政部、能源局等相关部委制定的各项电价政策确定的，有政府信用作支持</w:t>
            </w:r>
            <w:r w:rsidR="00A92403">
              <w:rPr>
                <w:rFonts w:cs="黑体-WinCharSetFFFF-H" w:hint="eastAsia"/>
                <w:sz w:val="24"/>
                <w:szCs w:val="24"/>
              </w:rPr>
              <w:t>，截至目前公司未对补贴款进行坏账计提。公司将继续</w:t>
            </w:r>
            <w:r w:rsidR="00A92403" w:rsidRPr="00A92403">
              <w:rPr>
                <w:rFonts w:cs="黑体-WinCharSetFFFF-H" w:hint="eastAsia"/>
                <w:sz w:val="24"/>
                <w:szCs w:val="24"/>
              </w:rPr>
              <w:t>以国家政策为导向</w:t>
            </w:r>
            <w:r w:rsidR="00A92403">
              <w:rPr>
                <w:rFonts w:cs="黑体-WinCharSetFFFF-H" w:hint="eastAsia"/>
                <w:sz w:val="24"/>
                <w:szCs w:val="24"/>
              </w:rPr>
              <w:t>，</w:t>
            </w:r>
            <w:r w:rsidR="00A92403" w:rsidRPr="00AB26D3">
              <w:rPr>
                <w:rFonts w:cs="黑体-WinCharSetFFFF-H" w:hint="eastAsia"/>
                <w:sz w:val="24"/>
                <w:szCs w:val="24"/>
              </w:rPr>
              <w:t>严格按照《企业会计准则》</w:t>
            </w:r>
            <w:r w:rsidR="00A92403">
              <w:rPr>
                <w:rFonts w:cs="黑体-WinCharSetFFFF-H" w:hint="eastAsia"/>
                <w:sz w:val="24"/>
                <w:szCs w:val="24"/>
              </w:rPr>
              <w:t>，</w:t>
            </w:r>
            <w:r w:rsidR="00A92403" w:rsidRPr="00AB26D3">
              <w:rPr>
                <w:rFonts w:cs="黑体-WinCharSetFFFF-H" w:hint="eastAsia"/>
                <w:sz w:val="24"/>
                <w:szCs w:val="24"/>
              </w:rPr>
              <w:t>基于谨慎性原则</w:t>
            </w:r>
            <w:r w:rsidR="00A92403">
              <w:rPr>
                <w:rFonts w:cs="黑体-WinCharSetFFFF-H" w:hint="eastAsia"/>
                <w:sz w:val="24"/>
                <w:szCs w:val="24"/>
              </w:rPr>
              <w:t>对于</w:t>
            </w:r>
            <w:r w:rsidR="00A92403" w:rsidRPr="00A92403">
              <w:rPr>
                <w:rFonts w:cs="黑体-WinCharSetFFFF-H" w:hint="eastAsia"/>
                <w:sz w:val="24"/>
                <w:szCs w:val="24"/>
              </w:rPr>
              <w:t>坏账</w:t>
            </w:r>
            <w:r w:rsidR="00A92403">
              <w:rPr>
                <w:rFonts w:cs="黑体-WinCharSetFFFF-H" w:hint="eastAsia"/>
                <w:sz w:val="24"/>
                <w:szCs w:val="24"/>
              </w:rPr>
              <w:t>计提进行判断。</w:t>
            </w:r>
          </w:p>
          <w:p w14:paraId="563024FA" w14:textId="1C3ECFF7" w:rsidR="00B87B92" w:rsidRPr="00B87B92" w:rsidRDefault="00B87B92" w:rsidP="00B87B92">
            <w:pPr>
              <w:pStyle w:val="a7"/>
              <w:spacing w:before="14"/>
              <w:ind w:left="0"/>
              <w:contextualSpacing/>
              <w:jc w:val="both"/>
              <w:rPr>
                <w:rFonts w:cs="黑体-WinCharSetFFFF-H"/>
                <w:b/>
                <w:bCs/>
                <w:sz w:val="24"/>
                <w:szCs w:val="24"/>
                <w:lang w:val="en-US"/>
              </w:rPr>
            </w:pPr>
            <w:r w:rsidRPr="00B87B92">
              <w:rPr>
                <w:rFonts w:cs="黑体-WinCharSetFFFF-H" w:hint="eastAsia"/>
                <w:b/>
                <w:bCs/>
                <w:sz w:val="24"/>
                <w:szCs w:val="24"/>
              </w:rPr>
              <w:t>问题</w:t>
            </w:r>
            <w:r>
              <w:rPr>
                <w:rFonts w:cs="黑体-WinCharSetFFFF-H" w:hint="eastAsia"/>
                <w:b/>
                <w:bCs/>
                <w:sz w:val="24"/>
                <w:szCs w:val="24"/>
              </w:rPr>
              <w:t>五</w:t>
            </w:r>
            <w:r w:rsidRPr="00B87B92">
              <w:rPr>
                <w:rFonts w:cs="黑体-WinCharSetFFFF-H" w:hint="eastAsia"/>
                <w:b/>
                <w:bCs/>
                <w:sz w:val="24"/>
                <w:szCs w:val="24"/>
              </w:rPr>
              <w:t>：请问公司股东对公司的支持情况？</w:t>
            </w:r>
          </w:p>
          <w:p w14:paraId="55A19996" w14:textId="77777777" w:rsidR="00F3470F" w:rsidRDefault="00B87B92" w:rsidP="00055D49">
            <w:pPr>
              <w:pStyle w:val="a7"/>
              <w:spacing w:before="14"/>
              <w:ind w:left="0" w:firstLineChars="200" w:firstLine="482"/>
              <w:contextualSpacing/>
              <w:jc w:val="both"/>
              <w:rPr>
                <w:rFonts w:cs="黑体-WinCharSetFFFF-H"/>
                <w:sz w:val="24"/>
                <w:szCs w:val="24"/>
              </w:rPr>
            </w:pPr>
            <w:r w:rsidRPr="00945B6F">
              <w:rPr>
                <w:rFonts w:cs="黑体-WinCharSetFFFF-H" w:hint="eastAsia"/>
                <w:b/>
                <w:bCs/>
                <w:sz w:val="24"/>
                <w:szCs w:val="24"/>
              </w:rPr>
              <w:t>答：</w:t>
            </w:r>
            <w:r w:rsidRPr="005F21ED">
              <w:rPr>
                <w:rFonts w:cs="黑体-WinCharSetFFFF-H" w:hint="eastAsia"/>
                <w:sz w:val="24"/>
                <w:szCs w:val="24"/>
              </w:rPr>
              <w:t>公司拥有多元股东结构，卓越的股东背景，股东中除天津国资外，还</w:t>
            </w:r>
            <w:r w:rsidRPr="005F21ED">
              <w:rPr>
                <w:rFonts w:cs="黑体-WinCharSetFFFF-H" w:hint="eastAsia"/>
                <w:sz w:val="24"/>
                <w:szCs w:val="24"/>
              </w:rPr>
              <w:lastRenderedPageBreak/>
              <w:t>包括以国开金融为代表的大型国资金融机构和以通用技术集团为代表的行业龙头企业，国资背景、产业力量和金融资本相互融合、优势互补</w:t>
            </w:r>
            <w:r>
              <w:rPr>
                <w:rFonts w:cs="黑体-WinCharSetFFFF-H" w:hint="eastAsia"/>
                <w:sz w:val="24"/>
                <w:szCs w:val="24"/>
              </w:rPr>
              <w:t>，未来大股东会在海外市场布局、装机指标、海上风电建设、资金等方面给予公司强有力的支持。</w:t>
            </w:r>
          </w:p>
          <w:p w14:paraId="338DE210" w14:textId="4F53B187" w:rsidR="004D26A2" w:rsidRPr="00B87B92" w:rsidRDefault="004D26A2" w:rsidP="004D26A2">
            <w:pPr>
              <w:pStyle w:val="a7"/>
              <w:spacing w:before="14"/>
              <w:ind w:left="0"/>
              <w:contextualSpacing/>
              <w:jc w:val="both"/>
              <w:rPr>
                <w:rFonts w:cs="黑体-WinCharSetFFFF-H"/>
                <w:b/>
                <w:bCs/>
                <w:sz w:val="24"/>
                <w:szCs w:val="24"/>
                <w:lang w:val="en-US"/>
              </w:rPr>
            </w:pPr>
            <w:r w:rsidRPr="00B87B92">
              <w:rPr>
                <w:rFonts w:cs="黑体-WinCharSetFFFF-H" w:hint="eastAsia"/>
                <w:b/>
                <w:bCs/>
                <w:sz w:val="24"/>
                <w:szCs w:val="24"/>
              </w:rPr>
              <w:t>问题</w:t>
            </w:r>
            <w:r>
              <w:rPr>
                <w:rFonts w:cs="黑体-WinCharSetFFFF-H" w:hint="eastAsia"/>
                <w:b/>
                <w:bCs/>
                <w:sz w:val="24"/>
                <w:szCs w:val="24"/>
              </w:rPr>
              <w:t>六</w:t>
            </w:r>
            <w:r w:rsidRPr="00B87B92">
              <w:rPr>
                <w:rFonts w:cs="黑体-WinCharSetFFFF-H" w:hint="eastAsia"/>
                <w:b/>
                <w:bCs/>
                <w:sz w:val="24"/>
                <w:szCs w:val="24"/>
              </w:rPr>
              <w:t>：请问</w:t>
            </w:r>
            <w:r w:rsidR="004C5EB6" w:rsidRPr="004C5EB6">
              <w:rPr>
                <w:rFonts w:cs="黑体-WinCharSetFFFF-H" w:hint="eastAsia"/>
                <w:b/>
                <w:bCs/>
                <w:sz w:val="24"/>
                <w:szCs w:val="24"/>
              </w:rPr>
              <w:t>公司未来分红计划是什么</w:t>
            </w:r>
            <w:r w:rsidRPr="00B87B92">
              <w:rPr>
                <w:rFonts w:cs="黑体-WinCharSetFFFF-H" w:hint="eastAsia"/>
                <w:b/>
                <w:bCs/>
                <w:sz w:val="24"/>
                <w:szCs w:val="24"/>
              </w:rPr>
              <w:t>？</w:t>
            </w:r>
            <w:r w:rsidR="004C5EB6">
              <w:rPr>
                <w:rFonts w:cs="黑体-WinCharSetFFFF-H" w:hint="eastAsia"/>
                <w:b/>
                <w:bCs/>
                <w:sz w:val="24"/>
                <w:szCs w:val="24"/>
              </w:rPr>
              <w:t xml:space="preserve"> </w:t>
            </w:r>
          </w:p>
          <w:p w14:paraId="3ECE2511" w14:textId="400ECCA6" w:rsidR="004D26A2" w:rsidRPr="00C42F8D" w:rsidRDefault="004D26A2" w:rsidP="00C42F8D">
            <w:pPr>
              <w:pStyle w:val="a7"/>
              <w:spacing w:before="14"/>
              <w:ind w:left="0" w:firstLineChars="200" w:firstLine="482"/>
              <w:contextualSpacing/>
              <w:jc w:val="both"/>
              <w:rPr>
                <w:rFonts w:cs="黑体-WinCharSetFFFF-H"/>
                <w:sz w:val="24"/>
                <w:szCs w:val="24"/>
              </w:rPr>
            </w:pPr>
            <w:r w:rsidRPr="00945B6F">
              <w:rPr>
                <w:rFonts w:cs="黑体-WinCharSetFFFF-H" w:hint="eastAsia"/>
                <w:b/>
                <w:bCs/>
                <w:sz w:val="24"/>
                <w:szCs w:val="24"/>
              </w:rPr>
              <w:t>答：</w:t>
            </w:r>
            <w:r w:rsidR="00C42F8D" w:rsidRPr="00C42F8D">
              <w:rPr>
                <w:rFonts w:cs="黑体-WinCharSetFFFF-H" w:hint="eastAsia"/>
                <w:sz w:val="24"/>
                <w:szCs w:val="24"/>
              </w:rPr>
              <w:t>公司已建立起常态化的现金分红机制</w:t>
            </w:r>
            <w:r w:rsidR="00C42F8D" w:rsidRPr="00C42F8D">
              <w:rPr>
                <w:rFonts w:cs="黑体-WinCharSetFFFF-H"/>
                <w:sz w:val="24"/>
                <w:szCs w:val="24"/>
              </w:rPr>
              <w:t>,未来将积极实施现金</w:t>
            </w:r>
            <w:r w:rsidR="00C42F8D" w:rsidRPr="00C42F8D">
              <w:rPr>
                <w:rFonts w:cs="黑体-WinCharSetFFFF-H" w:hint="eastAsia"/>
                <w:sz w:val="24"/>
                <w:szCs w:val="24"/>
              </w:rPr>
              <w:t>分红，以切实回报股东。公司</w:t>
            </w:r>
            <w:r w:rsidR="00C42F8D" w:rsidRPr="00C42F8D">
              <w:rPr>
                <w:rFonts w:cs="黑体-WinCharSetFFFF-H"/>
                <w:sz w:val="24"/>
                <w:szCs w:val="24"/>
              </w:rPr>
              <w:t>2023半年度已派发红利1.97亿元，年度拟派发红利金额1.47亿元，合计约为3.44亿元，占公司2023年度归属上市公司股东净利润的42.67%，未来公司拟每年在上述比例范围内制定分红方案。</w:t>
            </w:r>
          </w:p>
        </w:tc>
      </w:tr>
      <w:tr w:rsidR="004C1999" w14:paraId="03CE7560" w14:textId="77777777" w:rsidTr="00945B6F">
        <w:trPr>
          <w:trHeight w:val="361"/>
        </w:trPr>
        <w:tc>
          <w:tcPr>
            <w:tcW w:w="2518" w:type="dxa"/>
          </w:tcPr>
          <w:p w14:paraId="24B1BE8D" w14:textId="64B6BE1A" w:rsidR="004C1999" w:rsidRPr="003E0083" w:rsidRDefault="004C1999" w:rsidP="002A225E">
            <w:pPr>
              <w:pStyle w:val="a7"/>
              <w:spacing w:before="14"/>
              <w:ind w:left="0"/>
              <w:contextualSpacing/>
              <w:jc w:val="both"/>
              <w:rPr>
                <w:rFonts w:cs="黑体-WinCharSetFFFF-H"/>
                <w:sz w:val="24"/>
                <w:szCs w:val="24"/>
              </w:rPr>
            </w:pPr>
            <w:r w:rsidRPr="004C1999">
              <w:rPr>
                <w:rFonts w:cs="黑体-WinCharSetFFFF-H" w:hint="eastAsia"/>
                <w:sz w:val="24"/>
                <w:szCs w:val="24"/>
              </w:rPr>
              <w:lastRenderedPageBreak/>
              <w:t>附件清单</w:t>
            </w:r>
          </w:p>
        </w:tc>
        <w:tc>
          <w:tcPr>
            <w:tcW w:w="6004" w:type="dxa"/>
          </w:tcPr>
          <w:p w14:paraId="61CCAB24" w14:textId="2495D778" w:rsidR="004C1999" w:rsidRPr="003E0083" w:rsidRDefault="004C1999" w:rsidP="002A225E">
            <w:pPr>
              <w:pStyle w:val="a7"/>
              <w:spacing w:before="14"/>
              <w:ind w:left="0"/>
              <w:contextualSpacing/>
              <w:jc w:val="both"/>
              <w:rPr>
                <w:rFonts w:cs="黑体-WinCharSetFFFF-H"/>
                <w:sz w:val="24"/>
                <w:szCs w:val="24"/>
              </w:rPr>
            </w:pPr>
            <w:r>
              <w:rPr>
                <w:rFonts w:cs="黑体-WinCharSetFFFF-H" w:hint="eastAsia"/>
                <w:sz w:val="24"/>
                <w:szCs w:val="24"/>
              </w:rPr>
              <w:t>无</w:t>
            </w:r>
          </w:p>
        </w:tc>
      </w:tr>
    </w:tbl>
    <w:p w14:paraId="072DEE2A" w14:textId="1C7B78F5" w:rsidR="00300FEB" w:rsidRPr="000418D4" w:rsidRDefault="00E24574">
      <w:pPr>
        <w:rPr>
          <w:sz w:val="24"/>
          <w:szCs w:val="24"/>
        </w:rPr>
      </w:pPr>
      <w:r w:rsidRPr="00E24574">
        <w:rPr>
          <w:rFonts w:hint="eastAsia"/>
          <w:sz w:val="24"/>
          <w:szCs w:val="24"/>
        </w:rPr>
        <w:t>注：公司严格遵守信息披露相关规则与投资者进行交流，</w:t>
      </w:r>
      <w:r w:rsidRPr="00E24574">
        <w:rPr>
          <w:sz w:val="24"/>
          <w:szCs w:val="24"/>
        </w:rPr>
        <w:t>如涉及战略划等意向性目标</w:t>
      </w:r>
      <w:r>
        <w:rPr>
          <w:rFonts w:hint="eastAsia"/>
          <w:sz w:val="24"/>
          <w:szCs w:val="24"/>
        </w:rPr>
        <w:t>，</w:t>
      </w:r>
      <w:r w:rsidRPr="00E24574">
        <w:rPr>
          <w:sz w:val="24"/>
          <w:szCs w:val="24"/>
        </w:rPr>
        <w:t>如涉及战略划等意向性目标</w:t>
      </w:r>
      <w:r>
        <w:rPr>
          <w:rFonts w:hint="eastAsia"/>
          <w:sz w:val="24"/>
          <w:szCs w:val="24"/>
        </w:rPr>
        <w:t>，</w:t>
      </w:r>
      <w:proofErr w:type="gramStart"/>
      <w:r w:rsidRPr="00E24574">
        <w:rPr>
          <w:sz w:val="24"/>
          <w:szCs w:val="24"/>
        </w:rPr>
        <w:t>不</w:t>
      </w:r>
      <w:proofErr w:type="gramEnd"/>
      <w:r w:rsidRPr="00E24574">
        <w:rPr>
          <w:sz w:val="24"/>
          <w:szCs w:val="24"/>
        </w:rPr>
        <w:t>视为公司或管理</w:t>
      </w:r>
      <w:r w:rsidRPr="00E24574">
        <w:rPr>
          <w:rFonts w:hint="eastAsia"/>
          <w:sz w:val="24"/>
          <w:szCs w:val="24"/>
        </w:rPr>
        <w:t>层对业绩的保证承诺，敬请广大投资者注意风险</w:t>
      </w:r>
      <w:r>
        <w:rPr>
          <w:rFonts w:hint="eastAsia"/>
          <w:sz w:val="24"/>
          <w:szCs w:val="24"/>
        </w:rPr>
        <w:t>。</w:t>
      </w:r>
    </w:p>
    <w:sectPr w:rsidR="00300FEB" w:rsidRPr="000418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D40B3" w14:textId="77777777" w:rsidR="00536B3A" w:rsidRDefault="00536B3A" w:rsidP="00300FEB">
      <w:r>
        <w:separator/>
      </w:r>
    </w:p>
  </w:endnote>
  <w:endnote w:type="continuationSeparator" w:id="0">
    <w:p w14:paraId="3426667F" w14:textId="77777777" w:rsidR="00536B3A" w:rsidRDefault="00536B3A" w:rsidP="0030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WinCharSetFFFF-H">
    <w:altName w:val="等线"/>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70219" w14:textId="77777777" w:rsidR="00536B3A" w:rsidRDefault="00536B3A" w:rsidP="00300FEB">
      <w:r>
        <w:separator/>
      </w:r>
    </w:p>
  </w:footnote>
  <w:footnote w:type="continuationSeparator" w:id="0">
    <w:p w14:paraId="27BDF545" w14:textId="77777777" w:rsidR="00536B3A" w:rsidRDefault="00536B3A" w:rsidP="00300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646B16"/>
    <w:multiLevelType w:val="hybridMultilevel"/>
    <w:tmpl w:val="0F104F0A"/>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16cid:durableId="5971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20E9"/>
    <w:rsid w:val="000056AD"/>
    <w:rsid w:val="00011E19"/>
    <w:rsid w:val="00015272"/>
    <w:rsid w:val="000311E1"/>
    <w:rsid w:val="0003198A"/>
    <w:rsid w:val="000335AA"/>
    <w:rsid w:val="000337E4"/>
    <w:rsid w:val="00033845"/>
    <w:rsid w:val="00036AA8"/>
    <w:rsid w:val="000418D4"/>
    <w:rsid w:val="0004616A"/>
    <w:rsid w:val="00046745"/>
    <w:rsid w:val="00055D49"/>
    <w:rsid w:val="00057350"/>
    <w:rsid w:val="00066AEC"/>
    <w:rsid w:val="0007287B"/>
    <w:rsid w:val="00074283"/>
    <w:rsid w:val="00074B33"/>
    <w:rsid w:val="00081834"/>
    <w:rsid w:val="00086960"/>
    <w:rsid w:val="00087C30"/>
    <w:rsid w:val="000B61AA"/>
    <w:rsid w:val="000C1919"/>
    <w:rsid w:val="000C194B"/>
    <w:rsid w:val="000E1662"/>
    <w:rsid w:val="000E4D85"/>
    <w:rsid w:val="000E7868"/>
    <w:rsid w:val="000E7DFD"/>
    <w:rsid w:val="000F44B5"/>
    <w:rsid w:val="00100B26"/>
    <w:rsid w:val="00100FE0"/>
    <w:rsid w:val="00107B0F"/>
    <w:rsid w:val="0012017B"/>
    <w:rsid w:val="001216B8"/>
    <w:rsid w:val="00121C20"/>
    <w:rsid w:val="001277AD"/>
    <w:rsid w:val="00127F5E"/>
    <w:rsid w:val="00130E7B"/>
    <w:rsid w:val="001312A5"/>
    <w:rsid w:val="0013298C"/>
    <w:rsid w:val="001345F1"/>
    <w:rsid w:val="00134AEC"/>
    <w:rsid w:val="00142D6A"/>
    <w:rsid w:val="00143D36"/>
    <w:rsid w:val="001445AA"/>
    <w:rsid w:val="001457EB"/>
    <w:rsid w:val="00145848"/>
    <w:rsid w:val="00157026"/>
    <w:rsid w:val="001670C4"/>
    <w:rsid w:val="00175774"/>
    <w:rsid w:val="00182DCE"/>
    <w:rsid w:val="00183986"/>
    <w:rsid w:val="00183C6C"/>
    <w:rsid w:val="00185A89"/>
    <w:rsid w:val="001874C1"/>
    <w:rsid w:val="00195D11"/>
    <w:rsid w:val="001960C6"/>
    <w:rsid w:val="001B2156"/>
    <w:rsid w:val="001B691D"/>
    <w:rsid w:val="001B7B25"/>
    <w:rsid w:val="001C1173"/>
    <w:rsid w:val="001E0A52"/>
    <w:rsid w:val="001E1860"/>
    <w:rsid w:val="001F1C77"/>
    <w:rsid w:val="001F2D65"/>
    <w:rsid w:val="00202E1C"/>
    <w:rsid w:val="00204D62"/>
    <w:rsid w:val="00205DAE"/>
    <w:rsid w:val="00210ADF"/>
    <w:rsid w:val="00211C52"/>
    <w:rsid w:val="00215115"/>
    <w:rsid w:val="00216E60"/>
    <w:rsid w:val="0022263A"/>
    <w:rsid w:val="00230F85"/>
    <w:rsid w:val="00231475"/>
    <w:rsid w:val="0023237E"/>
    <w:rsid w:val="00233808"/>
    <w:rsid w:val="00236D99"/>
    <w:rsid w:val="002459B4"/>
    <w:rsid w:val="00245E3F"/>
    <w:rsid w:val="002507BF"/>
    <w:rsid w:val="00251EA1"/>
    <w:rsid w:val="002548A8"/>
    <w:rsid w:val="002560F2"/>
    <w:rsid w:val="00260E59"/>
    <w:rsid w:val="00272CB6"/>
    <w:rsid w:val="0027580A"/>
    <w:rsid w:val="002803A2"/>
    <w:rsid w:val="00295456"/>
    <w:rsid w:val="002A225E"/>
    <w:rsid w:val="002B5E1A"/>
    <w:rsid w:val="002C0A6F"/>
    <w:rsid w:val="002C1A0C"/>
    <w:rsid w:val="002C3268"/>
    <w:rsid w:val="002D1FC8"/>
    <w:rsid w:val="002F584A"/>
    <w:rsid w:val="00300FEB"/>
    <w:rsid w:val="003012AD"/>
    <w:rsid w:val="0030291B"/>
    <w:rsid w:val="00310DFA"/>
    <w:rsid w:val="003169CA"/>
    <w:rsid w:val="00321A95"/>
    <w:rsid w:val="00322B1F"/>
    <w:rsid w:val="00324F58"/>
    <w:rsid w:val="0033555F"/>
    <w:rsid w:val="0034104C"/>
    <w:rsid w:val="00352FC5"/>
    <w:rsid w:val="00353D88"/>
    <w:rsid w:val="00364518"/>
    <w:rsid w:val="00367400"/>
    <w:rsid w:val="0037512B"/>
    <w:rsid w:val="00391F09"/>
    <w:rsid w:val="00396B53"/>
    <w:rsid w:val="00397855"/>
    <w:rsid w:val="00397AC9"/>
    <w:rsid w:val="003A297F"/>
    <w:rsid w:val="003A4BAB"/>
    <w:rsid w:val="003B7D5F"/>
    <w:rsid w:val="003D2162"/>
    <w:rsid w:val="003D2C03"/>
    <w:rsid w:val="003D395C"/>
    <w:rsid w:val="003E0083"/>
    <w:rsid w:val="003E35DD"/>
    <w:rsid w:val="003F1ADC"/>
    <w:rsid w:val="00402231"/>
    <w:rsid w:val="004022B1"/>
    <w:rsid w:val="00405504"/>
    <w:rsid w:val="0041370A"/>
    <w:rsid w:val="00416401"/>
    <w:rsid w:val="00423E11"/>
    <w:rsid w:val="0042589B"/>
    <w:rsid w:val="004262C2"/>
    <w:rsid w:val="0043586E"/>
    <w:rsid w:val="00436362"/>
    <w:rsid w:val="0043747B"/>
    <w:rsid w:val="004424A8"/>
    <w:rsid w:val="0045123D"/>
    <w:rsid w:val="004636E6"/>
    <w:rsid w:val="00463C3F"/>
    <w:rsid w:val="00463FDA"/>
    <w:rsid w:val="00475F06"/>
    <w:rsid w:val="00481EC2"/>
    <w:rsid w:val="00485393"/>
    <w:rsid w:val="00485B64"/>
    <w:rsid w:val="004B7DE7"/>
    <w:rsid w:val="004C1999"/>
    <w:rsid w:val="004C3B03"/>
    <w:rsid w:val="004C3B44"/>
    <w:rsid w:val="004C49D3"/>
    <w:rsid w:val="004C5EB6"/>
    <w:rsid w:val="004D26A2"/>
    <w:rsid w:val="004D3E8C"/>
    <w:rsid w:val="004D598C"/>
    <w:rsid w:val="004E0531"/>
    <w:rsid w:val="004F1E1B"/>
    <w:rsid w:val="005003C3"/>
    <w:rsid w:val="00500759"/>
    <w:rsid w:val="00502175"/>
    <w:rsid w:val="005056B2"/>
    <w:rsid w:val="005143C7"/>
    <w:rsid w:val="00520ADE"/>
    <w:rsid w:val="00523B8B"/>
    <w:rsid w:val="00536B3A"/>
    <w:rsid w:val="00543CFD"/>
    <w:rsid w:val="005573F3"/>
    <w:rsid w:val="00573DF9"/>
    <w:rsid w:val="0057521C"/>
    <w:rsid w:val="00580D95"/>
    <w:rsid w:val="0058682A"/>
    <w:rsid w:val="00586F7A"/>
    <w:rsid w:val="00590524"/>
    <w:rsid w:val="0059697A"/>
    <w:rsid w:val="005B6253"/>
    <w:rsid w:val="005C5741"/>
    <w:rsid w:val="005D1BF1"/>
    <w:rsid w:val="005D46DD"/>
    <w:rsid w:val="005D4F56"/>
    <w:rsid w:val="005E0C39"/>
    <w:rsid w:val="005E1BD6"/>
    <w:rsid w:val="005F21ED"/>
    <w:rsid w:val="005F5344"/>
    <w:rsid w:val="005F77B4"/>
    <w:rsid w:val="006028A3"/>
    <w:rsid w:val="00604DD4"/>
    <w:rsid w:val="00605C95"/>
    <w:rsid w:val="00606894"/>
    <w:rsid w:val="0061191B"/>
    <w:rsid w:val="006222FB"/>
    <w:rsid w:val="00633D52"/>
    <w:rsid w:val="00650B3E"/>
    <w:rsid w:val="00653AE6"/>
    <w:rsid w:val="0065680D"/>
    <w:rsid w:val="00660CC4"/>
    <w:rsid w:val="00662EC2"/>
    <w:rsid w:val="00676FCE"/>
    <w:rsid w:val="006800DF"/>
    <w:rsid w:val="00685267"/>
    <w:rsid w:val="006868E3"/>
    <w:rsid w:val="00687A28"/>
    <w:rsid w:val="006911BB"/>
    <w:rsid w:val="00691C7D"/>
    <w:rsid w:val="006A7606"/>
    <w:rsid w:val="006A7C35"/>
    <w:rsid w:val="006B044C"/>
    <w:rsid w:val="006B36AB"/>
    <w:rsid w:val="006E31E4"/>
    <w:rsid w:val="006E77EF"/>
    <w:rsid w:val="006F2241"/>
    <w:rsid w:val="00703641"/>
    <w:rsid w:val="007174B6"/>
    <w:rsid w:val="007233B3"/>
    <w:rsid w:val="00733453"/>
    <w:rsid w:val="00737903"/>
    <w:rsid w:val="00741100"/>
    <w:rsid w:val="00747037"/>
    <w:rsid w:val="00751819"/>
    <w:rsid w:val="00751DFB"/>
    <w:rsid w:val="00753046"/>
    <w:rsid w:val="00760CBE"/>
    <w:rsid w:val="007717CC"/>
    <w:rsid w:val="00782908"/>
    <w:rsid w:val="00782FE9"/>
    <w:rsid w:val="00785EDF"/>
    <w:rsid w:val="0079163D"/>
    <w:rsid w:val="00791BCB"/>
    <w:rsid w:val="00794E64"/>
    <w:rsid w:val="007B20E9"/>
    <w:rsid w:val="007C0452"/>
    <w:rsid w:val="007D6305"/>
    <w:rsid w:val="007E05E4"/>
    <w:rsid w:val="007F3D03"/>
    <w:rsid w:val="007F6625"/>
    <w:rsid w:val="008020B6"/>
    <w:rsid w:val="00803E7F"/>
    <w:rsid w:val="008055E9"/>
    <w:rsid w:val="0081045D"/>
    <w:rsid w:val="008120BD"/>
    <w:rsid w:val="0081243B"/>
    <w:rsid w:val="008126FE"/>
    <w:rsid w:val="00817642"/>
    <w:rsid w:val="00820139"/>
    <w:rsid w:val="00822D15"/>
    <w:rsid w:val="00833539"/>
    <w:rsid w:val="008354BB"/>
    <w:rsid w:val="0084439B"/>
    <w:rsid w:val="00847149"/>
    <w:rsid w:val="008505A1"/>
    <w:rsid w:val="00852DC1"/>
    <w:rsid w:val="008642A4"/>
    <w:rsid w:val="008744CA"/>
    <w:rsid w:val="00877FA6"/>
    <w:rsid w:val="0088378B"/>
    <w:rsid w:val="008877DC"/>
    <w:rsid w:val="00896027"/>
    <w:rsid w:val="008B1F57"/>
    <w:rsid w:val="008B272B"/>
    <w:rsid w:val="008C0715"/>
    <w:rsid w:val="008C213C"/>
    <w:rsid w:val="008C2155"/>
    <w:rsid w:val="008C5D39"/>
    <w:rsid w:val="008E0EF3"/>
    <w:rsid w:val="008E24BB"/>
    <w:rsid w:val="009012B7"/>
    <w:rsid w:val="00901CA4"/>
    <w:rsid w:val="009048CA"/>
    <w:rsid w:val="00911B5A"/>
    <w:rsid w:val="00917085"/>
    <w:rsid w:val="009204A6"/>
    <w:rsid w:val="00925B42"/>
    <w:rsid w:val="00931414"/>
    <w:rsid w:val="009315F6"/>
    <w:rsid w:val="00931B3D"/>
    <w:rsid w:val="00931B44"/>
    <w:rsid w:val="0093729D"/>
    <w:rsid w:val="00937324"/>
    <w:rsid w:val="00941A72"/>
    <w:rsid w:val="00944926"/>
    <w:rsid w:val="00945733"/>
    <w:rsid w:val="00945B6F"/>
    <w:rsid w:val="00947073"/>
    <w:rsid w:val="0094721C"/>
    <w:rsid w:val="00950355"/>
    <w:rsid w:val="00954466"/>
    <w:rsid w:val="009634E4"/>
    <w:rsid w:val="0096677A"/>
    <w:rsid w:val="009725E6"/>
    <w:rsid w:val="009846CC"/>
    <w:rsid w:val="0098711C"/>
    <w:rsid w:val="00996517"/>
    <w:rsid w:val="009C7995"/>
    <w:rsid w:val="009D04F0"/>
    <w:rsid w:val="009D66F7"/>
    <w:rsid w:val="009D6740"/>
    <w:rsid w:val="009E360C"/>
    <w:rsid w:val="009F7BA1"/>
    <w:rsid w:val="00A2619E"/>
    <w:rsid w:val="00A33E64"/>
    <w:rsid w:val="00A4688A"/>
    <w:rsid w:val="00A6781B"/>
    <w:rsid w:val="00A81E20"/>
    <w:rsid w:val="00A81E43"/>
    <w:rsid w:val="00A82FA1"/>
    <w:rsid w:val="00A85122"/>
    <w:rsid w:val="00A8533E"/>
    <w:rsid w:val="00A874E8"/>
    <w:rsid w:val="00A903A5"/>
    <w:rsid w:val="00A92403"/>
    <w:rsid w:val="00AA3E81"/>
    <w:rsid w:val="00AA3F73"/>
    <w:rsid w:val="00AA722A"/>
    <w:rsid w:val="00AB26D3"/>
    <w:rsid w:val="00AB3B4E"/>
    <w:rsid w:val="00AB4028"/>
    <w:rsid w:val="00AC0934"/>
    <w:rsid w:val="00AC598A"/>
    <w:rsid w:val="00AC744E"/>
    <w:rsid w:val="00AE2E6D"/>
    <w:rsid w:val="00AE5C1C"/>
    <w:rsid w:val="00AF3833"/>
    <w:rsid w:val="00AF7DDC"/>
    <w:rsid w:val="00B027D6"/>
    <w:rsid w:val="00B1309B"/>
    <w:rsid w:val="00B4003E"/>
    <w:rsid w:val="00B457FA"/>
    <w:rsid w:val="00B51169"/>
    <w:rsid w:val="00B576D7"/>
    <w:rsid w:val="00B61D4C"/>
    <w:rsid w:val="00B6544D"/>
    <w:rsid w:val="00B67142"/>
    <w:rsid w:val="00B72853"/>
    <w:rsid w:val="00B73E19"/>
    <w:rsid w:val="00B7644A"/>
    <w:rsid w:val="00B80816"/>
    <w:rsid w:val="00B87B92"/>
    <w:rsid w:val="00B965CB"/>
    <w:rsid w:val="00B97E14"/>
    <w:rsid w:val="00BA390E"/>
    <w:rsid w:val="00BA4B85"/>
    <w:rsid w:val="00BD747A"/>
    <w:rsid w:val="00BF32A1"/>
    <w:rsid w:val="00BF4EFA"/>
    <w:rsid w:val="00BF6F9C"/>
    <w:rsid w:val="00C00DAD"/>
    <w:rsid w:val="00C06E6B"/>
    <w:rsid w:val="00C237CC"/>
    <w:rsid w:val="00C30134"/>
    <w:rsid w:val="00C32C40"/>
    <w:rsid w:val="00C42F8D"/>
    <w:rsid w:val="00C53152"/>
    <w:rsid w:val="00C610B8"/>
    <w:rsid w:val="00C61E80"/>
    <w:rsid w:val="00C72105"/>
    <w:rsid w:val="00C72DD5"/>
    <w:rsid w:val="00C739B1"/>
    <w:rsid w:val="00C76AB6"/>
    <w:rsid w:val="00C811E7"/>
    <w:rsid w:val="00C82CCB"/>
    <w:rsid w:val="00C86FEE"/>
    <w:rsid w:val="00C94BD2"/>
    <w:rsid w:val="00CA6B41"/>
    <w:rsid w:val="00CB167E"/>
    <w:rsid w:val="00CB193B"/>
    <w:rsid w:val="00CB3F8B"/>
    <w:rsid w:val="00CB41F2"/>
    <w:rsid w:val="00CB6F2D"/>
    <w:rsid w:val="00CC2398"/>
    <w:rsid w:val="00CC3A1E"/>
    <w:rsid w:val="00CC46CA"/>
    <w:rsid w:val="00CC6CB8"/>
    <w:rsid w:val="00CE4C2D"/>
    <w:rsid w:val="00CE6E26"/>
    <w:rsid w:val="00CF0E2E"/>
    <w:rsid w:val="00CF530D"/>
    <w:rsid w:val="00CF54F3"/>
    <w:rsid w:val="00CF5A8B"/>
    <w:rsid w:val="00D00B1D"/>
    <w:rsid w:val="00D02C06"/>
    <w:rsid w:val="00D02DD3"/>
    <w:rsid w:val="00D1640F"/>
    <w:rsid w:val="00D350D4"/>
    <w:rsid w:val="00D452D4"/>
    <w:rsid w:val="00D4659C"/>
    <w:rsid w:val="00D47F44"/>
    <w:rsid w:val="00D5598F"/>
    <w:rsid w:val="00D63E4D"/>
    <w:rsid w:val="00D76031"/>
    <w:rsid w:val="00D76AE3"/>
    <w:rsid w:val="00D81D27"/>
    <w:rsid w:val="00D93990"/>
    <w:rsid w:val="00D953D3"/>
    <w:rsid w:val="00D97E5A"/>
    <w:rsid w:val="00DA7779"/>
    <w:rsid w:val="00DA78B9"/>
    <w:rsid w:val="00DC0837"/>
    <w:rsid w:val="00DC08E4"/>
    <w:rsid w:val="00DC0CB3"/>
    <w:rsid w:val="00DC277E"/>
    <w:rsid w:val="00DC2DA8"/>
    <w:rsid w:val="00DC512F"/>
    <w:rsid w:val="00DC61F2"/>
    <w:rsid w:val="00DC62D0"/>
    <w:rsid w:val="00DC7408"/>
    <w:rsid w:val="00DD5133"/>
    <w:rsid w:val="00DD75FB"/>
    <w:rsid w:val="00DF4B0C"/>
    <w:rsid w:val="00DF4C2A"/>
    <w:rsid w:val="00E0523A"/>
    <w:rsid w:val="00E058CB"/>
    <w:rsid w:val="00E1791D"/>
    <w:rsid w:val="00E24574"/>
    <w:rsid w:val="00E25871"/>
    <w:rsid w:val="00E310B9"/>
    <w:rsid w:val="00E359CD"/>
    <w:rsid w:val="00E3683F"/>
    <w:rsid w:val="00E50130"/>
    <w:rsid w:val="00E50529"/>
    <w:rsid w:val="00E51686"/>
    <w:rsid w:val="00E54DD8"/>
    <w:rsid w:val="00E55CB7"/>
    <w:rsid w:val="00E6306D"/>
    <w:rsid w:val="00E644C0"/>
    <w:rsid w:val="00E702DE"/>
    <w:rsid w:val="00E71EDC"/>
    <w:rsid w:val="00E83F6F"/>
    <w:rsid w:val="00E86A77"/>
    <w:rsid w:val="00E86C15"/>
    <w:rsid w:val="00EA6DA4"/>
    <w:rsid w:val="00EB0030"/>
    <w:rsid w:val="00EB429A"/>
    <w:rsid w:val="00ED56CF"/>
    <w:rsid w:val="00EE1D81"/>
    <w:rsid w:val="00EF304A"/>
    <w:rsid w:val="00EF71CA"/>
    <w:rsid w:val="00F0091F"/>
    <w:rsid w:val="00F17113"/>
    <w:rsid w:val="00F179C9"/>
    <w:rsid w:val="00F22946"/>
    <w:rsid w:val="00F257F0"/>
    <w:rsid w:val="00F3470F"/>
    <w:rsid w:val="00F41561"/>
    <w:rsid w:val="00F52CAE"/>
    <w:rsid w:val="00F561C3"/>
    <w:rsid w:val="00F56AAF"/>
    <w:rsid w:val="00F605E1"/>
    <w:rsid w:val="00F71727"/>
    <w:rsid w:val="00F737C1"/>
    <w:rsid w:val="00F76C18"/>
    <w:rsid w:val="00F83E3E"/>
    <w:rsid w:val="00F92504"/>
    <w:rsid w:val="00F9293D"/>
    <w:rsid w:val="00F94392"/>
    <w:rsid w:val="00FA0359"/>
    <w:rsid w:val="00FA170E"/>
    <w:rsid w:val="00FA4E59"/>
    <w:rsid w:val="00FA7174"/>
    <w:rsid w:val="00FB5B2C"/>
    <w:rsid w:val="00FB6985"/>
    <w:rsid w:val="00FC4D5D"/>
    <w:rsid w:val="00FD200B"/>
    <w:rsid w:val="00FD3EEC"/>
    <w:rsid w:val="00FE538A"/>
    <w:rsid w:val="00FF0CFE"/>
    <w:rsid w:val="00FF3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9BAA2"/>
  <w15:chartTrackingRefBased/>
  <w15:docId w15:val="{D76A6EF3-FAB6-4AF0-B8ED-E339E497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00FEB"/>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F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0FEB"/>
    <w:rPr>
      <w:sz w:val="18"/>
      <w:szCs w:val="18"/>
    </w:rPr>
  </w:style>
  <w:style w:type="paragraph" w:styleId="a5">
    <w:name w:val="footer"/>
    <w:basedOn w:val="a"/>
    <w:link w:val="a6"/>
    <w:uiPriority w:val="99"/>
    <w:unhideWhenUsed/>
    <w:rsid w:val="00300FEB"/>
    <w:pPr>
      <w:tabs>
        <w:tab w:val="center" w:pos="4153"/>
        <w:tab w:val="right" w:pos="8306"/>
      </w:tabs>
      <w:snapToGrid w:val="0"/>
    </w:pPr>
    <w:rPr>
      <w:sz w:val="18"/>
      <w:szCs w:val="18"/>
    </w:rPr>
  </w:style>
  <w:style w:type="character" w:customStyle="1" w:styleId="a6">
    <w:name w:val="页脚 字符"/>
    <w:basedOn w:val="a0"/>
    <w:link w:val="a5"/>
    <w:uiPriority w:val="99"/>
    <w:rsid w:val="00300FEB"/>
    <w:rPr>
      <w:sz w:val="18"/>
      <w:szCs w:val="18"/>
    </w:rPr>
  </w:style>
  <w:style w:type="paragraph" w:styleId="a7">
    <w:name w:val="Body Text"/>
    <w:basedOn w:val="a"/>
    <w:link w:val="a8"/>
    <w:uiPriority w:val="1"/>
    <w:qFormat/>
    <w:rsid w:val="00300FEB"/>
    <w:pPr>
      <w:ind w:left="1140"/>
    </w:pPr>
    <w:rPr>
      <w:sz w:val="30"/>
      <w:szCs w:val="30"/>
    </w:rPr>
  </w:style>
  <w:style w:type="character" w:customStyle="1" w:styleId="a8">
    <w:name w:val="正文文本 字符"/>
    <w:basedOn w:val="a0"/>
    <w:link w:val="a7"/>
    <w:uiPriority w:val="1"/>
    <w:rsid w:val="00300FEB"/>
    <w:rPr>
      <w:rFonts w:ascii="宋体" w:eastAsia="宋体" w:hAnsi="宋体" w:cs="宋体"/>
      <w:kern w:val="0"/>
      <w:sz w:val="30"/>
      <w:szCs w:val="30"/>
      <w:lang w:val="zh-CN" w:bidi="zh-CN"/>
    </w:rPr>
  </w:style>
  <w:style w:type="paragraph" w:styleId="a9">
    <w:name w:val="List Paragraph"/>
    <w:basedOn w:val="a"/>
    <w:uiPriority w:val="34"/>
    <w:qFormat/>
    <w:rsid w:val="00950355"/>
    <w:pPr>
      <w:autoSpaceDE/>
      <w:autoSpaceDN/>
      <w:ind w:firstLineChars="200" w:firstLine="420"/>
      <w:jc w:val="both"/>
    </w:pPr>
    <w:rPr>
      <w:rFonts w:ascii="Calibri" w:hAnsi="Calibri" w:cs="Times New Roman"/>
      <w:kern w:val="2"/>
      <w:sz w:val="21"/>
      <w:lang w:val="en-US" w:bidi="ar-SA"/>
    </w:rPr>
  </w:style>
  <w:style w:type="character" w:styleId="aa">
    <w:name w:val="annotation reference"/>
    <w:basedOn w:val="a0"/>
    <w:uiPriority w:val="99"/>
    <w:semiHidden/>
    <w:unhideWhenUsed/>
    <w:rsid w:val="00950355"/>
    <w:rPr>
      <w:sz w:val="21"/>
      <w:szCs w:val="21"/>
    </w:rPr>
  </w:style>
  <w:style w:type="paragraph" w:styleId="ab">
    <w:name w:val="annotation text"/>
    <w:basedOn w:val="a"/>
    <w:link w:val="ac"/>
    <w:uiPriority w:val="99"/>
    <w:unhideWhenUsed/>
    <w:rsid w:val="00950355"/>
    <w:pPr>
      <w:autoSpaceDE/>
      <w:autoSpaceDN/>
    </w:pPr>
    <w:rPr>
      <w:rFonts w:ascii="Calibri" w:hAnsi="Calibri" w:cs="Times New Roman"/>
      <w:kern w:val="2"/>
      <w:sz w:val="21"/>
      <w:lang w:val="en-US" w:bidi="ar-SA"/>
    </w:rPr>
  </w:style>
  <w:style w:type="character" w:customStyle="1" w:styleId="ac">
    <w:name w:val="批注文字 字符"/>
    <w:basedOn w:val="a0"/>
    <w:link w:val="ab"/>
    <w:uiPriority w:val="99"/>
    <w:rsid w:val="00950355"/>
    <w:rPr>
      <w:rFonts w:ascii="Calibri" w:eastAsia="宋体" w:hAnsi="Calibri" w:cs="Times New Roman"/>
    </w:rPr>
  </w:style>
  <w:style w:type="paragraph" w:styleId="ad">
    <w:name w:val="Balloon Text"/>
    <w:basedOn w:val="a"/>
    <w:link w:val="ae"/>
    <w:uiPriority w:val="99"/>
    <w:semiHidden/>
    <w:unhideWhenUsed/>
    <w:rsid w:val="00FA0359"/>
    <w:rPr>
      <w:sz w:val="18"/>
      <w:szCs w:val="18"/>
    </w:rPr>
  </w:style>
  <w:style w:type="character" w:customStyle="1" w:styleId="ae">
    <w:name w:val="批注框文本 字符"/>
    <w:basedOn w:val="a0"/>
    <w:link w:val="ad"/>
    <w:uiPriority w:val="99"/>
    <w:semiHidden/>
    <w:rsid w:val="00FA0359"/>
    <w:rPr>
      <w:rFonts w:ascii="宋体" w:eastAsia="宋体" w:hAnsi="宋体" w:cs="宋体"/>
      <w:kern w:val="0"/>
      <w:sz w:val="18"/>
      <w:szCs w:val="18"/>
      <w:lang w:val="zh-CN" w:bidi="zh-CN"/>
    </w:rPr>
  </w:style>
  <w:style w:type="paragraph" w:styleId="af">
    <w:name w:val="annotation subject"/>
    <w:basedOn w:val="ab"/>
    <w:next w:val="ab"/>
    <w:link w:val="af0"/>
    <w:uiPriority w:val="99"/>
    <w:semiHidden/>
    <w:unhideWhenUsed/>
    <w:rsid w:val="000418D4"/>
    <w:pPr>
      <w:autoSpaceDE w:val="0"/>
      <w:autoSpaceDN w:val="0"/>
    </w:pPr>
    <w:rPr>
      <w:rFonts w:ascii="宋体" w:hAnsi="宋体" w:cs="宋体"/>
      <w:b/>
      <w:bCs/>
      <w:kern w:val="0"/>
      <w:sz w:val="22"/>
      <w:lang w:val="zh-CN" w:bidi="zh-CN"/>
    </w:rPr>
  </w:style>
  <w:style w:type="character" w:customStyle="1" w:styleId="af0">
    <w:name w:val="批注主题 字符"/>
    <w:basedOn w:val="ac"/>
    <w:link w:val="af"/>
    <w:uiPriority w:val="99"/>
    <w:semiHidden/>
    <w:rsid w:val="000418D4"/>
    <w:rPr>
      <w:rFonts w:ascii="宋体" w:eastAsia="宋体" w:hAnsi="宋体" w:cs="宋体"/>
      <w:b/>
      <w:bCs/>
      <w:kern w:val="0"/>
      <w:sz w:val="22"/>
      <w:lang w:val="zh-CN" w:bidi="zh-CN"/>
    </w:rPr>
  </w:style>
  <w:style w:type="character" w:styleId="af1">
    <w:name w:val="Hyperlink"/>
    <w:basedOn w:val="a0"/>
    <w:uiPriority w:val="99"/>
    <w:unhideWhenUsed/>
    <w:rsid w:val="00121C20"/>
    <w:rPr>
      <w:color w:val="0563C1" w:themeColor="hyperlink"/>
      <w:u w:val="single"/>
    </w:rPr>
  </w:style>
  <w:style w:type="table" w:styleId="af2">
    <w:name w:val="Table Grid"/>
    <w:basedOn w:val="a1"/>
    <w:uiPriority w:val="39"/>
    <w:rsid w:val="003E0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3E0083"/>
  </w:style>
  <w:style w:type="paragraph" w:styleId="af3">
    <w:name w:val="Revision"/>
    <w:hidden/>
    <w:uiPriority w:val="99"/>
    <w:semiHidden/>
    <w:rsid w:val="00E86C15"/>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8085771">
      <w:bodyDiv w:val="1"/>
      <w:marLeft w:val="0"/>
      <w:marRight w:val="0"/>
      <w:marTop w:val="0"/>
      <w:marBottom w:val="0"/>
      <w:divBdr>
        <w:top w:val="none" w:sz="0" w:space="0" w:color="auto"/>
        <w:left w:val="none" w:sz="0" w:space="0" w:color="auto"/>
        <w:bottom w:val="none" w:sz="0" w:space="0" w:color="auto"/>
        <w:right w:val="none" w:sz="0" w:space="0" w:color="auto"/>
      </w:divBdr>
      <w:divsChild>
        <w:div w:id="1444038961">
          <w:marLeft w:val="0"/>
          <w:marRight w:val="0"/>
          <w:marTop w:val="0"/>
          <w:marBottom w:val="0"/>
          <w:divBdr>
            <w:top w:val="none" w:sz="0" w:space="0" w:color="auto"/>
            <w:left w:val="none" w:sz="0" w:space="0" w:color="auto"/>
            <w:bottom w:val="none" w:sz="0" w:space="0" w:color="auto"/>
            <w:right w:val="none" w:sz="0" w:space="0" w:color="auto"/>
          </w:divBdr>
          <w:divsChild>
            <w:div w:id="1876576290">
              <w:marLeft w:val="0"/>
              <w:marRight w:val="0"/>
              <w:marTop w:val="0"/>
              <w:marBottom w:val="0"/>
              <w:divBdr>
                <w:top w:val="none" w:sz="0" w:space="0" w:color="auto"/>
                <w:left w:val="none" w:sz="0" w:space="0" w:color="auto"/>
                <w:bottom w:val="none" w:sz="0" w:space="0" w:color="auto"/>
                <w:right w:val="none" w:sz="0" w:space="0" w:color="auto"/>
              </w:divBdr>
              <w:divsChild>
                <w:div w:id="63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1364</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dc:creator>
  <cp:keywords/>
  <dc:description/>
  <cp:lastModifiedBy>刘洋</cp:lastModifiedBy>
  <cp:revision>192</cp:revision>
  <cp:lastPrinted>2023-06-30T10:42:00Z</cp:lastPrinted>
  <dcterms:created xsi:type="dcterms:W3CDTF">2022-06-08T08:48:00Z</dcterms:created>
  <dcterms:modified xsi:type="dcterms:W3CDTF">2024-04-28T09:08:00Z</dcterms:modified>
</cp:coreProperties>
</file>