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5F59" w14:textId="77777777" w:rsidR="005337B7" w:rsidRPr="004A1640" w:rsidRDefault="005337B7" w:rsidP="006D2426">
      <w:pPr>
        <w:spacing w:beforeLines="50" w:before="156" w:afterLines="50" w:after="156" w:line="360" w:lineRule="auto"/>
        <w:rPr>
          <w:rFonts w:ascii="华文楷体" w:eastAsia="华文楷体" w:hAnsi="华文楷体"/>
          <w:bCs/>
          <w:iCs/>
          <w:color w:val="000000"/>
          <w:sz w:val="24"/>
        </w:rPr>
      </w:pP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>证券代码：</w:t>
      </w:r>
      <w:r w:rsidR="007A7195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>603056</w:t>
      </w: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</w:t>
      </w: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   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</w:t>
      </w: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证券简称：</w:t>
      </w:r>
      <w:r w:rsidR="007A7195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>德邦股份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</w:t>
      </w:r>
    </w:p>
    <w:p w14:paraId="640FC155" w14:textId="73A06349" w:rsidR="005337B7" w:rsidRPr="004A1640" w:rsidRDefault="0002163D" w:rsidP="007A7CB9">
      <w:pPr>
        <w:spacing w:beforeLines="50" w:before="156" w:afterLines="50" w:after="156" w:line="360" w:lineRule="auto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 w:rsidRPr="004A1640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德邦物流</w:t>
      </w:r>
      <w:r w:rsidR="005337B7" w:rsidRPr="004A1640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4B78B837" w14:textId="2F48A60F" w:rsidR="005337B7" w:rsidRPr="004A1640" w:rsidRDefault="005337B7" w:rsidP="006D2426">
      <w:pPr>
        <w:spacing w:line="360" w:lineRule="auto"/>
        <w:rPr>
          <w:rFonts w:ascii="华文楷体" w:eastAsia="华文楷体" w:hAnsi="华文楷体"/>
          <w:bCs/>
          <w:iCs/>
          <w:color w:val="000000"/>
          <w:sz w:val="24"/>
        </w:rPr>
      </w:pP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                                      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</w:t>
      </w:r>
      <w:r w:rsidRPr="00FF5FD2">
        <w:rPr>
          <w:rFonts w:ascii="华文楷体" w:eastAsia="华文楷体" w:hAnsi="华文楷体" w:hint="eastAsia"/>
          <w:bCs/>
          <w:iCs/>
          <w:color w:val="000000"/>
          <w:sz w:val="24"/>
        </w:rPr>
        <w:t>编号：20</w:t>
      </w:r>
      <w:r w:rsidR="00B502C5" w:rsidRPr="00FF5FD2">
        <w:rPr>
          <w:rFonts w:ascii="华文楷体" w:eastAsia="华文楷体" w:hAnsi="华文楷体"/>
          <w:bCs/>
          <w:iCs/>
          <w:color w:val="000000"/>
          <w:sz w:val="24"/>
        </w:rPr>
        <w:t>2</w:t>
      </w:r>
      <w:r w:rsidR="008D4592">
        <w:rPr>
          <w:rFonts w:ascii="华文楷体" w:eastAsia="华文楷体" w:hAnsi="华文楷体"/>
          <w:bCs/>
          <w:iCs/>
          <w:color w:val="000000"/>
          <w:sz w:val="24"/>
        </w:rPr>
        <w:t>4</w:t>
      </w:r>
      <w:r w:rsidR="00FF5FD2" w:rsidRPr="00FF5FD2">
        <w:rPr>
          <w:rFonts w:ascii="华文楷体" w:eastAsia="华文楷体" w:hAnsi="华文楷体" w:hint="eastAsia"/>
          <w:bCs/>
          <w:iCs/>
          <w:color w:val="000000"/>
          <w:sz w:val="24"/>
        </w:rPr>
        <w:t>-</w:t>
      </w:r>
      <w:r w:rsidRPr="00FF5FD2">
        <w:rPr>
          <w:rFonts w:ascii="华文楷体" w:eastAsia="华文楷体" w:hAnsi="华文楷体" w:hint="eastAsia"/>
          <w:bCs/>
          <w:iCs/>
          <w:color w:val="000000"/>
          <w:sz w:val="24"/>
        </w:rPr>
        <w:t>00</w:t>
      </w:r>
      <w:r w:rsidR="008D4592">
        <w:rPr>
          <w:rFonts w:ascii="华文楷体" w:eastAsia="华文楷体" w:hAnsi="华文楷体"/>
          <w:bCs/>
          <w:iCs/>
          <w:color w:val="000000"/>
          <w:sz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8685"/>
      </w:tblGrid>
      <w:tr w:rsidR="005337B7" w:rsidRPr="004A1640" w14:paraId="3C9CF220" w14:textId="77777777" w:rsidTr="00706987">
        <w:trPr>
          <w:trHeight w:val="2721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E3C1" w14:textId="77777777" w:rsidR="005337B7" w:rsidRPr="004A1640" w:rsidRDefault="005337B7" w:rsidP="006D2426">
            <w:pPr>
              <w:spacing w:line="360" w:lineRule="auto"/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投资者关系活动类别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1C8" w14:textId="02F7EC69" w:rsidR="005337B7" w:rsidRPr="004A1640" w:rsidRDefault="008D4592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 xml:space="preserve">特定对象调研        </w:t>
            </w:r>
            <w:r w:rsidR="004258F3"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>分析师会议</w:t>
            </w:r>
          </w:p>
          <w:p w14:paraId="227B4A70" w14:textId="6BCA2041" w:rsidR="005337B7" w:rsidRPr="004A1640" w:rsidRDefault="005337B7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 xml:space="preserve">媒体采访            </w:t>
            </w:r>
            <w:r w:rsidR="008D4592">
              <w:rPr>
                <w:rFonts w:ascii="华文楷体" w:eastAsia="华文楷体" w:hAnsi="华文楷体" w:hint="eastAsia"/>
                <w:sz w:val="22"/>
              </w:rPr>
              <w:t>√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>业绩说明会</w:t>
            </w:r>
          </w:p>
          <w:p w14:paraId="6EE369ED" w14:textId="77777777" w:rsidR="005337B7" w:rsidRPr="004A1640" w:rsidRDefault="005337B7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 xml:space="preserve">新闻发布会          </w:t>
            </w: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>路演活动</w:t>
            </w:r>
          </w:p>
          <w:p w14:paraId="25638EA1" w14:textId="77777777" w:rsidR="005337B7" w:rsidRPr="004A1640" w:rsidRDefault="009D069C" w:rsidP="006D2426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>现场参观</w:t>
            </w:r>
            <w:r w:rsidR="005337B7"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ab/>
            </w:r>
          </w:p>
          <w:p w14:paraId="77636EC2" w14:textId="24BD40E2" w:rsidR="005337B7" w:rsidRPr="004A1640" w:rsidRDefault="00077B93" w:rsidP="006D2426">
            <w:pPr>
              <w:tabs>
                <w:tab w:val="center" w:pos="3199"/>
              </w:tabs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>其他 （</w:t>
            </w:r>
            <w:r w:rsidR="005337B7" w:rsidRPr="004A1640">
              <w:rPr>
                <w:rFonts w:ascii="华文楷体" w:eastAsia="华文楷体" w:hAnsi="华文楷体" w:hint="eastAsia"/>
                <w:sz w:val="22"/>
                <w:u w:val="single"/>
              </w:rPr>
              <w:t>请文字说明其他活动内容）</w:t>
            </w:r>
          </w:p>
        </w:tc>
      </w:tr>
      <w:tr w:rsidR="002C2F0E" w:rsidRPr="00AC180B" w14:paraId="43478CD5" w14:textId="77777777" w:rsidTr="00706987">
        <w:trPr>
          <w:trHeight w:val="114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3F5" w14:textId="77777777" w:rsid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参与单位名称及</w:t>
            </w:r>
          </w:p>
          <w:p w14:paraId="13961225" w14:textId="77777777" w:rsidR="002C2F0E" w:rsidRP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人员姓名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DDE5" w14:textId="5824B968" w:rsidR="00F0457B" w:rsidRPr="00511221" w:rsidRDefault="00CB0AF3" w:rsidP="00047FD3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FF0000"/>
                <w:sz w:val="22"/>
              </w:rPr>
            </w:pPr>
            <w:r w:rsidRPr="00CB0AF3">
              <w:rPr>
                <w:rFonts w:ascii="华文楷体" w:eastAsia="华文楷体" w:hAnsi="华文楷体"/>
                <w:sz w:val="22"/>
              </w:rPr>
              <w:t>中金公司、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国海证券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西部证券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海富通基金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苏州云阳宜品投资管理有限公司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华福证券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广发证券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光大保德信基金管理有限公司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中银国际证券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/>
                <w:sz w:val="22"/>
              </w:rPr>
              <w:t>Cinda Sinorock Global Portfolio Limited Partnership II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047FD3" w:rsidRPr="00047FD3">
              <w:rPr>
                <w:rFonts w:ascii="华文楷体" w:eastAsia="华文楷体" w:hAnsi="华文楷体" w:hint="eastAsia"/>
                <w:sz w:val="22"/>
              </w:rPr>
              <w:t>安信证券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047FD3" w:rsidRPr="00047FD3">
              <w:rPr>
                <w:rFonts w:ascii="华文楷体" w:eastAsia="华文楷体" w:hAnsi="华文楷体" w:hint="eastAsia"/>
                <w:sz w:val="22"/>
              </w:rPr>
              <w:t>招商银行股份有限公司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、</w:t>
            </w:r>
            <w:r w:rsidR="008D4592" w:rsidRPr="008D4592">
              <w:rPr>
                <w:rFonts w:ascii="华文楷体" w:eastAsia="华文楷体" w:hAnsi="华文楷体" w:hint="eastAsia"/>
                <w:sz w:val="22"/>
              </w:rPr>
              <w:t>申万宏源证券研究所</w:t>
            </w:r>
            <w:r w:rsidR="008D4592">
              <w:rPr>
                <w:rFonts w:ascii="华文楷体" w:eastAsia="华文楷体" w:hAnsi="华文楷体" w:hint="eastAsia"/>
                <w:sz w:val="22"/>
              </w:rPr>
              <w:t>等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7</w:t>
            </w:r>
            <w:r w:rsidR="00047FD3">
              <w:rPr>
                <w:rFonts w:ascii="华文楷体" w:eastAsia="华文楷体" w:hAnsi="华文楷体"/>
                <w:sz w:val="22"/>
              </w:rPr>
              <w:t>6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家机构</w:t>
            </w:r>
            <w:r w:rsidR="00047FD3" w:rsidRPr="00CB0AF3">
              <w:rPr>
                <w:rFonts w:ascii="华文楷体" w:eastAsia="华文楷体" w:hAnsi="华文楷体"/>
                <w:sz w:val="22"/>
              </w:rPr>
              <w:t>共计</w:t>
            </w:r>
            <w:r w:rsidR="00047FD3">
              <w:rPr>
                <w:rFonts w:ascii="华文楷体" w:eastAsia="华文楷体" w:hAnsi="华文楷体"/>
                <w:sz w:val="22"/>
              </w:rPr>
              <w:t>91</w:t>
            </w:r>
            <w:r w:rsidRPr="00CB0AF3">
              <w:rPr>
                <w:rFonts w:ascii="华文楷体" w:eastAsia="华文楷体" w:hAnsi="华文楷体"/>
                <w:sz w:val="22"/>
              </w:rPr>
              <w:t>人。</w:t>
            </w:r>
          </w:p>
        </w:tc>
      </w:tr>
      <w:tr w:rsidR="002C2F0E" w:rsidRPr="004A1640" w14:paraId="1C0946A8" w14:textId="77777777" w:rsidTr="00706987">
        <w:trPr>
          <w:trHeight w:val="646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9DEC" w14:textId="77777777" w:rsidR="002C2F0E" w:rsidRP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时间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8B5" w14:textId="3B5C4C3B" w:rsidR="002C2F0E" w:rsidRPr="004A1640" w:rsidRDefault="0098588D" w:rsidP="00047FD3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20</w:t>
            </w:r>
            <w:r w:rsidR="00511221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2</w:t>
            </w:r>
            <w:r w:rsidR="00047FD3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4</w:t>
            </w: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年</w:t>
            </w:r>
            <w:r w:rsidR="00047FD3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4</w:t>
            </w: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月</w:t>
            </w:r>
            <w:r w:rsidR="00047FD3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28</w:t>
            </w: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日</w:t>
            </w:r>
            <w:r w:rsidR="00047FD3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（周日</w:t>
            </w:r>
            <w:r w:rsidR="002B0052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）</w:t>
            </w:r>
          </w:p>
        </w:tc>
      </w:tr>
      <w:tr w:rsidR="002C2F0E" w:rsidRPr="0098588D" w14:paraId="28DCD5F7" w14:textId="77777777" w:rsidTr="00706987">
        <w:trPr>
          <w:trHeight w:val="667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58C6" w14:textId="77777777" w:rsidR="002C2F0E" w:rsidRP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地点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12F" w14:textId="14FE5294" w:rsidR="002C2F0E" w:rsidRPr="004A1640" w:rsidRDefault="002B0052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电话会议</w:t>
            </w:r>
          </w:p>
        </w:tc>
      </w:tr>
      <w:tr w:rsidR="004258F3" w:rsidRPr="005D27B0" w14:paraId="5BF1282D" w14:textId="77777777" w:rsidTr="00D27938">
        <w:trPr>
          <w:trHeight w:val="95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3FEB" w14:textId="77777777" w:rsidR="00CB6095" w:rsidRPr="00CB6095" w:rsidRDefault="004258F3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上市公司</w:t>
            </w:r>
          </w:p>
          <w:p w14:paraId="6CE5F661" w14:textId="77777777" w:rsidR="004258F3" w:rsidRPr="00CB6095" w:rsidRDefault="004258F3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接待人员姓名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98A" w14:textId="78F0CA8F" w:rsidR="004258F3" w:rsidRPr="00511221" w:rsidRDefault="00D843FE" w:rsidP="00FE0717">
            <w:pPr>
              <w:spacing w:line="360" w:lineRule="auto"/>
              <w:rPr>
                <w:rFonts w:ascii="华文楷体" w:eastAsia="华文楷体" w:hAnsi="华文楷体"/>
                <w:bCs/>
                <w:iCs/>
                <w:szCs w:val="21"/>
              </w:rPr>
            </w:pPr>
            <w:r w:rsidRPr="00511221">
              <w:rPr>
                <w:rFonts w:ascii="华文楷体" w:eastAsia="华文楷体" w:hAnsi="华文楷体" w:hint="eastAsia"/>
                <w:bCs/>
                <w:iCs/>
                <w:sz w:val="22"/>
              </w:rPr>
              <w:t>董事会秘书</w:t>
            </w:r>
            <w:r w:rsidR="00511221" w:rsidRPr="00511221">
              <w:rPr>
                <w:rFonts w:ascii="华文楷体" w:eastAsia="华文楷体" w:hAnsi="华文楷体" w:hint="eastAsia"/>
                <w:bCs/>
                <w:iCs/>
                <w:sz w:val="22"/>
              </w:rPr>
              <w:t>黄金龙</w:t>
            </w:r>
            <w:r w:rsidRPr="00511221">
              <w:rPr>
                <w:rFonts w:ascii="华文楷体" w:eastAsia="华文楷体" w:hAnsi="华文楷体" w:hint="eastAsia"/>
                <w:bCs/>
                <w:iCs/>
                <w:sz w:val="22"/>
              </w:rPr>
              <w:t>先生</w:t>
            </w:r>
            <w:r w:rsidR="00047FD3">
              <w:rPr>
                <w:rFonts w:ascii="华文楷体" w:eastAsia="华文楷体" w:hAnsi="华文楷体" w:hint="eastAsia"/>
                <w:bCs/>
                <w:iCs/>
                <w:sz w:val="22"/>
              </w:rPr>
              <w:t>、证券事务代表韩爽女士</w:t>
            </w:r>
          </w:p>
        </w:tc>
      </w:tr>
      <w:tr w:rsidR="003325A2" w:rsidRPr="002E32CE" w14:paraId="29B76BAA" w14:textId="77777777" w:rsidTr="00706987">
        <w:trPr>
          <w:trHeight w:val="565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2668" w14:textId="77777777" w:rsidR="003325A2" w:rsidRPr="004A1640" w:rsidRDefault="003325A2" w:rsidP="006D2426">
            <w:pPr>
              <w:spacing w:line="360" w:lineRule="auto"/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投资者关系活动主要内容介绍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85F" w14:textId="77777777" w:rsidR="00DE115B" w:rsidRPr="00E2386E" w:rsidRDefault="00DE115B" w:rsidP="00BE5AE7">
            <w:pPr>
              <w:pStyle w:val="a7"/>
              <w:numPr>
                <w:ilvl w:val="0"/>
                <w:numId w:val="23"/>
              </w:numPr>
              <w:spacing w:line="400" w:lineRule="exact"/>
              <w:ind w:firstLineChars="0"/>
              <w:rPr>
                <w:rFonts w:ascii="华文楷体" w:eastAsia="华文楷体" w:hAnsi="华文楷体"/>
                <w:b/>
                <w:vanish/>
                <w:szCs w:val="21"/>
              </w:rPr>
            </w:pPr>
          </w:p>
          <w:p w14:paraId="772C977C" w14:textId="77777777" w:rsidR="00DE115B" w:rsidRPr="00E2386E" w:rsidRDefault="00DE115B" w:rsidP="00BE5AE7">
            <w:pPr>
              <w:pStyle w:val="a7"/>
              <w:numPr>
                <w:ilvl w:val="0"/>
                <w:numId w:val="23"/>
              </w:numPr>
              <w:spacing w:line="400" w:lineRule="exact"/>
              <w:ind w:firstLineChars="0"/>
              <w:rPr>
                <w:rFonts w:ascii="华文楷体" w:eastAsia="华文楷体" w:hAnsi="华文楷体"/>
                <w:b/>
                <w:vanish/>
                <w:szCs w:val="21"/>
              </w:rPr>
            </w:pPr>
          </w:p>
          <w:p w14:paraId="3E828657" w14:textId="0EF1617D" w:rsidR="00A9733E" w:rsidRDefault="003774DB" w:rsidP="00BE5AE7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第</w:t>
            </w:r>
            <w:r w:rsidRPr="00A9733E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一</w:t>
            </w: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环节</w:t>
            </w:r>
            <w:r w:rsidRPr="00A9733E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6669B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202</w:t>
            </w:r>
            <w:r w:rsidR="006669B6">
              <w:rPr>
                <w:rFonts w:ascii="华文楷体" w:eastAsia="华文楷体" w:hAnsi="华文楷体"/>
                <w:b/>
                <w:sz w:val="22"/>
                <w:szCs w:val="22"/>
              </w:rPr>
              <w:t>3</w:t>
            </w:r>
            <w:r w:rsidR="00FE0717" w:rsidRPr="00FE0717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年及</w:t>
            </w:r>
            <w:r w:rsidR="006669B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202</w:t>
            </w:r>
            <w:r w:rsidR="006669B6">
              <w:rPr>
                <w:rFonts w:ascii="华文楷体" w:eastAsia="华文楷体" w:hAnsi="华文楷体"/>
                <w:b/>
                <w:sz w:val="22"/>
                <w:szCs w:val="22"/>
              </w:rPr>
              <w:t>4</w:t>
            </w:r>
            <w:r w:rsidR="00FE0717" w:rsidRPr="00FE0717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年一季度的业绩</w:t>
            </w:r>
            <w:r w:rsidR="00635F2B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说明</w:t>
            </w:r>
          </w:p>
          <w:p w14:paraId="5D359EC6" w14:textId="540AFCE8" w:rsidR="006669B6" w:rsidRDefault="00C52A0D" w:rsidP="006669B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（一）</w:t>
            </w:r>
            <w:r w:rsidR="006669B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2</w:t>
            </w:r>
            <w:r w:rsidR="006669B6">
              <w:rPr>
                <w:rFonts w:ascii="华文楷体" w:eastAsia="华文楷体" w:hAnsi="华文楷体"/>
                <w:b/>
                <w:sz w:val="22"/>
                <w:szCs w:val="22"/>
              </w:rPr>
              <w:t>023</w:t>
            </w:r>
            <w:r w:rsidR="006669B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年年度业绩情况</w:t>
            </w:r>
          </w:p>
          <w:p w14:paraId="657644DD" w14:textId="5BF82A3B" w:rsidR="006669B6" w:rsidRPr="006669B6" w:rsidRDefault="00C52A0D" w:rsidP="006669B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1、</w:t>
            </w:r>
            <w:r w:rsidR="006669B6" w:rsidRPr="006669B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营业收入</w:t>
            </w:r>
            <w:r w:rsidR="008423DA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8423DA" w:rsidRPr="008423DA">
              <w:rPr>
                <w:rFonts w:ascii="华文楷体" w:eastAsia="华文楷体" w:hAnsi="华文楷体" w:hint="eastAsia"/>
                <w:sz w:val="22"/>
                <w:szCs w:val="22"/>
              </w:rPr>
              <w:t>公司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2023年</w:t>
            </w:r>
            <w:r w:rsidR="008423DA">
              <w:rPr>
                <w:rFonts w:ascii="华文楷体" w:eastAsia="华文楷体" w:hAnsi="华文楷体" w:hint="eastAsia"/>
                <w:sz w:val="22"/>
                <w:szCs w:val="22"/>
              </w:rPr>
              <w:t>营业收入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362.79亿，同比增长15.6%</w:t>
            </w:r>
            <w:r w:rsidR="008423DA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其中，2023年四季度总收入108.36亿，同比增长26.4%</w:t>
            </w:r>
            <w:r w:rsidR="008423DA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全年</w:t>
            </w:r>
            <w:r w:rsidR="008423DA">
              <w:rPr>
                <w:rFonts w:ascii="华文楷体" w:eastAsia="华文楷体" w:hAnsi="华文楷体" w:hint="eastAsia"/>
                <w:sz w:val="22"/>
                <w:szCs w:val="22"/>
              </w:rPr>
              <w:t>来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看</w:t>
            </w:r>
            <w:r w:rsidR="008423DA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公司收入同比增速逐季度稳步提高。2023</w:t>
            </w:r>
            <w:r w:rsidR="008423DA">
              <w:rPr>
                <w:rFonts w:ascii="华文楷体" w:eastAsia="华文楷体" w:hAnsi="华文楷体" w:hint="eastAsia"/>
                <w:sz w:val="22"/>
                <w:szCs w:val="22"/>
              </w:rPr>
              <w:t>年公司整体收入规模增速相较之前有明显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提升，一方面，公司在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2</w:t>
            </w:r>
            <w:r w:rsidR="0051150A">
              <w:rPr>
                <w:rFonts w:ascii="华文楷体" w:eastAsia="华文楷体" w:hAnsi="华文楷体"/>
                <w:sz w:val="22"/>
                <w:szCs w:val="22"/>
              </w:rPr>
              <w:t>3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年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8月份全面接管了京东物流快运业务中转、运输环节，这部分业务在2023年给公司带来</w:t>
            </w:r>
            <w:r w:rsidR="008D4A6D">
              <w:rPr>
                <w:rFonts w:ascii="华文楷体" w:eastAsia="华文楷体" w:hAnsi="华文楷体" w:hint="eastAsia"/>
                <w:sz w:val="22"/>
                <w:szCs w:val="22"/>
              </w:rPr>
              <w:t>较大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的</w:t>
            </w:r>
            <w:r w:rsidR="008D4A6D">
              <w:rPr>
                <w:rFonts w:ascii="华文楷体" w:eastAsia="华文楷体" w:hAnsi="华文楷体" w:hint="eastAsia"/>
                <w:sz w:val="22"/>
                <w:szCs w:val="22"/>
              </w:rPr>
              <w:t>增量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；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另一方面，公司</w:t>
            </w:r>
            <w:r w:rsidR="0051150A" w:rsidRPr="006669B6">
              <w:rPr>
                <w:rFonts w:ascii="华文楷体" w:eastAsia="华文楷体" w:hAnsi="华文楷体" w:hint="eastAsia"/>
                <w:sz w:val="22"/>
                <w:szCs w:val="22"/>
              </w:rPr>
              <w:t>2023年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主动增加资源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投入，提升产品核心竞争力，例如：全程履约率提升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约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15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个百分点、破损率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同比下降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约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16%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，客户投诉量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同比下降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约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11%</w:t>
            </w:r>
            <w:r w:rsidR="008D4A6D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51150A">
              <w:rPr>
                <w:rFonts w:ascii="华文楷体" w:eastAsia="华文楷体" w:hAnsi="华文楷体" w:hint="eastAsia"/>
                <w:sz w:val="22"/>
                <w:szCs w:val="22"/>
              </w:rPr>
              <w:t>同时，公司也主动尝试和探索新的运营模式，通过内外部资源整合探索新市场，最终新、老产品的共同发力带动公司收入</w:t>
            </w:r>
            <w:r w:rsidR="006669B6" w:rsidRPr="006669B6">
              <w:rPr>
                <w:rFonts w:ascii="华文楷体" w:eastAsia="华文楷体" w:hAnsi="华文楷体" w:hint="eastAsia"/>
                <w:sz w:val="22"/>
                <w:szCs w:val="22"/>
              </w:rPr>
              <w:t>实现较平稳的增长。</w:t>
            </w:r>
          </w:p>
          <w:p w14:paraId="5316FEB4" w14:textId="45900BFB" w:rsidR="00DA103D" w:rsidRDefault="00C52A0D" w:rsidP="00DA103D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2、</w:t>
            </w:r>
            <w:r w:rsidR="00096523" w:rsidRPr="00096523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经营业绩：</w:t>
            </w:r>
            <w:r w:rsidR="00096523" w:rsidRPr="00096523">
              <w:rPr>
                <w:rFonts w:ascii="华文楷体" w:eastAsia="华文楷体" w:hAnsi="华文楷体" w:hint="eastAsia"/>
                <w:sz w:val="22"/>
                <w:szCs w:val="22"/>
              </w:rPr>
              <w:t>公司2023年</w:t>
            </w:r>
            <w:r w:rsidR="00096523">
              <w:rPr>
                <w:rFonts w:ascii="华文楷体" w:eastAsia="华文楷体" w:hAnsi="华文楷体" w:hint="eastAsia"/>
                <w:sz w:val="22"/>
                <w:szCs w:val="22"/>
              </w:rPr>
              <w:t>归母净利润</w:t>
            </w:r>
            <w:r w:rsidR="00096523" w:rsidRPr="00096523">
              <w:rPr>
                <w:rFonts w:ascii="华文楷体" w:eastAsia="华文楷体" w:hAnsi="华文楷体" w:hint="eastAsia"/>
                <w:sz w:val="22"/>
                <w:szCs w:val="22"/>
              </w:rPr>
              <w:t>7.46亿，同比增长13.3%</w:t>
            </w:r>
            <w:r w:rsidR="00096523">
              <w:rPr>
                <w:rFonts w:ascii="华文楷体" w:eastAsia="华文楷体" w:hAnsi="华文楷体" w:hint="eastAsia"/>
                <w:sz w:val="22"/>
                <w:szCs w:val="22"/>
              </w:rPr>
              <w:t>，扣非归母净利润</w:t>
            </w:r>
            <w:r w:rsidR="00096523" w:rsidRPr="00096523">
              <w:rPr>
                <w:rFonts w:ascii="华文楷体" w:eastAsia="华文楷体" w:hAnsi="华文楷体" w:hint="eastAsia"/>
                <w:sz w:val="22"/>
                <w:szCs w:val="22"/>
              </w:rPr>
              <w:t>5.68亿，同比增长76.9%，</w:t>
            </w:r>
            <w:r w:rsidR="00096523">
              <w:rPr>
                <w:rFonts w:ascii="华文楷体" w:eastAsia="华文楷体" w:hAnsi="华文楷体" w:hint="eastAsia"/>
                <w:sz w:val="22"/>
                <w:szCs w:val="22"/>
              </w:rPr>
              <w:t>后者</w:t>
            </w:r>
            <w:r w:rsidR="00096523" w:rsidRPr="00096523">
              <w:rPr>
                <w:rFonts w:ascii="华文楷体" w:eastAsia="华文楷体" w:hAnsi="华文楷体" w:hint="eastAsia"/>
                <w:sz w:val="22"/>
                <w:szCs w:val="22"/>
              </w:rPr>
              <w:t>增幅显著高于</w:t>
            </w:r>
            <w:r w:rsidR="00096523">
              <w:rPr>
                <w:rFonts w:ascii="华文楷体" w:eastAsia="华文楷体" w:hAnsi="华文楷体" w:hint="eastAsia"/>
                <w:sz w:val="22"/>
                <w:szCs w:val="22"/>
              </w:rPr>
              <w:t>前者</w:t>
            </w:r>
            <w:r w:rsidR="00DA103D">
              <w:rPr>
                <w:rFonts w:ascii="华文楷体" w:eastAsia="华文楷体" w:hAnsi="华文楷体" w:hint="eastAsia"/>
                <w:sz w:val="22"/>
                <w:szCs w:val="22"/>
              </w:rPr>
              <w:t>，主要原因为公司历史对外投资的金融资产</w:t>
            </w:r>
            <w:r w:rsidR="00096523" w:rsidRPr="00096523">
              <w:rPr>
                <w:rFonts w:ascii="华文楷体" w:eastAsia="华文楷体" w:hAnsi="华文楷体" w:hint="eastAsia"/>
                <w:sz w:val="22"/>
                <w:szCs w:val="22"/>
              </w:rPr>
              <w:lastRenderedPageBreak/>
              <w:t>在2023年公允价值变动造成的影响</w:t>
            </w:r>
            <w:r w:rsidR="00DA103D">
              <w:rPr>
                <w:rFonts w:ascii="华文楷体" w:eastAsia="华文楷体" w:hAnsi="华文楷体" w:hint="eastAsia"/>
                <w:sz w:val="22"/>
                <w:szCs w:val="22"/>
              </w:rPr>
              <w:t>，2</w:t>
            </w:r>
            <w:r w:rsidR="00096523" w:rsidRPr="00096523">
              <w:rPr>
                <w:rFonts w:ascii="华文楷体" w:eastAsia="华文楷体" w:hAnsi="华文楷体" w:hint="eastAsia"/>
                <w:sz w:val="22"/>
                <w:szCs w:val="22"/>
              </w:rPr>
              <w:t>023年确认了-0.95亿的公允价值变动损益，对净利润直接影响的金额为-0.93亿，剔除此影响后，归母净利润约8.4亿，同口径下同比增长25.8%。</w:t>
            </w:r>
          </w:p>
          <w:p w14:paraId="5BB2D49D" w14:textId="2F510B0D" w:rsidR="00DE23A8" w:rsidRPr="00DE23A8" w:rsidRDefault="00DE23A8" w:rsidP="00DE23A8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DE23A8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3、现金流：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首先，公司2023年经营活动产生的现金流入净额是32.67亿，同比下降9%，主要是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由于德邦与京东物流网络融合业务对账及付款周期影响，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结合24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年一季度情况滚动起来看，公司经营性现金流还是稳中向好的。其次，公司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2023年投资活动现金流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与去年基本一致。其中，以资本化支出为例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，2023年支出为13.2亿，公司从2022年开始以维稳性支出为主，通</w:t>
            </w:r>
            <w:r w:rsidR="003D059E">
              <w:rPr>
                <w:rFonts w:ascii="华文楷体" w:eastAsia="华文楷体" w:hAnsi="华文楷体" w:hint="eastAsia"/>
                <w:sz w:val="22"/>
                <w:szCs w:val="22"/>
              </w:rPr>
              <w:t>过资产合理配置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提升资产利用效能。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最后，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公司2023年筹资活动现金流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净流出同比大幅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减少，主要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由于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2022年公司经营改善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及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减持东航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物流的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现金流贡献，公司减少了对外负债的规模，2023年短期借款整体保持平稳。</w:t>
            </w:r>
            <w:r w:rsidR="00DC7AB8">
              <w:rPr>
                <w:rFonts w:ascii="华文楷体" w:eastAsia="华文楷体" w:hAnsi="华文楷体" w:hint="eastAsia"/>
                <w:sz w:val="22"/>
                <w:szCs w:val="22"/>
              </w:rPr>
              <w:t>公司</w:t>
            </w:r>
            <w:r w:rsidRPr="00DE23A8">
              <w:rPr>
                <w:rFonts w:ascii="华文楷体" w:eastAsia="华文楷体" w:hAnsi="华文楷体" w:hint="eastAsia"/>
                <w:sz w:val="22"/>
                <w:szCs w:val="22"/>
              </w:rPr>
              <w:t>2023年底货币资金28.5亿，相比年初增加约14亿。</w:t>
            </w:r>
          </w:p>
          <w:p w14:paraId="42287ABE" w14:textId="4D12B9C2" w:rsidR="00DE23A8" w:rsidRDefault="005C1191" w:rsidP="00DE23A8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5C1191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总结：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2023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年，公司整体经营情况持续保持着稳步向好的态势。收入端，内生收入平稳增长，叠加与京东物流及京东集团其他业务板块资源整合、业务合作的加速推进，实现收入规模的快速提升。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盈利端，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虽然分季度看有一定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波动，主要还是受</w:t>
            </w:r>
            <w:r w:rsidR="008D4A6D">
              <w:rPr>
                <w:rFonts w:ascii="华文楷体" w:eastAsia="华文楷体" w:hAnsi="华文楷体" w:hint="eastAsia"/>
                <w:sz w:val="22"/>
                <w:szCs w:val="22"/>
              </w:rPr>
              <w:t>阶段性经营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策略的影响，但随着</w:t>
            </w:r>
            <w:r w:rsidR="008D4A6D">
              <w:rPr>
                <w:rFonts w:ascii="华文楷体" w:eastAsia="华文楷体" w:hAnsi="华文楷体" w:hint="eastAsia"/>
                <w:sz w:val="22"/>
                <w:szCs w:val="22"/>
              </w:rPr>
              <w:t>公司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敏捷</w:t>
            </w:r>
            <w:r w:rsidR="008D4A6D">
              <w:rPr>
                <w:rFonts w:ascii="华文楷体" w:eastAsia="华文楷体" w:hAnsi="华文楷体" w:hint="eastAsia"/>
                <w:sz w:val="22"/>
                <w:szCs w:val="22"/>
              </w:rPr>
              <w:t>的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调整及高效</w:t>
            </w:r>
            <w:r w:rsidR="008D4A6D">
              <w:rPr>
                <w:rFonts w:ascii="华文楷体" w:eastAsia="华文楷体" w:hAnsi="华文楷体" w:hint="eastAsia"/>
                <w:sz w:val="22"/>
                <w:szCs w:val="22"/>
              </w:rPr>
              <w:t>的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执行，最终</w:t>
            </w:r>
            <w:r w:rsidR="00A74A9B" w:rsidRPr="00DE23A8">
              <w:rPr>
                <w:rFonts w:ascii="华文楷体" w:eastAsia="华文楷体" w:hAnsi="华文楷体" w:hint="eastAsia"/>
                <w:sz w:val="22"/>
                <w:szCs w:val="22"/>
              </w:rPr>
              <w:t>全年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还是完成了预期目标。除了收入、盈利方面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，公司在客户体验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如</w:t>
            </w:r>
            <w:r w:rsidR="00A74A9B" w:rsidRPr="00DE23A8">
              <w:rPr>
                <w:rFonts w:ascii="华文楷体" w:eastAsia="华文楷体" w:hAnsi="华文楷体" w:hint="eastAsia"/>
                <w:sz w:val="22"/>
                <w:szCs w:val="22"/>
              </w:rPr>
              <w:t>全程履约率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、</w:t>
            </w:r>
            <w:r w:rsidR="00A74A9B" w:rsidRPr="00DE23A8">
              <w:rPr>
                <w:rFonts w:ascii="华文楷体" w:eastAsia="华文楷体" w:hAnsi="华文楷体" w:hint="eastAsia"/>
                <w:sz w:val="22"/>
                <w:szCs w:val="22"/>
              </w:rPr>
              <w:t>货物破损率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及</w:t>
            </w:r>
            <w:r w:rsidR="00A74A9B" w:rsidRPr="00DE23A8">
              <w:rPr>
                <w:rFonts w:ascii="华文楷体" w:eastAsia="华文楷体" w:hAnsi="华文楷体" w:hint="eastAsia"/>
                <w:sz w:val="22"/>
                <w:szCs w:val="22"/>
              </w:rPr>
              <w:t>客户投诉量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上也在持续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改善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A74A9B">
              <w:rPr>
                <w:rFonts w:ascii="华文楷体" w:eastAsia="华文楷体" w:hAnsi="华文楷体" w:hint="eastAsia"/>
                <w:sz w:val="22"/>
                <w:szCs w:val="22"/>
              </w:rPr>
              <w:t>另外，综合指数排名也持续提升，</w:t>
            </w:r>
            <w:r w:rsidR="00DE23A8" w:rsidRPr="00DE23A8">
              <w:rPr>
                <w:rFonts w:ascii="华文楷体" w:eastAsia="华文楷体" w:hAnsi="华文楷体" w:hint="eastAsia"/>
                <w:sz w:val="22"/>
                <w:szCs w:val="22"/>
              </w:rPr>
              <w:t>菜鸟指数排名从第2提升至第1，抖音指数排名提升了4名。</w:t>
            </w:r>
          </w:p>
          <w:p w14:paraId="54BACB7A" w14:textId="1D1CDFD0" w:rsidR="006669B6" w:rsidRPr="00322353" w:rsidRDefault="006669B6" w:rsidP="00BE5AE7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</w:p>
          <w:p w14:paraId="3F6CBF8C" w14:textId="5EAF123E" w:rsidR="00BB1628" w:rsidRDefault="00BB1628" w:rsidP="00BB1628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（二）2</w:t>
            </w:r>
            <w:r>
              <w:rPr>
                <w:rFonts w:ascii="华文楷体" w:eastAsia="华文楷体" w:hAnsi="华文楷体"/>
                <w:b/>
                <w:sz w:val="22"/>
                <w:szCs w:val="22"/>
              </w:rPr>
              <w:t>024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年一季度业绩情况</w:t>
            </w:r>
          </w:p>
          <w:p w14:paraId="77C2F5E4" w14:textId="0BAEE035" w:rsidR="006669B6" w:rsidRDefault="00070CFA" w:rsidP="00070CFA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070CFA">
              <w:rPr>
                <w:rFonts w:ascii="华文楷体" w:eastAsia="华文楷体" w:hAnsi="华文楷体"/>
                <w:b/>
                <w:sz w:val="22"/>
                <w:szCs w:val="22"/>
              </w:rPr>
              <w:t>1</w:t>
            </w:r>
            <w:r w:rsidRPr="00070CFA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、营业收入：</w:t>
            </w:r>
            <w:r w:rsidRPr="00070CFA">
              <w:rPr>
                <w:rFonts w:ascii="华文楷体" w:eastAsia="华文楷体" w:hAnsi="华文楷体" w:hint="eastAsia"/>
                <w:sz w:val="22"/>
                <w:szCs w:val="22"/>
              </w:rPr>
              <w:t>公司24年一季度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营业收入</w:t>
            </w:r>
            <w:r w:rsidRPr="00070CFA">
              <w:rPr>
                <w:rFonts w:ascii="华文楷体" w:eastAsia="华文楷体" w:hAnsi="华文楷体" w:hint="eastAsia"/>
                <w:sz w:val="22"/>
                <w:szCs w:val="22"/>
              </w:rPr>
              <w:t>92.95亿，同比增长25.3%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。其中，</w:t>
            </w:r>
            <w:r w:rsidRPr="00070CFA">
              <w:rPr>
                <w:rFonts w:ascii="华文楷体" w:eastAsia="华文楷体" w:hAnsi="华文楷体" w:hint="eastAsia"/>
                <w:sz w:val="22"/>
                <w:szCs w:val="22"/>
              </w:rPr>
              <w:t>快运收入83.73亿，同比增长29.6%，占总收入比为90.1%。</w:t>
            </w:r>
          </w:p>
          <w:p w14:paraId="05646701" w14:textId="4EDC010F" w:rsidR="002F7EA6" w:rsidRDefault="002F7EA6" w:rsidP="002F7EA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2F7EA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2、经营业绩：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公司2024年一季度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归母净利润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0.93亿，同比增长27.7%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，扣非归母净利润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0.16亿，同比增长254%。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由于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一季度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春节假期的影响，加上</w:t>
            </w:r>
            <w:r w:rsidR="009B2B3F">
              <w:rPr>
                <w:rFonts w:ascii="华文楷体" w:eastAsia="华文楷体" w:hAnsi="华文楷体" w:hint="eastAsia"/>
                <w:sz w:val="22"/>
                <w:szCs w:val="22"/>
              </w:rPr>
              <w:t>公司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收入结构中toB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业务占比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较大，所以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历年来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一季度亏损的年份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居多。但近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两年公司在管理上更精细化，资源的动态调节也更敏捷，</w:t>
            </w:r>
            <w:r w:rsidR="009B2B3F">
              <w:rPr>
                <w:rFonts w:ascii="华文楷体" w:eastAsia="华文楷体" w:hAnsi="华文楷体"/>
                <w:sz w:val="22"/>
                <w:szCs w:val="22"/>
              </w:rPr>
              <w:t>20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15年至今首次连续2年实现一季度盈利，并同比提升。</w:t>
            </w:r>
          </w:p>
          <w:p w14:paraId="44D8DB83" w14:textId="2CB8128C" w:rsidR="002F7EA6" w:rsidRPr="002F7EA6" w:rsidRDefault="002F7EA6" w:rsidP="002F7EA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一季度成本、费用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具体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说明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如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下：</w:t>
            </w:r>
          </w:p>
          <w:p w14:paraId="4E6A1871" w14:textId="079B4CD1" w:rsidR="002F7EA6" w:rsidRPr="002F7EA6" w:rsidRDefault="002F7EA6" w:rsidP="002F7EA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（1）人工成本，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剔除网络融合项目影响后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，随着收派、中转环节等人效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的持续提升，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人工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成本占收入比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保持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稳步下降趋势</w:t>
            </w:r>
            <w:r w:rsidR="00B31BBA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</w:p>
          <w:p w14:paraId="57388E73" w14:textId="431D0E0E" w:rsidR="002F7EA6" w:rsidRPr="002F7EA6" w:rsidRDefault="002F7EA6" w:rsidP="002F7EA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（2）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运输成本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占收入比同比有较大</w:t>
            </w:r>
            <w:r w:rsidR="00E559FF">
              <w:rPr>
                <w:rFonts w:ascii="华文楷体" w:eastAsia="华文楷体" w:hAnsi="华文楷体" w:hint="eastAsia"/>
                <w:sz w:val="22"/>
                <w:szCs w:val="22"/>
              </w:rPr>
              <w:t>幅度上升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，但环比23年Q4比较平稳</w:t>
            </w:r>
            <w:r w:rsidR="00E559FF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同比</w:t>
            </w:r>
            <w:r w:rsidR="00E559FF">
              <w:rPr>
                <w:rFonts w:ascii="华文楷体" w:eastAsia="华文楷体" w:hAnsi="华文楷体" w:hint="eastAsia"/>
                <w:sz w:val="22"/>
                <w:szCs w:val="22"/>
              </w:rPr>
              <w:t>上升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主要受两方面影响：一方面</w:t>
            </w:r>
            <w:r w:rsidR="00B31BBA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网络融合项目</w:t>
            </w:r>
            <w:r w:rsidR="00B31BBA">
              <w:rPr>
                <w:rFonts w:ascii="华文楷体" w:eastAsia="华文楷体" w:hAnsi="华文楷体" w:hint="eastAsia"/>
                <w:sz w:val="22"/>
                <w:szCs w:val="22"/>
              </w:rPr>
              <w:t>逐步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推进，</w:t>
            </w:r>
            <w:r w:rsidR="00B31BBA">
              <w:rPr>
                <w:rFonts w:ascii="华文楷体" w:eastAsia="华文楷体" w:hAnsi="华文楷体" w:hint="eastAsia"/>
                <w:sz w:val="22"/>
                <w:szCs w:val="22"/>
              </w:rPr>
              <w:t>而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这部分收入中运输成本占比</w:t>
            </w:r>
            <w:r w:rsidR="009B2B3F">
              <w:rPr>
                <w:rFonts w:ascii="华文楷体" w:eastAsia="华文楷体" w:hAnsi="华文楷体" w:hint="eastAsia"/>
                <w:sz w:val="22"/>
                <w:szCs w:val="22"/>
              </w:rPr>
              <w:t>较高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；另一方面</w:t>
            </w:r>
            <w:r w:rsidR="00B31BBA">
              <w:rPr>
                <w:rFonts w:ascii="华文楷体" w:eastAsia="华文楷体" w:hAnsi="华文楷体" w:hint="eastAsia"/>
                <w:sz w:val="22"/>
                <w:szCs w:val="22"/>
              </w:rPr>
              <w:t>，2</w:t>
            </w:r>
            <w:r w:rsidR="00B31BBA">
              <w:rPr>
                <w:rFonts w:ascii="华文楷体" w:eastAsia="华文楷体" w:hAnsi="华文楷体"/>
                <w:sz w:val="22"/>
                <w:szCs w:val="22"/>
              </w:rPr>
              <w:t>3</w:t>
            </w:r>
            <w:r w:rsidR="00B31BBA">
              <w:rPr>
                <w:rFonts w:ascii="华文楷体" w:eastAsia="华文楷体" w:hAnsi="华文楷体" w:hint="eastAsia"/>
                <w:sz w:val="22"/>
                <w:szCs w:val="22"/>
              </w:rPr>
              <w:t>年</w:t>
            </w:r>
            <w:r w:rsidRPr="002F7EA6">
              <w:rPr>
                <w:rFonts w:ascii="华文楷体" w:eastAsia="华文楷体" w:hAnsi="华文楷体" w:hint="eastAsia"/>
                <w:sz w:val="22"/>
                <w:szCs w:val="22"/>
              </w:rPr>
              <w:t>二季度开始公司对高公斤市场进行模式创新及加大资源布局，业务结构的变化提升了运输成本的占比。</w:t>
            </w:r>
          </w:p>
          <w:p w14:paraId="2FBDC518" w14:textId="29F22C84" w:rsidR="002F7EA6" w:rsidRPr="002F7EA6" w:rsidRDefault="00B31BBA" w:rsidP="002F7EA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（3）</w:t>
            </w:r>
            <w:r w:rsidR="002F7EA6" w:rsidRPr="002F7EA6">
              <w:rPr>
                <w:rFonts w:ascii="华文楷体" w:eastAsia="华文楷体" w:hAnsi="华文楷体" w:hint="eastAsia"/>
                <w:sz w:val="22"/>
                <w:szCs w:val="22"/>
              </w:rPr>
              <w:t>房租成本</w:t>
            </w:r>
            <w:r w:rsidR="002B43C8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2F7EA6" w:rsidRPr="002F7EA6">
              <w:rPr>
                <w:rFonts w:ascii="华文楷体" w:eastAsia="华文楷体" w:hAnsi="华文楷体" w:hint="eastAsia"/>
                <w:sz w:val="22"/>
                <w:szCs w:val="22"/>
              </w:rPr>
              <w:t>同比增长22%，占收入比略有下降，主要还是受网络融合项目</w:t>
            </w:r>
            <w:r w:rsidR="002B43C8">
              <w:rPr>
                <w:rFonts w:ascii="华文楷体" w:eastAsia="华文楷体" w:hAnsi="华文楷体" w:hint="eastAsia"/>
                <w:sz w:val="22"/>
                <w:szCs w:val="22"/>
              </w:rPr>
              <w:t>德邦接管8</w:t>
            </w:r>
            <w:r w:rsidR="002B43C8">
              <w:rPr>
                <w:rFonts w:ascii="华文楷体" w:eastAsia="华文楷体" w:hAnsi="华文楷体"/>
                <w:sz w:val="22"/>
                <w:szCs w:val="22"/>
              </w:rPr>
              <w:t>0</w:t>
            </w:r>
            <w:r w:rsidR="002B43C8">
              <w:rPr>
                <w:rFonts w:ascii="华文楷体" w:eastAsia="华文楷体" w:hAnsi="华文楷体" w:hint="eastAsia"/>
                <w:sz w:val="22"/>
                <w:szCs w:val="22"/>
              </w:rPr>
              <w:t>多个转运中心的</w:t>
            </w:r>
            <w:r w:rsidR="002B43C8" w:rsidRPr="002F7EA6">
              <w:rPr>
                <w:rFonts w:ascii="华文楷体" w:eastAsia="华文楷体" w:hAnsi="华文楷体" w:hint="eastAsia"/>
                <w:sz w:val="22"/>
                <w:szCs w:val="22"/>
              </w:rPr>
              <w:t>影响</w:t>
            </w:r>
            <w:r w:rsidR="002F7EA6" w:rsidRPr="002F7EA6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</w:p>
          <w:p w14:paraId="44EB2D73" w14:textId="78617C79" w:rsidR="002F7EA6" w:rsidRPr="00070CFA" w:rsidRDefault="002B43C8" w:rsidP="002F7EA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（4）</w:t>
            </w:r>
            <w:r w:rsidR="002F7EA6" w:rsidRPr="002F7EA6">
              <w:rPr>
                <w:rFonts w:ascii="华文楷体" w:eastAsia="华文楷体" w:hAnsi="华文楷体" w:hint="eastAsia"/>
                <w:sz w:val="22"/>
                <w:szCs w:val="22"/>
              </w:rPr>
              <w:t>折旧摊销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2F7EA6" w:rsidRPr="002F7EA6">
              <w:rPr>
                <w:rFonts w:ascii="华文楷体" w:eastAsia="华文楷体" w:hAnsi="华文楷体" w:hint="eastAsia"/>
                <w:sz w:val="22"/>
                <w:szCs w:val="22"/>
              </w:rPr>
              <w:t>同比下降9.7%</w:t>
            </w:r>
            <w:r w:rsidR="00C7331F">
              <w:rPr>
                <w:rFonts w:ascii="华文楷体" w:eastAsia="华文楷体" w:hAnsi="华文楷体" w:hint="eastAsia"/>
                <w:sz w:val="22"/>
                <w:szCs w:val="22"/>
              </w:rPr>
              <w:t>，公司</w:t>
            </w:r>
            <w:r w:rsidR="002F7EA6" w:rsidRPr="002F7EA6">
              <w:rPr>
                <w:rFonts w:ascii="华文楷体" w:eastAsia="华文楷体" w:hAnsi="华文楷体" w:hint="eastAsia"/>
                <w:sz w:val="22"/>
                <w:szCs w:val="22"/>
              </w:rPr>
              <w:t>从2022年开始回归维稳性</w:t>
            </w:r>
            <w:r w:rsidR="00C7331F" w:rsidRPr="002F7EA6">
              <w:rPr>
                <w:rFonts w:ascii="华文楷体" w:eastAsia="华文楷体" w:hAnsi="华文楷体" w:hint="eastAsia"/>
                <w:sz w:val="22"/>
                <w:szCs w:val="22"/>
              </w:rPr>
              <w:t>资本化</w:t>
            </w:r>
            <w:r w:rsidR="00C7331F">
              <w:rPr>
                <w:rFonts w:ascii="华文楷体" w:eastAsia="华文楷体" w:hAnsi="华文楷体" w:hint="eastAsia"/>
                <w:sz w:val="22"/>
                <w:szCs w:val="22"/>
              </w:rPr>
              <w:t>支出，通过资产合理调配</w:t>
            </w:r>
            <w:r w:rsidR="002F7EA6" w:rsidRPr="002F7EA6">
              <w:rPr>
                <w:rFonts w:ascii="华文楷体" w:eastAsia="华文楷体" w:hAnsi="华文楷体" w:hint="eastAsia"/>
                <w:sz w:val="22"/>
                <w:szCs w:val="22"/>
              </w:rPr>
              <w:t>提升资产利用效率，折旧摊销费用保持相对稳定。</w:t>
            </w:r>
          </w:p>
          <w:p w14:paraId="3D1305D4" w14:textId="5FE32D20" w:rsidR="006669B6" w:rsidRDefault="007F2223" w:rsidP="007F2223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7F2223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3、期间费用：</w:t>
            </w:r>
            <w:r w:rsidRPr="007F2223">
              <w:rPr>
                <w:rFonts w:ascii="华文楷体" w:eastAsia="华文楷体" w:hAnsi="华文楷体" w:hint="eastAsia"/>
                <w:sz w:val="22"/>
                <w:szCs w:val="22"/>
              </w:rPr>
              <w:t>同比增长5.9%，同比增幅低于收入增幅</w:t>
            </w:r>
            <w:r w:rsidR="00A419A9" w:rsidRPr="00A81D76">
              <w:rPr>
                <w:rFonts w:ascii="华文楷体" w:eastAsia="华文楷体" w:hAnsi="华文楷体" w:hint="eastAsia"/>
                <w:sz w:val="22"/>
                <w:szCs w:val="22"/>
              </w:rPr>
              <w:t>。其中，销售费用</w:t>
            </w:r>
            <w:r w:rsidR="00A419A9" w:rsidRPr="00A81D76">
              <w:rPr>
                <w:rFonts w:ascii="华文楷体" w:eastAsia="华文楷体" w:hAnsi="华文楷体"/>
                <w:sz w:val="22"/>
                <w:szCs w:val="22"/>
              </w:rPr>
              <w:t>1.09亿元，</w:t>
            </w:r>
            <w:r w:rsidR="00A419A9" w:rsidRPr="00A81D76">
              <w:rPr>
                <w:rFonts w:ascii="华文楷体" w:eastAsia="华文楷体" w:hAnsi="华文楷体"/>
                <w:sz w:val="22"/>
                <w:szCs w:val="22"/>
              </w:rPr>
              <w:lastRenderedPageBreak/>
              <w:t>同比增长12.63%，主要为公司通过销售赋能，持续强化销售能力建设，助力营业收入增长；管理费用3.89亿元，同比增长6.57%，一方面</w:t>
            </w:r>
            <w:r w:rsidR="00A81D76">
              <w:rPr>
                <w:rFonts w:ascii="华文楷体" w:eastAsia="华文楷体" w:hAnsi="华文楷体"/>
                <w:sz w:val="22"/>
                <w:szCs w:val="22"/>
              </w:rPr>
              <w:t>，经营业绩持续改善，根据年度盈利情况预估的奖金预提金额同比增加</w:t>
            </w:r>
            <w:r w:rsidR="00A81D76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A419A9" w:rsidRPr="00A81D76">
              <w:rPr>
                <w:rFonts w:ascii="华文楷体" w:eastAsia="华文楷体" w:hAnsi="华文楷体"/>
                <w:sz w:val="22"/>
                <w:szCs w:val="22"/>
              </w:rPr>
              <w:t>另一方面，持续推进科技赋能、流程优化，不断提升管理效能，职能部门人数同比减少。</w:t>
            </w:r>
          </w:p>
          <w:p w14:paraId="5EC34458" w14:textId="63066D7A" w:rsidR="007F2223" w:rsidRPr="007F2223" w:rsidRDefault="001C2683" w:rsidP="007F2223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1C2683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4、现金流：</w:t>
            </w:r>
            <w:r w:rsidRPr="001C2683">
              <w:rPr>
                <w:rFonts w:ascii="华文楷体" w:eastAsia="华文楷体" w:hAnsi="华文楷体" w:hint="eastAsia"/>
                <w:sz w:val="22"/>
                <w:szCs w:val="22"/>
              </w:rPr>
              <w:t>随着经营业绩持续改善，公司现金流也在稳步向好，2024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年一季度经营现金流净额</w:t>
            </w:r>
            <w:r w:rsidRPr="001C2683">
              <w:rPr>
                <w:rFonts w:ascii="华文楷体" w:eastAsia="华文楷体" w:hAnsi="华文楷体" w:hint="eastAsia"/>
                <w:sz w:val="22"/>
                <w:szCs w:val="22"/>
              </w:rPr>
              <w:t>10.46亿。</w:t>
            </w:r>
          </w:p>
          <w:p w14:paraId="617B7CA5" w14:textId="5969BD3A" w:rsidR="00B1190D" w:rsidRDefault="00B1190D" w:rsidP="007215E1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04BC5D5F" w14:textId="374FD2ED" w:rsidR="00321D1B" w:rsidRDefault="00B1190D" w:rsidP="00BE5AE7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第</w:t>
            </w:r>
            <w:r w:rsidR="00A81D7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二</w:t>
            </w: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环节</w:t>
            </w:r>
            <w:r w:rsidRPr="00A9733E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321D1B"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问答环节</w:t>
            </w:r>
          </w:p>
          <w:p w14:paraId="74C0B3FD" w14:textId="33808315" w:rsidR="00840FF3" w:rsidRDefault="00840FF3" w:rsidP="00BE5AE7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8C4E7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一</w:t>
            </w:r>
            <w:r w:rsidRPr="005935B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网络融合项目的进展和未来规划</w:t>
            </w:r>
          </w:p>
          <w:p w14:paraId="0C5CD7CD" w14:textId="4E2474B8" w:rsidR="00840FF3" w:rsidRPr="00840FF3" w:rsidRDefault="00840FF3" w:rsidP="00840FF3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德邦从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2</w:t>
            </w:r>
            <w:r>
              <w:rPr>
                <w:rFonts w:ascii="华文楷体" w:eastAsia="华文楷体" w:hAnsi="华文楷体"/>
                <w:sz w:val="22"/>
                <w:szCs w:val="22"/>
              </w:rPr>
              <w:t>3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年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8月份开始接管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京东物流的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转运中心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，包括场地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管理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和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运输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。从去年到今年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一季度，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是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平稳过渡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阶段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即先做管理，了解大概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情况，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做好衔接。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双方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真正的资源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整合</w:t>
            </w:r>
            <w:r w:rsidR="00A419A9">
              <w:rPr>
                <w:rFonts w:ascii="华文楷体" w:eastAsia="华文楷体" w:hAnsi="华文楷体" w:hint="eastAsia"/>
                <w:sz w:val="22"/>
                <w:szCs w:val="22"/>
              </w:rPr>
              <w:t>将会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从</w:t>
            </w:r>
            <w:r w:rsidR="00A419A9">
              <w:rPr>
                <w:rFonts w:ascii="华文楷体" w:eastAsia="华文楷体" w:hAnsi="华文楷体" w:hint="eastAsia"/>
                <w:sz w:val="22"/>
                <w:szCs w:val="22"/>
              </w:rPr>
              <w:t>2</w:t>
            </w:r>
            <w:r w:rsidR="00A419A9">
              <w:rPr>
                <w:rFonts w:ascii="华文楷体" w:eastAsia="华文楷体" w:hAnsi="华文楷体"/>
                <w:sz w:val="22"/>
                <w:szCs w:val="22"/>
              </w:rPr>
              <w:t>024</w:t>
            </w:r>
            <w:r w:rsidR="00A419A9">
              <w:rPr>
                <w:rFonts w:ascii="华文楷体" w:eastAsia="华文楷体" w:hAnsi="华文楷体" w:hint="eastAsia"/>
                <w:sz w:val="22"/>
                <w:szCs w:val="22"/>
              </w:rPr>
              <w:t>年逐步开始推进</w:t>
            </w:r>
            <w:r w:rsidRPr="00840FF3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</w:p>
          <w:p w14:paraId="643192DF" w14:textId="3921BE9C" w:rsidR="00840FF3" w:rsidRDefault="00840FF3" w:rsidP="00840FF3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5E9A3798" w14:textId="4CE56697" w:rsidR="00DA3029" w:rsidRDefault="00157152" w:rsidP="00840FF3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8C4E7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二</w:t>
            </w:r>
            <w:r w:rsidRPr="005935B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06198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德邦与京东物流网络融合业务是如何定价的</w:t>
            </w:r>
            <w:r w:rsidR="00280FBF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？</w:t>
            </w:r>
          </w:p>
          <w:p w14:paraId="34F09BE0" w14:textId="5C2FB4D2" w:rsidR="00061986" w:rsidRDefault="00061986" w:rsidP="00061986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="00C35E37" w:rsidRPr="00C35E37">
              <w:rPr>
                <w:rFonts w:ascii="华文楷体" w:eastAsia="华文楷体" w:hAnsi="华文楷体" w:hint="eastAsia"/>
                <w:sz w:val="22"/>
                <w:szCs w:val="22"/>
              </w:rPr>
              <w:t>2</w:t>
            </w:r>
            <w:r w:rsidR="00C35E37" w:rsidRPr="00C35E37">
              <w:rPr>
                <w:rFonts w:ascii="华文楷体" w:eastAsia="华文楷体" w:hAnsi="华文楷体"/>
                <w:sz w:val="22"/>
                <w:szCs w:val="22"/>
              </w:rPr>
              <w:t>024</w:t>
            </w:r>
            <w:r w:rsidR="00C35E37" w:rsidRPr="00C35E37">
              <w:rPr>
                <w:rFonts w:ascii="华文楷体" w:eastAsia="华文楷体" w:hAnsi="华文楷体" w:hint="eastAsia"/>
                <w:sz w:val="22"/>
                <w:szCs w:val="22"/>
              </w:rPr>
              <w:t>年4月份开始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公司与京东物流这部分业务的报价参考德邦大客户报价方式，根据具体线路</w:t>
            </w:r>
            <w:r w:rsidR="005C78DD">
              <w:rPr>
                <w:rFonts w:ascii="华文楷体" w:eastAsia="华文楷体" w:hAnsi="华文楷体" w:hint="eastAsia"/>
                <w:sz w:val="22"/>
                <w:szCs w:val="22"/>
              </w:rPr>
              <w:t>情况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报相应的公斤单价，最终根据开单数量结算</w:t>
            </w:r>
            <w:r w:rsidR="00A419A9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5C2D85">
              <w:rPr>
                <w:rFonts w:ascii="华文楷体" w:eastAsia="华文楷体" w:hAnsi="华文楷体" w:hint="eastAsia"/>
                <w:sz w:val="22"/>
                <w:szCs w:val="22"/>
              </w:rPr>
              <w:t>整个定价逻辑是客观公允的。</w:t>
            </w:r>
            <w:bookmarkStart w:id="0" w:name="_GoBack"/>
            <w:bookmarkEnd w:id="0"/>
          </w:p>
          <w:p w14:paraId="6545E98F" w14:textId="461DFE65" w:rsidR="009F6874" w:rsidRDefault="009F6874" w:rsidP="00061986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07B554AB" w14:textId="567B83B5" w:rsidR="009F6874" w:rsidRDefault="009F6874" w:rsidP="00061986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8C4E7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三</w:t>
            </w:r>
            <w:r w:rsidRPr="005935B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B159EC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公司近两年资本化支出规划</w:t>
            </w:r>
          </w:p>
          <w:p w14:paraId="5B788B6C" w14:textId="1B130D0F" w:rsidR="00B159EC" w:rsidRDefault="00B159EC" w:rsidP="00061986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="005F1D6A" w:rsidRPr="00992B69">
              <w:rPr>
                <w:rFonts w:ascii="华文楷体" w:eastAsia="华文楷体" w:hAnsi="华文楷体" w:hint="eastAsia"/>
                <w:color w:val="000000"/>
                <w:sz w:val="22"/>
              </w:rPr>
              <w:t>公司</w:t>
            </w:r>
            <w:r w:rsidR="005F1D6A">
              <w:rPr>
                <w:rFonts w:ascii="华文楷体" w:eastAsia="华文楷体" w:hAnsi="华文楷体" w:hint="eastAsia"/>
                <w:color w:val="000000"/>
                <w:sz w:val="22"/>
              </w:rPr>
              <w:t>今年对内生业务（不含网络融合）的资本化支出，主要是维稳性支出。但</w:t>
            </w:r>
            <w:r w:rsidR="005F1D6A" w:rsidRPr="00FD3125">
              <w:rPr>
                <w:rFonts w:ascii="华文楷体" w:eastAsia="华文楷体" w:hAnsi="华文楷体" w:hint="eastAsia"/>
                <w:sz w:val="22"/>
                <w:szCs w:val="22"/>
              </w:rPr>
              <w:t>随着网络融合的推进，</w:t>
            </w:r>
            <w:r w:rsidR="005F1D6A">
              <w:rPr>
                <w:rFonts w:ascii="华文楷体" w:eastAsia="华文楷体" w:hAnsi="华文楷体" w:hint="eastAsia"/>
                <w:color w:val="000000"/>
                <w:sz w:val="22"/>
              </w:rPr>
              <w:t>2</w:t>
            </w:r>
            <w:r w:rsidR="005F1D6A">
              <w:rPr>
                <w:rFonts w:ascii="华文楷体" w:eastAsia="华文楷体" w:hAnsi="华文楷体"/>
                <w:color w:val="000000"/>
                <w:sz w:val="22"/>
              </w:rPr>
              <w:t>4</w:t>
            </w:r>
            <w:r w:rsidR="005F1D6A">
              <w:rPr>
                <w:rFonts w:ascii="华文楷体" w:eastAsia="华文楷体" w:hAnsi="华文楷体" w:hint="eastAsia"/>
                <w:color w:val="000000"/>
                <w:sz w:val="22"/>
              </w:rPr>
              <w:t>、2</w:t>
            </w:r>
            <w:r w:rsidR="005F1D6A">
              <w:rPr>
                <w:rFonts w:ascii="华文楷体" w:eastAsia="华文楷体" w:hAnsi="华文楷体"/>
                <w:color w:val="000000"/>
                <w:sz w:val="22"/>
              </w:rPr>
              <w:t>5</w:t>
            </w:r>
            <w:r w:rsidR="005F1D6A">
              <w:rPr>
                <w:rFonts w:ascii="华文楷体" w:eastAsia="华文楷体" w:hAnsi="华文楷体" w:hint="eastAsia"/>
                <w:color w:val="000000"/>
                <w:sz w:val="22"/>
              </w:rPr>
              <w:t>年资本化支出</w:t>
            </w:r>
            <w:r w:rsidR="005F1D6A">
              <w:rPr>
                <w:rFonts w:ascii="华文楷体" w:eastAsia="华文楷体" w:hAnsi="华文楷体" w:hint="eastAsia"/>
                <w:sz w:val="22"/>
                <w:szCs w:val="22"/>
              </w:rPr>
              <w:t>相比去</w:t>
            </w:r>
            <w:r w:rsidR="005F1D6A" w:rsidRPr="00FD3125">
              <w:rPr>
                <w:rFonts w:ascii="华文楷体" w:eastAsia="华文楷体" w:hAnsi="华文楷体" w:hint="eastAsia"/>
                <w:sz w:val="22"/>
                <w:szCs w:val="22"/>
              </w:rPr>
              <w:t>年会有一定的增加，主要是</w:t>
            </w:r>
            <w:r w:rsidR="005F1D6A">
              <w:rPr>
                <w:rFonts w:ascii="华文楷体" w:eastAsia="华文楷体" w:hAnsi="华文楷体" w:hint="eastAsia"/>
                <w:sz w:val="22"/>
                <w:szCs w:val="22"/>
              </w:rPr>
              <w:t>会新增融合场地的自动化设备投入以及干线运输车辆的投入。2</w:t>
            </w:r>
            <w:r w:rsidR="005F1D6A">
              <w:rPr>
                <w:rFonts w:ascii="华文楷体" w:eastAsia="华文楷体" w:hAnsi="华文楷体"/>
                <w:sz w:val="22"/>
                <w:szCs w:val="22"/>
              </w:rPr>
              <w:t>4</w:t>
            </w:r>
            <w:r w:rsidR="005F1D6A">
              <w:rPr>
                <w:rFonts w:ascii="华文楷体" w:eastAsia="华文楷体" w:hAnsi="华文楷体" w:hint="eastAsia"/>
                <w:sz w:val="22"/>
                <w:szCs w:val="22"/>
              </w:rPr>
              <w:t>、2</w:t>
            </w:r>
            <w:r w:rsidR="005F1D6A">
              <w:rPr>
                <w:rFonts w:ascii="华文楷体" w:eastAsia="华文楷体" w:hAnsi="华文楷体"/>
                <w:sz w:val="22"/>
                <w:szCs w:val="22"/>
              </w:rPr>
              <w:t>5</w:t>
            </w:r>
            <w:r w:rsidR="005F1D6A">
              <w:rPr>
                <w:rFonts w:ascii="华文楷体" w:eastAsia="华文楷体" w:hAnsi="华文楷体" w:hint="eastAsia"/>
                <w:sz w:val="22"/>
                <w:szCs w:val="22"/>
              </w:rPr>
              <w:t>年的资本化支出</w:t>
            </w:r>
            <w:r w:rsidR="001E7979">
              <w:rPr>
                <w:rFonts w:ascii="华文楷体" w:eastAsia="华文楷体" w:hAnsi="华文楷体" w:hint="eastAsia"/>
                <w:sz w:val="22"/>
                <w:szCs w:val="22"/>
              </w:rPr>
              <w:t>相比2</w:t>
            </w:r>
            <w:r w:rsidR="001E7979">
              <w:rPr>
                <w:rFonts w:ascii="华文楷体" w:eastAsia="华文楷体" w:hAnsi="华文楷体"/>
                <w:sz w:val="22"/>
                <w:szCs w:val="22"/>
              </w:rPr>
              <w:t>023</w:t>
            </w:r>
            <w:r w:rsidR="001E7979">
              <w:rPr>
                <w:rFonts w:ascii="华文楷体" w:eastAsia="华文楷体" w:hAnsi="华文楷体" w:hint="eastAsia"/>
                <w:sz w:val="22"/>
                <w:szCs w:val="22"/>
              </w:rPr>
              <w:t>年预计会</w:t>
            </w:r>
            <w:r w:rsidR="005F1D6A">
              <w:rPr>
                <w:rFonts w:ascii="华文楷体" w:eastAsia="华文楷体" w:hAnsi="华文楷体" w:hint="eastAsia"/>
                <w:sz w:val="22"/>
                <w:szCs w:val="22"/>
              </w:rPr>
              <w:t>有几个亿的增加</w:t>
            </w:r>
            <w:r w:rsidR="006A1385">
              <w:rPr>
                <w:rFonts w:ascii="华文楷体" w:eastAsia="华文楷体" w:hAnsi="华文楷体" w:hint="eastAsia"/>
                <w:sz w:val="22"/>
                <w:szCs w:val="22"/>
              </w:rPr>
              <w:t>。此部分</w:t>
            </w:r>
            <w:r w:rsidR="005F1D6A">
              <w:rPr>
                <w:rFonts w:ascii="华文楷体" w:eastAsia="华文楷体" w:hAnsi="华文楷体" w:hint="eastAsia"/>
                <w:sz w:val="22"/>
                <w:szCs w:val="22"/>
              </w:rPr>
              <w:t>资本化支出是基于融合后货量的增加，并非盲目扩大产能，不会对公司现金流和日常经营产生重大不利影响。</w:t>
            </w:r>
          </w:p>
          <w:p w14:paraId="117C6D61" w14:textId="2CA298CA" w:rsidR="005F1D6A" w:rsidRDefault="005F1D6A" w:rsidP="00061986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74CC4576" w14:textId="0B82480A" w:rsidR="00EF463F" w:rsidRPr="00EF463F" w:rsidRDefault="00A6593D" w:rsidP="00061986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 w:rsidRPr="008C4E7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四</w:t>
            </w:r>
            <w:r w:rsidRPr="005935B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8B4880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除了网络融合外，公司与京东</w:t>
            </w:r>
            <w:r w:rsidR="00280FBF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有没有其他业务模式的合作？</w:t>
            </w:r>
            <w:r w:rsidR="00DF5D09" w:rsidRPr="00EF463F">
              <w:rPr>
                <w:rFonts w:ascii="华文楷体" w:eastAsia="华文楷体" w:hAnsi="华文楷体" w:hint="eastAsia"/>
                <w:sz w:val="22"/>
                <w:szCs w:val="22"/>
              </w:rPr>
              <w:t xml:space="preserve"> </w:t>
            </w:r>
          </w:p>
          <w:p w14:paraId="3F4C4B32" w14:textId="177C7E42" w:rsidR="009F6874" w:rsidRPr="00DF5D09" w:rsidRDefault="00DF5D09" w:rsidP="00DF5D09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 w:rsidRPr="00D3508C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网络融合目前是公司与京东合作体量最大的一个项目，除此之外，从</w:t>
            </w:r>
            <w:r>
              <w:rPr>
                <w:rFonts w:ascii="华文楷体" w:eastAsia="华文楷体" w:hAnsi="华文楷体"/>
                <w:sz w:val="22"/>
                <w:szCs w:val="22"/>
              </w:rPr>
              <w:t>23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年下半年开始，公司与</w:t>
            </w:r>
            <w:r w:rsidR="008D1A6E">
              <w:rPr>
                <w:rFonts w:ascii="华文楷体" w:eastAsia="华文楷体" w:hAnsi="华文楷体" w:hint="eastAsia"/>
                <w:sz w:val="22"/>
                <w:szCs w:val="22"/>
              </w:rPr>
              <w:t>京东集团一些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不同子公司和业务板块</w:t>
            </w:r>
            <w:r w:rsidR="008D1A6E">
              <w:rPr>
                <w:rFonts w:ascii="华文楷体" w:eastAsia="华文楷体" w:hAnsi="华文楷体" w:hint="eastAsia"/>
                <w:sz w:val="22"/>
                <w:szCs w:val="22"/>
              </w:rPr>
              <w:t>都有尝试大件业务</w:t>
            </w:r>
            <w:r w:rsidR="00A419A9">
              <w:rPr>
                <w:rFonts w:ascii="华文楷体" w:eastAsia="华文楷体" w:hAnsi="华文楷体" w:hint="eastAsia"/>
                <w:sz w:val="22"/>
                <w:szCs w:val="22"/>
              </w:rPr>
              <w:t>的</w:t>
            </w:r>
            <w:r w:rsidR="008D1A6E">
              <w:rPr>
                <w:rFonts w:ascii="华文楷体" w:eastAsia="华文楷体" w:hAnsi="华文楷体" w:hint="eastAsia"/>
                <w:sz w:val="22"/>
                <w:szCs w:val="22"/>
              </w:rPr>
              <w:t>合作</w:t>
            </w:r>
            <w:r w:rsidR="007B5CEF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</w:p>
          <w:p w14:paraId="721FEF06" w14:textId="4E21AC58" w:rsidR="009F6874" w:rsidRDefault="009F6874" w:rsidP="00061986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7CDD8CD9" w14:textId="211D3BAF" w:rsidR="009F6874" w:rsidRDefault="00C85E63" w:rsidP="00061986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8C4E7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五</w:t>
            </w:r>
            <w:r w:rsidRPr="005935B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28632D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未来公司会考虑提高分红比例以提升股东回报吗？</w:t>
            </w:r>
          </w:p>
          <w:p w14:paraId="2E94321F" w14:textId="1E047642" w:rsidR="00FC365B" w:rsidRPr="00F6760A" w:rsidRDefault="00D3508C" w:rsidP="00061986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="00CB278A" w:rsidRPr="00CB278A">
              <w:rPr>
                <w:rFonts w:ascii="华文楷体" w:eastAsia="华文楷体" w:hAnsi="华文楷体" w:hint="eastAsia"/>
                <w:sz w:val="22"/>
                <w:szCs w:val="22"/>
              </w:rPr>
              <w:t>近两年</w:t>
            </w:r>
            <w:r w:rsidR="00CB278A">
              <w:rPr>
                <w:rFonts w:ascii="华文楷体" w:eastAsia="华文楷体" w:hAnsi="华文楷体" w:hint="eastAsia"/>
                <w:sz w:val="22"/>
                <w:szCs w:val="22"/>
              </w:rPr>
              <w:t>公司正式开始推动网络融合，相应会增加一部分资本支出保障经营效率和能力，需要一定的资金储备，</w:t>
            </w:r>
            <w:r w:rsidR="002C72D4">
              <w:rPr>
                <w:rFonts w:ascii="华文楷体" w:eastAsia="华文楷体" w:hAnsi="华文楷体" w:hint="eastAsia"/>
                <w:sz w:val="22"/>
                <w:szCs w:val="22"/>
              </w:rPr>
              <w:t>同时</w:t>
            </w:r>
            <w:r w:rsidR="00CB278A">
              <w:rPr>
                <w:rFonts w:ascii="华文楷体" w:eastAsia="华文楷体" w:hAnsi="华文楷体" w:hint="eastAsia"/>
                <w:sz w:val="22"/>
                <w:szCs w:val="22"/>
              </w:rPr>
              <w:t>也是出于安全稳健经营的</w:t>
            </w:r>
            <w:r w:rsidR="002C72D4">
              <w:rPr>
                <w:rFonts w:ascii="华文楷体" w:eastAsia="华文楷体" w:hAnsi="华文楷体" w:hint="eastAsia"/>
                <w:sz w:val="22"/>
                <w:szCs w:val="22"/>
              </w:rPr>
              <w:t>考虑</w:t>
            </w:r>
            <w:r w:rsidR="00CB278A">
              <w:rPr>
                <w:rFonts w:ascii="华文楷体" w:eastAsia="华文楷体" w:hAnsi="华文楷体" w:hint="eastAsia"/>
                <w:sz w:val="22"/>
                <w:szCs w:val="22"/>
              </w:rPr>
              <w:t>。未来随着</w:t>
            </w:r>
            <w:r w:rsidR="002C72D4">
              <w:rPr>
                <w:rFonts w:ascii="华文楷体" w:eastAsia="华文楷体" w:hAnsi="华文楷体" w:hint="eastAsia"/>
                <w:sz w:val="22"/>
                <w:szCs w:val="22"/>
              </w:rPr>
              <w:t>公司</w:t>
            </w:r>
            <w:r w:rsidR="00CB278A">
              <w:rPr>
                <w:rFonts w:ascii="华文楷体" w:eastAsia="华文楷体" w:hAnsi="华文楷体" w:hint="eastAsia"/>
                <w:sz w:val="22"/>
                <w:szCs w:val="22"/>
              </w:rPr>
              <w:t>经营业绩的持续改善和网络融合逐步完成，公司现金流也会更加充裕，届时，从积极响应政策号召和回报股东的角度，</w:t>
            </w:r>
            <w:r w:rsidR="00434AC6">
              <w:rPr>
                <w:rFonts w:ascii="华文楷体" w:eastAsia="华文楷体" w:hAnsi="华文楷体" w:hint="eastAsia"/>
                <w:sz w:val="22"/>
                <w:szCs w:val="22"/>
              </w:rPr>
              <w:t>会考虑提升分红比例。</w:t>
            </w:r>
          </w:p>
          <w:p w14:paraId="4FF319FE" w14:textId="77777777" w:rsidR="00FC365B" w:rsidRPr="005C2D85" w:rsidRDefault="00FC365B" w:rsidP="00061986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</w:p>
          <w:p w14:paraId="1A6866F8" w14:textId="77777777" w:rsidR="003B0928" w:rsidRDefault="005144E2" w:rsidP="009F0A5E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8C4E7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六</w:t>
            </w:r>
            <w:r w:rsidRPr="005935B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公司在降低破损率方面采取了哪些措施？</w:t>
            </w:r>
          </w:p>
          <w:p w14:paraId="61197C03" w14:textId="6D9C4C66" w:rsidR="005144E2" w:rsidRPr="00F6538D" w:rsidRDefault="005144E2" w:rsidP="006B4B1D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Pr="005144E2">
              <w:rPr>
                <w:rFonts w:ascii="华文楷体" w:eastAsia="华文楷体" w:hAnsi="华文楷体" w:hint="eastAsia"/>
                <w:sz w:val="22"/>
                <w:szCs w:val="22"/>
              </w:rPr>
              <w:t>公司将低破损率视为大件业务的核心竞争力之一，不断投入人力、财力、物力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Pr="005144E2">
              <w:rPr>
                <w:rFonts w:ascii="华文楷体" w:eastAsia="华文楷体" w:hAnsi="华文楷体" w:hint="eastAsia"/>
                <w:sz w:val="22"/>
                <w:szCs w:val="22"/>
              </w:rPr>
              <w:t>一方面，</w:t>
            </w:r>
            <w:r w:rsidR="006B4B1D" w:rsidRPr="006B4B1D">
              <w:rPr>
                <w:rFonts w:ascii="华文楷体" w:eastAsia="华文楷体" w:hAnsi="华文楷体" w:hint="eastAsia"/>
                <w:sz w:val="22"/>
                <w:szCs w:val="22"/>
              </w:rPr>
              <w:t>加强科技研发，应用智慧末端、智慧场站等系统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；</w:t>
            </w:r>
            <w:r w:rsidRPr="005144E2">
              <w:rPr>
                <w:rFonts w:ascii="华文楷体" w:eastAsia="华文楷体" w:hAnsi="华文楷体" w:hint="eastAsia"/>
                <w:sz w:val="22"/>
                <w:szCs w:val="22"/>
              </w:rPr>
              <w:t>另一方面，加强收转运派各环节</w:t>
            </w:r>
            <w:r w:rsidRPr="005144E2">
              <w:rPr>
                <w:rFonts w:ascii="华文楷体" w:eastAsia="华文楷体" w:hAnsi="华文楷体" w:hint="eastAsia"/>
                <w:sz w:val="22"/>
                <w:szCs w:val="22"/>
              </w:rPr>
              <w:lastRenderedPageBreak/>
              <w:t>的基础管理，稳步降低大件货物破损率。例如，收派环节，通过丰富包装种类、推广高损行业定制化包装方案、完善易损易腐品类发运策略等方式持续降低货物破损风险；转运环节，通过加强违规操作监控管理、小件建包流程优化、不上机品类研究、分拣线设备改造优化等不断提升运营操作质量，减少货损问题，支撑破损改善。</w:t>
            </w:r>
            <w:r w:rsidR="00B363A6">
              <w:rPr>
                <w:rFonts w:ascii="华文楷体" w:eastAsia="华文楷体" w:hAnsi="华文楷体" w:hint="eastAsia"/>
                <w:sz w:val="22"/>
                <w:szCs w:val="22"/>
              </w:rPr>
              <w:t>2023</w:t>
            </w:r>
            <w:r w:rsidRPr="005144E2">
              <w:rPr>
                <w:rFonts w:ascii="华文楷体" w:eastAsia="华文楷体" w:hAnsi="华文楷体" w:hint="eastAsia"/>
                <w:sz w:val="22"/>
                <w:szCs w:val="22"/>
              </w:rPr>
              <w:t>年公司主营业务破损率同比下降 16.4%，通过持续的信息化建设、流程优化及基础管理提升，公司货物破损率逐年改善，在行业同公斤段产品中处于较低水平。</w:t>
            </w:r>
          </w:p>
        </w:tc>
      </w:tr>
    </w:tbl>
    <w:p w14:paraId="51A0DD1F" w14:textId="77777777" w:rsidR="00687BBD" w:rsidRPr="004A1640" w:rsidRDefault="00687BBD" w:rsidP="006D2426">
      <w:pPr>
        <w:spacing w:line="360" w:lineRule="auto"/>
        <w:rPr>
          <w:rFonts w:ascii="华文楷体" w:eastAsia="华文楷体" w:hAnsi="华文楷体"/>
        </w:rPr>
      </w:pPr>
    </w:p>
    <w:sectPr w:rsidR="00687BBD" w:rsidRPr="004A1640" w:rsidSect="00FD70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F089C" w14:textId="77777777" w:rsidR="00A832EC" w:rsidRDefault="00A832EC" w:rsidP="005337B7">
      <w:r>
        <w:separator/>
      </w:r>
    </w:p>
  </w:endnote>
  <w:endnote w:type="continuationSeparator" w:id="0">
    <w:p w14:paraId="10358E3B" w14:textId="77777777" w:rsidR="00A832EC" w:rsidRDefault="00A832EC" w:rsidP="0053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2AD2" w14:textId="77777777" w:rsidR="00A832EC" w:rsidRDefault="00A832EC" w:rsidP="005337B7">
      <w:r>
        <w:separator/>
      </w:r>
    </w:p>
  </w:footnote>
  <w:footnote w:type="continuationSeparator" w:id="0">
    <w:p w14:paraId="32FA1BD6" w14:textId="77777777" w:rsidR="00A832EC" w:rsidRDefault="00A832EC" w:rsidP="0053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1B6"/>
    <w:multiLevelType w:val="hybridMultilevel"/>
    <w:tmpl w:val="29AC2FCA"/>
    <w:lvl w:ilvl="0" w:tplc="92D468F6">
      <w:start w:val="1"/>
      <w:numFmt w:val="decimal"/>
      <w:lvlText w:val="%1."/>
      <w:lvlJc w:val="left"/>
      <w:pPr>
        <w:ind w:left="420" w:hanging="420"/>
      </w:pPr>
      <w:rPr>
        <w:b/>
        <w:i/>
      </w:rPr>
    </w:lvl>
    <w:lvl w:ilvl="1" w:tplc="AD22844C">
      <w:start w:val="1"/>
      <w:numFmt w:val="decimal"/>
      <w:lvlText w:val="%2)"/>
      <w:lvlJc w:val="left"/>
      <w:pPr>
        <w:ind w:left="840" w:hanging="420"/>
      </w:pPr>
      <w:rPr>
        <w:b/>
      </w:rPr>
    </w:lvl>
    <w:lvl w:ilvl="2" w:tplc="119E59D4">
      <w:start w:val="1"/>
      <w:numFmt w:val="decimal"/>
      <w:lvlText w:val="%3）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41309"/>
    <w:multiLevelType w:val="hybridMultilevel"/>
    <w:tmpl w:val="A8F2CABE"/>
    <w:lvl w:ilvl="0" w:tplc="9C0CE270">
      <w:start w:val="5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4C220F"/>
    <w:multiLevelType w:val="hybridMultilevel"/>
    <w:tmpl w:val="33EA0A3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b/>
        <w:i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119E59D4">
      <w:start w:val="1"/>
      <w:numFmt w:val="decimal"/>
      <w:lvlText w:val="%3）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D75DEB"/>
    <w:multiLevelType w:val="hybridMultilevel"/>
    <w:tmpl w:val="753CEC4C"/>
    <w:lvl w:ilvl="0" w:tplc="1184621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5902C2"/>
    <w:multiLevelType w:val="hybridMultilevel"/>
    <w:tmpl w:val="FDB6E0B4"/>
    <w:lvl w:ilvl="0" w:tplc="EDA8E884">
      <w:start w:val="1"/>
      <w:numFmt w:val="decimal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3E66FB2"/>
    <w:multiLevelType w:val="hybridMultilevel"/>
    <w:tmpl w:val="82381420"/>
    <w:lvl w:ilvl="0" w:tplc="5FC45B30">
      <w:start w:val="1"/>
      <w:numFmt w:val="decimal"/>
      <w:lvlText w:val="%1."/>
      <w:lvlJc w:val="left"/>
      <w:pPr>
        <w:ind w:left="840" w:hanging="420"/>
      </w:pPr>
      <w:rPr>
        <w:rFonts w:hint="eastAsia"/>
        <w:b/>
        <w:i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4561EDD"/>
    <w:multiLevelType w:val="hybridMultilevel"/>
    <w:tmpl w:val="115413DA"/>
    <w:lvl w:ilvl="0" w:tplc="F574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3B1EE7"/>
    <w:multiLevelType w:val="hybridMultilevel"/>
    <w:tmpl w:val="3586C1F0"/>
    <w:lvl w:ilvl="0" w:tplc="7E52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A729F3"/>
    <w:multiLevelType w:val="hybridMultilevel"/>
    <w:tmpl w:val="44EA3FD6"/>
    <w:lvl w:ilvl="0" w:tplc="68ACF5C4">
      <w:start w:val="1"/>
      <w:numFmt w:val="decimal"/>
      <w:lvlText w:val="%1)"/>
      <w:lvlJc w:val="left"/>
      <w:pPr>
        <w:ind w:left="840" w:hanging="42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42C30D4"/>
    <w:multiLevelType w:val="hybridMultilevel"/>
    <w:tmpl w:val="09D23F34"/>
    <w:lvl w:ilvl="0" w:tplc="1EE46BB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A4FB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629D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803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8AE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610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64A4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419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898A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406A"/>
    <w:multiLevelType w:val="hybridMultilevel"/>
    <w:tmpl w:val="1026D4AC"/>
    <w:lvl w:ilvl="0" w:tplc="5106D148">
      <w:start w:val="1"/>
      <w:numFmt w:val="decimal"/>
      <w:lvlText w:val="%1."/>
      <w:lvlJc w:val="left"/>
      <w:pPr>
        <w:ind w:left="839" w:hanging="42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11" w15:restartNumberingAfterBreak="0">
    <w:nsid w:val="3F6A17AC"/>
    <w:multiLevelType w:val="hybridMultilevel"/>
    <w:tmpl w:val="15D28F84"/>
    <w:lvl w:ilvl="0" w:tplc="C2E44464">
      <w:start w:val="1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405669E9"/>
    <w:multiLevelType w:val="hybridMultilevel"/>
    <w:tmpl w:val="3522B070"/>
    <w:lvl w:ilvl="0" w:tplc="CFF0A7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D35D15"/>
    <w:multiLevelType w:val="hybridMultilevel"/>
    <w:tmpl w:val="33BE6B1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1" w:hanging="420"/>
      </w:pPr>
    </w:lvl>
    <w:lvl w:ilvl="2" w:tplc="0409001B" w:tentative="1">
      <w:start w:val="1"/>
      <w:numFmt w:val="lowerRoman"/>
      <w:lvlText w:val="%3."/>
      <w:lvlJc w:val="right"/>
      <w:pPr>
        <w:ind w:left="841" w:hanging="420"/>
      </w:pPr>
    </w:lvl>
    <w:lvl w:ilvl="3" w:tplc="0409000F" w:tentative="1">
      <w:start w:val="1"/>
      <w:numFmt w:val="decimal"/>
      <w:lvlText w:val="%4."/>
      <w:lvlJc w:val="left"/>
      <w:pPr>
        <w:ind w:left="1261" w:hanging="420"/>
      </w:pPr>
    </w:lvl>
    <w:lvl w:ilvl="4" w:tplc="04090019" w:tentative="1">
      <w:start w:val="1"/>
      <w:numFmt w:val="lowerLetter"/>
      <w:lvlText w:val="%5)"/>
      <w:lvlJc w:val="left"/>
      <w:pPr>
        <w:ind w:left="1681" w:hanging="420"/>
      </w:pPr>
    </w:lvl>
    <w:lvl w:ilvl="5" w:tplc="0409001B" w:tentative="1">
      <w:start w:val="1"/>
      <w:numFmt w:val="lowerRoman"/>
      <w:lvlText w:val="%6."/>
      <w:lvlJc w:val="right"/>
      <w:pPr>
        <w:ind w:left="2101" w:hanging="420"/>
      </w:pPr>
    </w:lvl>
    <w:lvl w:ilvl="6" w:tplc="0409000F" w:tentative="1">
      <w:start w:val="1"/>
      <w:numFmt w:val="decimal"/>
      <w:lvlText w:val="%7."/>
      <w:lvlJc w:val="left"/>
      <w:pPr>
        <w:ind w:left="2521" w:hanging="420"/>
      </w:pPr>
    </w:lvl>
    <w:lvl w:ilvl="7" w:tplc="04090019" w:tentative="1">
      <w:start w:val="1"/>
      <w:numFmt w:val="lowerLetter"/>
      <w:lvlText w:val="%8)"/>
      <w:lvlJc w:val="left"/>
      <w:pPr>
        <w:ind w:left="2941" w:hanging="420"/>
      </w:pPr>
    </w:lvl>
    <w:lvl w:ilvl="8" w:tplc="0409001B" w:tentative="1">
      <w:start w:val="1"/>
      <w:numFmt w:val="lowerRoman"/>
      <w:lvlText w:val="%9."/>
      <w:lvlJc w:val="right"/>
      <w:pPr>
        <w:ind w:left="3361" w:hanging="420"/>
      </w:pPr>
    </w:lvl>
  </w:abstractNum>
  <w:abstractNum w:abstractNumId="14" w15:restartNumberingAfterBreak="0">
    <w:nsid w:val="46A4580A"/>
    <w:multiLevelType w:val="hybridMultilevel"/>
    <w:tmpl w:val="C07AC4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726494"/>
    <w:multiLevelType w:val="hybridMultilevel"/>
    <w:tmpl w:val="16D40F12"/>
    <w:lvl w:ilvl="0" w:tplc="BB482F2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930F4C"/>
    <w:multiLevelType w:val="hybridMultilevel"/>
    <w:tmpl w:val="EF6815F8"/>
    <w:lvl w:ilvl="0" w:tplc="1018B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EB9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81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A2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A5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60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0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0B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4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E1D85"/>
    <w:multiLevelType w:val="hybridMultilevel"/>
    <w:tmpl w:val="BC26926C"/>
    <w:lvl w:ilvl="0" w:tplc="D95085C8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A4317A"/>
    <w:multiLevelType w:val="hybridMultilevel"/>
    <w:tmpl w:val="DC7E58BC"/>
    <w:lvl w:ilvl="0" w:tplc="1F2664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E3700E"/>
    <w:multiLevelType w:val="hybridMultilevel"/>
    <w:tmpl w:val="51187B20"/>
    <w:lvl w:ilvl="0" w:tplc="FF2E392A">
      <w:start w:val="1"/>
      <w:numFmt w:val="decimal"/>
      <w:lvlText w:val="%1."/>
      <w:lvlJc w:val="left"/>
      <w:pPr>
        <w:ind w:left="840" w:hanging="420"/>
      </w:pPr>
      <w:rPr>
        <w:b/>
        <w:i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04203F5"/>
    <w:multiLevelType w:val="hybridMultilevel"/>
    <w:tmpl w:val="829ACA58"/>
    <w:lvl w:ilvl="0" w:tplc="47669B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C125C2"/>
    <w:multiLevelType w:val="hybridMultilevel"/>
    <w:tmpl w:val="F41A3C00"/>
    <w:lvl w:ilvl="0" w:tplc="4FB0838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B77EBA"/>
    <w:multiLevelType w:val="hybridMultilevel"/>
    <w:tmpl w:val="A6BA981E"/>
    <w:lvl w:ilvl="0" w:tplc="E6C848C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E73ED1"/>
    <w:multiLevelType w:val="hybridMultilevel"/>
    <w:tmpl w:val="8C7857FA"/>
    <w:lvl w:ilvl="0" w:tplc="7F94D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F81672"/>
    <w:multiLevelType w:val="hybridMultilevel"/>
    <w:tmpl w:val="B25044F2"/>
    <w:lvl w:ilvl="0" w:tplc="5FC45B30">
      <w:start w:val="1"/>
      <w:numFmt w:val="decimal"/>
      <w:lvlText w:val="%1."/>
      <w:lvlJc w:val="left"/>
      <w:pPr>
        <w:ind w:left="2264" w:hanging="420"/>
      </w:pPr>
      <w:rPr>
        <w:rFonts w:hint="eastAsia"/>
        <w:b/>
        <w:i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25" w15:restartNumberingAfterBreak="0">
    <w:nsid w:val="74177268"/>
    <w:multiLevelType w:val="hybridMultilevel"/>
    <w:tmpl w:val="5518DB12"/>
    <w:lvl w:ilvl="0" w:tplc="44D2838E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FA3942"/>
    <w:multiLevelType w:val="hybridMultilevel"/>
    <w:tmpl w:val="F8A0A0D8"/>
    <w:lvl w:ilvl="0" w:tplc="CE8A1B8A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9"/>
  </w:num>
  <w:num w:numId="5">
    <w:abstractNumId w:val="16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11"/>
  </w:num>
  <w:num w:numId="11">
    <w:abstractNumId w:val="18"/>
  </w:num>
  <w:num w:numId="12">
    <w:abstractNumId w:val="6"/>
  </w:num>
  <w:num w:numId="13">
    <w:abstractNumId w:val="23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  <w:num w:numId="18">
    <w:abstractNumId w:val="7"/>
  </w:num>
  <w:num w:numId="19">
    <w:abstractNumId w:val="24"/>
  </w:num>
  <w:num w:numId="20">
    <w:abstractNumId w:val="19"/>
  </w:num>
  <w:num w:numId="21">
    <w:abstractNumId w:val="10"/>
  </w:num>
  <w:num w:numId="22">
    <w:abstractNumId w:val="13"/>
  </w:num>
  <w:num w:numId="23">
    <w:abstractNumId w:val="14"/>
  </w:num>
  <w:num w:numId="24">
    <w:abstractNumId w:val="5"/>
  </w:num>
  <w:num w:numId="25">
    <w:abstractNumId w:val="21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C"/>
    <w:rsid w:val="00000F19"/>
    <w:rsid w:val="00006DF1"/>
    <w:rsid w:val="0001087D"/>
    <w:rsid w:val="0001566E"/>
    <w:rsid w:val="00016D92"/>
    <w:rsid w:val="00020CD1"/>
    <w:rsid w:val="0002163D"/>
    <w:rsid w:val="000266D1"/>
    <w:rsid w:val="0002673B"/>
    <w:rsid w:val="000358B9"/>
    <w:rsid w:val="00041740"/>
    <w:rsid w:val="0004192C"/>
    <w:rsid w:val="00041BCB"/>
    <w:rsid w:val="00046C7A"/>
    <w:rsid w:val="00047FD3"/>
    <w:rsid w:val="000514E0"/>
    <w:rsid w:val="00051BE7"/>
    <w:rsid w:val="00052327"/>
    <w:rsid w:val="00052578"/>
    <w:rsid w:val="000528E7"/>
    <w:rsid w:val="00060165"/>
    <w:rsid w:val="000609A0"/>
    <w:rsid w:val="00061986"/>
    <w:rsid w:val="00061A35"/>
    <w:rsid w:val="00062096"/>
    <w:rsid w:val="000646F5"/>
    <w:rsid w:val="00066739"/>
    <w:rsid w:val="0006775B"/>
    <w:rsid w:val="00070CFA"/>
    <w:rsid w:val="00072E89"/>
    <w:rsid w:val="00077B93"/>
    <w:rsid w:val="000810B9"/>
    <w:rsid w:val="00082D76"/>
    <w:rsid w:val="000839E8"/>
    <w:rsid w:val="000841F3"/>
    <w:rsid w:val="00087CBB"/>
    <w:rsid w:val="000930F5"/>
    <w:rsid w:val="00096523"/>
    <w:rsid w:val="000A00FE"/>
    <w:rsid w:val="000A082F"/>
    <w:rsid w:val="000A1D1D"/>
    <w:rsid w:val="000A42DE"/>
    <w:rsid w:val="000A58E7"/>
    <w:rsid w:val="000B059B"/>
    <w:rsid w:val="000B16E4"/>
    <w:rsid w:val="000B4F3F"/>
    <w:rsid w:val="000C159F"/>
    <w:rsid w:val="000C2123"/>
    <w:rsid w:val="000C252F"/>
    <w:rsid w:val="000C3342"/>
    <w:rsid w:val="000C579C"/>
    <w:rsid w:val="000C631D"/>
    <w:rsid w:val="000C651A"/>
    <w:rsid w:val="000C6D52"/>
    <w:rsid w:val="000D2B39"/>
    <w:rsid w:val="000E07F7"/>
    <w:rsid w:val="000E51A7"/>
    <w:rsid w:val="000E793E"/>
    <w:rsid w:val="000F1836"/>
    <w:rsid w:val="000F228B"/>
    <w:rsid w:val="000F4FB3"/>
    <w:rsid w:val="000F7EB4"/>
    <w:rsid w:val="001000D2"/>
    <w:rsid w:val="00100384"/>
    <w:rsid w:val="00103587"/>
    <w:rsid w:val="00107DBB"/>
    <w:rsid w:val="00113446"/>
    <w:rsid w:val="0011685F"/>
    <w:rsid w:val="00117104"/>
    <w:rsid w:val="00122A8E"/>
    <w:rsid w:val="00123E98"/>
    <w:rsid w:val="00124982"/>
    <w:rsid w:val="00126403"/>
    <w:rsid w:val="00132BCB"/>
    <w:rsid w:val="00133EC7"/>
    <w:rsid w:val="0013456B"/>
    <w:rsid w:val="00135209"/>
    <w:rsid w:val="00135784"/>
    <w:rsid w:val="001364A8"/>
    <w:rsid w:val="001419CD"/>
    <w:rsid w:val="00143369"/>
    <w:rsid w:val="001433E7"/>
    <w:rsid w:val="00145852"/>
    <w:rsid w:val="00147EC6"/>
    <w:rsid w:val="001534F8"/>
    <w:rsid w:val="00153ED2"/>
    <w:rsid w:val="00155595"/>
    <w:rsid w:val="00156062"/>
    <w:rsid w:val="00157152"/>
    <w:rsid w:val="0016699F"/>
    <w:rsid w:val="00166F33"/>
    <w:rsid w:val="00167435"/>
    <w:rsid w:val="00170159"/>
    <w:rsid w:val="001706EC"/>
    <w:rsid w:val="001734B8"/>
    <w:rsid w:val="0017432B"/>
    <w:rsid w:val="00174746"/>
    <w:rsid w:val="001748F2"/>
    <w:rsid w:val="001862D0"/>
    <w:rsid w:val="001878A5"/>
    <w:rsid w:val="00197ED3"/>
    <w:rsid w:val="001A069B"/>
    <w:rsid w:val="001A06D8"/>
    <w:rsid w:val="001A3744"/>
    <w:rsid w:val="001B0309"/>
    <w:rsid w:val="001B3BBA"/>
    <w:rsid w:val="001C2442"/>
    <w:rsid w:val="001C2683"/>
    <w:rsid w:val="001C4807"/>
    <w:rsid w:val="001C74C0"/>
    <w:rsid w:val="001C7A34"/>
    <w:rsid w:val="001C7BF2"/>
    <w:rsid w:val="001D49F6"/>
    <w:rsid w:val="001E0842"/>
    <w:rsid w:val="001E3202"/>
    <w:rsid w:val="001E6BD3"/>
    <w:rsid w:val="001E7979"/>
    <w:rsid w:val="001F0F65"/>
    <w:rsid w:val="001F383F"/>
    <w:rsid w:val="002002D9"/>
    <w:rsid w:val="00200A68"/>
    <w:rsid w:val="002011E5"/>
    <w:rsid w:val="00201412"/>
    <w:rsid w:val="002015E0"/>
    <w:rsid w:val="00203329"/>
    <w:rsid w:val="00203D31"/>
    <w:rsid w:val="00205D3A"/>
    <w:rsid w:val="002071A3"/>
    <w:rsid w:val="00210F3C"/>
    <w:rsid w:val="0021116D"/>
    <w:rsid w:val="002118E2"/>
    <w:rsid w:val="00212C8C"/>
    <w:rsid w:val="00213CD8"/>
    <w:rsid w:val="00217678"/>
    <w:rsid w:val="002209C3"/>
    <w:rsid w:val="00220E09"/>
    <w:rsid w:val="002216AA"/>
    <w:rsid w:val="00224CE0"/>
    <w:rsid w:val="002326BE"/>
    <w:rsid w:val="002367FD"/>
    <w:rsid w:val="0024226B"/>
    <w:rsid w:val="00243342"/>
    <w:rsid w:val="00250B6E"/>
    <w:rsid w:val="00250E1E"/>
    <w:rsid w:val="00250EFE"/>
    <w:rsid w:val="00252E45"/>
    <w:rsid w:val="00253D96"/>
    <w:rsid w:val="00253E24"/>
    <w:rsid w:val="0025704F"/>
    <w:rsid w:val="00257A58"/>
    <w:rsid w:val="002639EC"/>
    <w:rsid w:val="00263C64"/>
    <w:rsid w:val="00272FEB"/>
    <w:rsid w:val="002751BA"/>
    <w:rsid w:val="00275E0D"/>
    <w:rsid w:val="00276C6D"/>
    <w:rsid w:val="00280FBF"/>
    <w:rsid w:val="00281CDF"/>
    <w:rsid w:val="0028632D"/>
    <w:rsid w:val="00291C29"/>
    <w:rsid w:val="00296627"/>
    <w:rsid w:val="002A201D"/>
    <w:rsid w:val="002A7518"/>
    <w:rsid w:val="002B0052"/>
    <w:rsid w:val="002B0419"/>
    <w:rsid w:val="002B190F"/>
    <w:rsid w:val="002B3022"/>
    <w:rsid w:val="002B33FE"/>
    <w:rsid w:val="002B43C8"/>
    <w:rsid w:val="002B68E9"/>
    <w:rsid w:val="002B765C"/>
    <w:rsid w:val="002C10E3"/>
    <w:rsid w:val="002C25DB"/>
    <w:rsid w:val="002C2F0E"/>
    <w:rsid w:val="002C698B"/>
    <w:rsid w:val="002C72D4"/>
    <w:rsid w:val="002D1411"/>
    <w:rsid w:val="002D2874"/>
    <w:rsid w:val="002D43EB"/>
    <w:rsid w:val="002D77EC"/>
    <w:rsid w:val="002E02C5"/>
    <w:rsid w:val="002E32CE"/>
    <w:rsid w:val="002E3F08"/>
    <w:rsid w:val="002E4ED7"/>
    <w:rsid w:val="002E62B6"/>
    <w:rsid w:val="002E74B9"/>
    <w:rsid w:val="002F1251"/>
    <w:rsid w:val="002F18D5"/>
    <w:rsid w:val="002F67DF"/>
    <w:rsid w:val="002F7572"/>
    <w:rsid w:val="002F7EA6"/>
    <w:rsid w:val="003006CD"/>
    <w:rsid w:val="00300ABA"/>
    <w:rsid w:val="00300D7E"/>
    <w:rsid w:val="0030267D"/>
    <w:rsid w:val="00305B56"/>
    <w:rsid w:val="0031297E"/>
    <w:rsid w:val="00315E13"/>
    <w:rsid w:val="00321354"/>
    <w:rsid w:val="00321D1B"/>
    <w:rsid w:val="00322353"/>
    <w:rsid w:val="00326512"/>
    <w:rsid w:val="00327A16"/>
    <w:rsid w:val="003325A2"/>
    <w:rsid w:val="00333576"/>
    <w:rsid w:val="00337B7B"/>
    <w:rsid w:val="00342F60"/>
    <w:rsid w:val="00343E35"/>
    <w:rsid w:val="0035115A"/>
    <w:rsid w:val="00352619"/>
    <w:rsid w:val="00354CE6"/>
    <w:rsid w:val="00361152"/>
    <w:rsid w:val="00362A90"/>
    <w:rsid w:val="00365D0B"/>
    <w:rsid w:val="00366127"/>
    <w:rsid w:val="003677FA"/>
    <w:rsid w:val="00367BD7"/>
    <w:rsid w:val="00370752"/>
    <w:rsid w:val="0037249C"/>
    <w:rsid w:val="00372CCE"/>
    <w:rsid w:val="00373EA5"/>
    <w:rsid w:val="00374FB6"/>
    <w:rsid w:val="003774DB"/>
    <w:rsid w:val="00385A02"/>
    <w:rsid w:val="00396708"/>
    <w:rsid w:val="003973C4"/>
    <w:rsid w:val="003A0570"/>
    <w:rsid w:val="003A74AE"/>
    <w:rsid w:val="003B0928"/>
    <w:rsid w:val="003B171C"/>
    <w:rsid w:val="003B76B2"/>
    <w:rsid w:val="003C3630"/>
    <w:rsid w:val="003D059E"/>
    <w:rsid w:val="003D0F77"/>
    <w:rsid w:val="003D3D30"/>
    <w:rsid w:val="003D6ADE"/>
    <w:rsid w:val="003E49F3"/>
    <w:rsid w:val="003E5DC6"/>
    <w:rsid w:val="003F41E9"/>
    <w:rsid w:val="003F5571"/>
    <w:rsid w:val="003F7D98"/>
    <w:rsid w:val="004008F7"/>
    <w:rsid w:val="00403575"/>
    <w:rsid w:val="00405068"/>
    <w:rsid w:val="00406CAC"/>
    <w:rsid w:val="00410902"/>
    <w:rsid w:val="00410FAF"/>
    <w:rsid w:val="00413581"/>
    <w:rsid w:val="00417B74"/>
    <w:rsid w:val="00417D12"/>
    <w:rsid w:val="00421323"/>
    <w:rsid w:val="00423C4E"/>
    <w:rsid w:val="004258F3"/>
    <w:rsid w:val="004306DE"/>
    <w:rsid w:val="004315A5"/>
    <w:rsid w:val="00431C15"/>
    <w:rsid w:val="004320A6"/>
    <w:rsid w:val="00434AC6"/>
    <w:rsid w:val="00436772"/>
    <w:rsid w:val="00437D11"/>
    <w:rsid w:val="00440FEC"/>
    <w:rsid w:val="00441FB3"/>
    <w:rsid w:val="00444518"/>
    <w:rsid w:val="0044613E"/>
    <w:rsid w:val="00446B27"/>
    <w:rsid w:val="004531B8"/>
    <w:rsid w:val="00455BE2"/>
    <w:rsid w:val="00461E48"/>
    <w:rsid w:val="00462977"/>
    <w:rsid w:val="00463B6F"/>
    <w:rsid w:val="00470CFA"/>
    <w:rsid w:val="00475F9F"/>
    <w:rsid w:val="004855AE"/>
    <w:rsid w:val="004868E9"/>
    <w:rsid w:val="004872B9"/>
    <w:rsid w:val="0049102F"/>
    <w:rsid w:val="004916A4"/>
    <w:rsid w:val="004918C3"/>
    <w:rsid w:val="00493138"/>
    <w:rsid w:val="00493E43"/>
    <w:rsid w:val="004952F4"/>
    <w:rsid w:val="00496815"/>
    <w:rsid w:val="004A1562"/>
    <w:rsid w:val="004A1640"/>
    <w:rsid w:val="004A5B66"/>
    <w:rsid w:val="004A77D6"/>
    <w:rsid w:val="004A7C04"/>
    <w:rsid w:val="004B5B5A"/>
    <w:rsid w:val="004C118A"/>
    <w:rsid w:val="004C1AEF"/>
    <w:rsid w:val="004C230A"/>
    <w:rsid w:val="004C35D5"/>
    <w:rsid w:val="004C3620"/>
    <w:rsid w:val="004C7206"/>
    <w:rsid w:val="004D2095"/>
    <w:rsid w:val="004D2D4C"/>
    <w:rsid w:val="004D33A2"/>
    <w:rsid w:val="004D3C4D"/>
    <w:rsid w:val="004D5AB3"/>
    <w:rsid w:val="004D7677"/>
    <w:rsid w:val="004E0115"/>
    <w:rsid w:val="004E0E09"/>
    <w:rsid w:val="004E1A21"/>
    <w:rsid w:val="004E4AD9"/>
    <w:rsid w:val="00504F68"/>
    <w:rsid w:val="005054E0"/>
    <w:rsid w:val="00507F13"/>
    <w:rsid w:val="00511221"/>
    <w:rsid w:val="0051150A"/>
    <w:rsid w:val="00511B6E"/>
    <w:rsid w:val="005144E2"/>
    <w:rsid w:val="00514CAB"/>
    <w:rsid w:val="00516DD5"/>
    <w:rsid w:val="00524325"/>
    <w:rsid w:val="00530111"/>
    <w:rsid w:val="005307E7"/>
    <w:rsid w:val="005309C4"/>
    <w:rsid w:val="00530D15"/>
    <w:rsid w:val="0053121C"/>
    <w:rsid w:val="005337B7"/>
    <w:rsid w:val="00534819"/>
    <w:rsid w:val="0054047F"/>
    <w:rsid w:val="00541A21"/>
    <w:rsid w:val="00542966"/>
    <w:rsid w:val="00544FAB"/>
    <w:rsid w:val="0054640E"/>
    <w:rsid w:val="00553A5B"/>
    <w:rsid w:val="00553FCC"/>
    <w:rsid w:val="00556376"/>
    <w:rsid w:val="0056113C"/>
    <w:rsid w:val="00561495"/>
    <w:rsid w:val="005616E0"/>
    <w:rsid w:val="0056222B"/>
    <w:rsid w:val="0056364F"/>
    <w:rsid w:val="005712F0"/>
    <w:rsid w:val="00576A69"/>
    <w:rsid w:val="005774D2"/>
    <w:rsid w:val="00582040"/>
    <w:rsid w:val="00584FEC"/>
    <w:rsid w:val="00585198"/>
    <w:rsid w:val="00587220"/>
    <w:rsid w:val="005935B2"/>
    <w:rsid w:val="00596FED"/>
    <w:rsid w:val="00597E79"/>
    <w:rsid w:val="005A2AD2"/>
    <w:rsid w:val="005A70F3"/>
    <w:rsid w:val="005B1EAB"/>
    <w:rsid w:val="005B37C5"/>
    <w:rsid w:val="005B4D1B"/>
    <w:rsid w:val="005B4E7F"/>
    <w:rsid w:val="005B6626"/>
    <w:rsid w:val="005B7855"/>
    <w:rsid w:val="005C1191"/>
    <w:rsid w:val="005C2744"/>
    <w:rsid w:val="005C2D85"/>
    <w:rsid w:val="005C4934"/>
    <w:rsid w:val="005C56F9"/>
    <w:rsid w:val="005C78DD"/>
    <w:rsid w:val="005D1DED"/>
    <w:rsid w:val="005D27B0"/>
    <w:rsid w:val="005D69B8"/>
    <w:rsid w:val="005E326E"/>
    <w:rsid w:val="005F1D6A"/>
    <w:rsid w:val="006002EB"/>
    <w:rsid w:val="00602DB9"/>
    <w:rsid w:val="00606E9C"/>
    <w:rsid w:val="006133FD"/>
    <w:rsid w:val="00615824"/>
    <w:rsid w:val="00616E5E"/>
    <w:rsid w:val="00620FFD"/>
    <w:rsid w:val="006214E8"/>
    <w:rsid w:val="00622900"/>
    <w:rsid w:val="00623959"/>
    <w:rsid w:val="00625B69"/>
    <w:rsid w:val="00625D84"/>
    <w:rsid w:val="00627903"/>
    <w:rsid w:val="00630FCA"/>
    <w:rsid w:val="006356BC"/>
    <w:rsid w:val="00635C23"/>
    <w:rsid w:val="00635F2B"/>
    <w:rsid w:val="00636E55"/>
    <w:rsid w:val="00643161"/>
    <w:rsid w:val="006443A1"/>
    <w:rsid w:val="0064664E"/>
    <w:rsid w:val="00653EF6"/>
    <w:rsid w:val="00656DC9"/>
    <w:rsid w:val="0066072C"/>
    <w:rsid w:val="00663CA4"/>
    <w:rsid w:val="006669B6"/>
    <w:rsid w:val="00667837"/>
    <w:rsid w:val="006708A5"/>
    <w:rsid w:val="00671FA9"/>
    <w:rsid w:val="0067225F"/>
    <w:rsid w:val="006730DE"/>
    <w:rsid w:val="00673D27"/>
    <w:rsid w:val="006741C9"/>
    <w:rsid w:val="006846BC"/>
    <w:rsid w:val="006868CD"/>
    <w:rsid w:val="00687BBD"/>
    <w:rsid w:val="006909A3"/>
    <w:rsid w:val="0069231D"/>
    <w:rsid w:val="0069296F"/>
    <w:rsid w:val="00693475"/>
    <w:rsid w:val="00695A16"/>
    <w:rsid w:val="006A0FC5"/>
    <w:rsid w:val="006A1385"/>
    <w:rsid w:val="006A43F0"/>
    <w:rsid w:val="006A5C09"/>
    <w:rsid w:val="006B00C0"/>
    <w:rsid w:val="006B02C3"/>
    <w:rsid w:val="006B051A"/>
    <w:rsid w:val="006B1798"/>
    <w:rsid w:val="006B3294"/>
    <w:rsid w:val="006B4B1D"/>
    <w:rsid w:val="006B7476"/>
    <w:rsid w:val="006C1A27"/>
    <w:rsid w:val="006C6F97"/>
    <w:rsid w:val="006D0491"/>
    <w:rsid w:val="006D0946"/>
    <w:rsid w:val="006D2426"/>
    <w:rsid w:val="006D287F"/>
    <w:rsid w:val="006D48B7"/>
    <w:rsid w:val="006E0A4A"/>
    <w:rsid w:val="006E0C51"/>
    <w:rsid w:val="006E4E28"/>
    <w:rsid w:val="006F156D"/>
    <w:rsid w:val="006F1CAF"/>
    <w:rsid w:val="006F2C4C"/>
    <w:rsid w:val="006F2CF2"/>
    <w:rsid w:val="006F2E93"/>
    <w:rsid w:val="006F7873"/>
    <w:rsid w:val="007021F3"/>
    <w:rsid w:val="007045CA"/>
    <w:rsid w:val="00704C31"/>
    <w:rsid w:val="00706987"/>
    <w:rsid w:val="00710E69"/>
    <w:rsid w:val="0071454A"/>
    <w:rsid w:val="00717E77"/>
    <w:rsid w:val="007215E1"/>
    <w:rsid w:val="00721D1E"/>
    <w:rsid w:val="0072403B"/>
    <w:rsid w:val="00726C00"/>
    <w:rsid w:val="0072723C"/>
    <w:rsid w:val="00731D07"/>
    <w:rsid w:val="00734A99"/>
    <w:rsid w:val="007372FD"/>
    <w:rsid w:val="00740314"/>
    <w:rsid w:val="00740C08"/>
    <w:rsid w:val="007420D9"/>
    <w:rsid w:val="007429B0"/>
    <w:rsid w:val="0074470F"/>
    <w:rsid w:val="00747C7B"/>
    <w:rsid w:val="00750271"/>
    <w:rsid w:val="007527D5"/>
    <w:rsid w:val="007555B5"/>
    <w:rsid w:val="00760984"/>
    <w:rsid w:val="00770370"/>
    <w:rsid w:val="00773778"/>
    <w:rsid w:val="00780AE5"/>
    <w:rsid w:val="00781AD2"/>
    <w:rsid w:val="0078273F"/>
    <w:rsid w:val="007834E8"/>
    <w:rsid w:val="00785D0B"/>
    <w:rsid w:val="00790C48"/>
    <w:rsid w:val="007924DA"/>
    <w:rsid w:val="0079581A"/>
    <w:rsid w:val="007968AD"/>
    <w:rsid w:val="0079711A"/>
    <w:rsid w:val="0079742E"/>
    <w:rsid w:val="0079794D"/>
    <w:rsid w:val="007A2139"/>
    <w:rsid w:val="007A5D03"/>
    <w:rsid w:val="007A7195"/>
    <w:rsid w:val="007A7CB9"/>
    <w:rsid w:val="007B000E"/>
    <w:rsid w:val="007B08D0"/>
    <w:rsid w:val="007B5CEF"/>
    <w:rsid w:val="007B5E59"/>
    <w:rsid w:val="007C12F8"/>
    <w:rsid w:val="007C3E2F"/>
    <w:rsid w:val="007C3FB5"/>
    <w:rsid w:val="007C4868"/>
    <w:rsid w:val="007C6353"/>
    <w:rsid w:val="007D5204"/>
    <w:rsid w:val="007D679B"/>
    <w:rsid w:val="007D7583"/>
    <w:rsid w:val="007D7B31"/>
    <w:rsid w:val="007F032D"/>
    <w:rsid w:val="007F2223"/>
    <w:rsid w:val="007F36BD"/>
    <w:rsid w:val="007F3A18"/>
    <w:rsid w:val="007F4041"/>
    <w:rsid w:val="007F6ABB"/>
    <w:rsid w:val="007F6F37"/>
    <w:rsid w:val="00802657"/>
    <w:rsid w:val="0080439E"/>
    <w:rsid w:val="008064F6"/>
    <w:rsid w:val="00806550"/>
    <w:rsid w:val="008115E9"/>
    <w:rsid w:val="008130E0"/>
    <w:rsid w:val="00813B00"/>
    <w:rsid w:val="008162E3"/>
    <w:rsid w:val="008214C0"/>
    <w:rsid w:val="00821737"/>
    <w:rsid w:val="00825D07"/>
    <w:rsid w:val="00826896"/>
    <w:rsid w:val="00827A2E"/>
    <w:rsid w:val="00827D61"/>
    <w:rsid w:val="0083162B"/>
    <w:rsid w:val="00831E3E"/>
    <w:rsid w:val="008323A1"/>
    <w:rsid w:val="00840379"/>
    <w:rsid w:val="00840FF3"/>
    <w:rsid w:val="008423DA"/>
    <w:rsid w:val="00842E9E"/>
    <w:rsid w:val="00846103"/>
    <w:rsid w:val="0085538D"/>
    <w:rsid w:val="008619C1"/>
    <w:rsid w:val="008621B2"/>
    <w:rsid w:val="00862E52"/>
    <w:rsid w:val="008652A3"/>
    <w:rsid w:val="008653A6"/>
    <w:rsid w:val="00872692"/>
    <w:rsid w:val="0087715E"/>
    <w:rsid w:val="008804E0"/>
    <w:rsid w:val="008825B1"/>
    <w:rsid w:val="00882779"/>
    <w:rsid w:val="00883937"/>
    <w:rsid w:val="00883EEE"/>
    <w:rsid w:val="00886785"/>
    <w:rsid w:val="008914EA"/>
    <w:rsid w:val="00896030"/>
    <w:rsid w:val="008A13FF"/>
    <w:rsid w:val="008A25A7"/>
    <w:rsid w:val="008A3827"/>
    <w:rsid w:val="008B0D56"/>
    <w:rsid w:val="008B3BD3"/>
    <w:rsid w:val="008B411F"/>
    <w:rsid w:val="008B4880"/>
    <w:rsid w:val="008B4FCB"/>
    <w:rsid w:val="008C2CA0"/>
    <w:rsid w:val="008C2EA5"/>
    <w:rsid w:val="008C4E74"/>
    <w:rsid w:val="008D1A6E"/>
    <w:rsid w:val="008D2D6A"/>
    <w:rsid w:val="008D4592"/>
    <w:rsid w:val="008D4A6D"/>
    <w:rsid w:val="008D4B56"/>
    <w:rsid w:val="008D5138"/>
    <w:rsid w:val="008D53E3"/>
    <w:rsid w:val="008E0ED8"/>
    <w:rsid w:val="008E6A36"/>
    <w:rsid w:val="008E6C6C"/>
    <w:rsid w:val="008F24EE"/>
    <w:rsid w:val="008F2833"/>
    <w:rsid w:val="008F6212"/>
    <w:rsid w:val="00901AB5"/>
    <w:rsid w:val="009158A4"/>
    <w:rsid w:val="00917F05"/>
    <w:rsid w:val="00921C00"/>
    <w:rsid w:val="009225FC"/>
    <w:rsid w:val="009237D3"/>
    <w:rsid w:val="00923D76"/>
    <w:rsid w:val="00925418"/>
    <w:rsid w:val="00926750"/>
    <w:rsid w:val="009302B5"/>
    <w:rsid w:val="00931383"/>
    <w:rsid w:val="00931841"/>
    <w:rsid w:val="0093347E"/>
    <w:rsid w:val="0093486C"/>
    <w:rsid w:val="009353FA"/>
    <w:rsid w:val="00936195"/>
    <w:rsid w:val="00936665"/>
    <w:rsid w:val="0094019C"/>
    <w:rsid w:val="00941D90"/>
    <w:rsid w:val="0094526E"/>
    <w:rsid w:val="00947636"/>
    <w:rsid w:val="009526D7"/>
    <w:rsid w:val="00956D52"/>
    <w:rsid w:val="00960A21"/>
    <w:rsid w:val="009618C2"/>
    <w:rsid w:val="00964F9B"/>
    <w:rsid w:val="00974DEB"/>
    <w:rsid w:val="009776DA"/>
    <w:rsid w:val="00977B47"/>
    <w:rsid w:val="00980E9D"/>
    <w:rsid w:val="009814E0"/>
    <w:rsid w:val="0098520F"/>
    <w:rsid w:val="0098588D"/>
    <w:rsid w:val="00990EE3"/>
    <w:rsid w:val="00991160"/>
    <w:rsid w:val="00993559"/>
    <w:rsid w:val="00995367"/>
    <w:rsid w:val="00996EAC"/>
    <w:rsid w:val="009A143E"/>
    <w:rsid w:val="009A3419"/>
    <w:rsid w:val="009A6F63"/>
    <w:rsid w:val="009B1AF9"/>
    <w:rsid w:val="009B2B3F"/>
    <w:rsid w:val="009B4DFE"/>
    <w:rsid w:val="009B603F"/>
    <w:rsid w:val="009C05E6"/>
    <w:rsid w:val="009C154F"/>
    <w:rsid w:val="009C162E"/>
    <w:rsid w:val="009C5641"/>
    <w:rsid w:val="009D069C"/>
    <w:rsid w:val="009D0A95"/>
    <w:rsid w:val="009D1D06"/>
    <w:rsid w:val="009D512D"/>
    <w:rsid w:val="009E0489"/>
    <w:rsid w:val="009E285E"/>
    <w:rsid w:val="009E3DF9"/>
    <w:rsid w:val="009E4726"/>
    <w:rsid w:val="009F0A5E"/>
    <w:rsid w:val="009F0B44"/>
    <w:rsid w:val="009F2665"/>
    <w:rsid w:val="009F3A03"/>
    <w:rsid w:val="009F53CA"/>
    <w:rsid w:val="009F6874"/>
    <w:rsid w:val="00A02DC6"/>
    <w:rsid w:val="00A05F18"/>
    <w:rsid w:val="00A07532"/>
    <w:rsid w:val="00A1046A"/>
    <w:rsid w:val="00A140C5"/>
    <w:rsid w:val="00A14FFD"/>
    <w:rsid w:val="00A15F14"/>
    <w:rsid w:val="00A17631"/>
    <w:rsid w:val="00A20367"/>
    <w:rsid w:val="00A2495A"/>
    <w:rsid w:val="00A27413"/>
    <w:rsid w:val="00A27C37"/>
    <w:rsid w:val="00A31EF6"/>
    <w:rsid w:val="00A34771"/>
    <w:rsid w:val="00A419A9"/>
    <w:rsid w:val="00A470DD"/>
    <w:rsid w:val="00A520AC"/>
    <w:rsid w:val="00A55025"/>
    <w:rsid w:val="00A57D53"/>
    <w:rsid w:val="00A60A24"/>
    <w:rsid w:val="00A61BE6"/>
    <w:rsid w:val="00A6593D"/>
    <w:rsid w:val="00A66ECC"/>
    <w:rsid w:val="00A677BC"/>
    <w:rsid w:val="00A73382"/>
    <w:rsid w:val="00A741C2"/>
    <w:rsid w:val="00A74A9B"/>
    <w:rsid w:val="00A81D76"/>
    <w:rsid w:val="00A82693"/>
    <w:rsid w:val="00A832EC"/>
    <w:rsid w:val="00A83492"/>
    <w:rsid w:val="00A86BFA"/>
    <w:rsid w:val="00A90A4F"/>
    <w:rsid w:val="00A90C4C"/>
    <w:rsid w:val="00A92854"/>
    <w:rsid w:val="00A939A6"/>
    <w:rsid w:val="00A96A5C"/>
    <w:rsid w:val="00A9733E"/>
    <w:rsid w:val="00A974C0"/>
    <w:rsid w:val="00AA1D7E"/>
    <w:rsid w:val="00AA309F"/>
    <w:rsid w:val="00AA3D07"/>
    <w:rsid w:val="00AB11D8"/>
    <w:rsid w:val="00AB136D"/>
    <w:rsid w:val="00AB21BB"/>
    <w:rsid w:val="00AB36DD"/>
    <w:rsid w:val="00AB45BC"/>
    <w:rsid w:val="00AB5D3F"/>
    <w:rsid w:val="00AB70CE"/>
    <w:rsid w:val="00AB77B3"/>
    <w:rsid w:val="00AC180B"/>
    <w:rsid w:val="00AC31C7"/>
    <w:rsid w:val="00AC6149"/>
    <w:rsid w:val="00AC6938"/>
    <w:rsid w:val="00AD08D4"/>
    <w:rsid w:val="00AD2A94"/>
    <w:rsid w:val="00AD2DFB"/>
    <w:rsid w:val="00AE044F"/>
    <w:rsid w:val="00AE1581"/>
    <w:rsid w:val="00AE4036"/>
    <w:rsid w:val="00AE4E22"/>
    <w:rsid w:val="00AF0C7C"/>
    <w:rsid w:val="00AF26F0"/>
    <w:rsid w:val="00AF2FB5"/>
    <w:rsid w:val="00AF6E1E"/>
    <w:rsid w:val="00B04B19"/>
    <w:rsid w:val="00B059D7"/>
    <w:rsid w:val="00B1190D"/>
    <w:rsid w:val="00B11F56"/>
    <w:rsid w:val="00B12FF5"/>
    <w:rsid w:val="00B159EC"/>
    <w:rsid w:val="00B228BF"/>
    <w:rsid w:val="00B229FB"/>
    <w:rsid w:val="00B24A0A"/>
    <w:rsid w:val="00B31BBA"/>
    <w:rsid w:val="00B34829"/>
    <w:rsid w:val="00B35004"/>
    <w:rsid w:val="00B35EE5"/>
    <w:rsid w:val="00B363A6"/>
    <w:rsid w:val="00B377FA"/>
    <w:rsid w:val="00B440EB"/>
    <w:rsid w:val="00B4543D"/>
    <w:rsid w:val="00B502C5"/>
    <w:rsid w:val="00B52178"/>
    <w:rsid w:val="00B52F6C"/>
    <w:rsid w:val="00B54015"/>
    <w:rsid w:val="00B54811"/>
    <w:rsid w:val="00B56BDA"/>
    <w:rsid w:val="00B56FF7"/>
    <w:rsid w:val="00B602F9"/>
    <w:rsid w:val="00B62562"/>
    <w:rsid w:val="00B62EF8"/>
    <w:rsid w:val="00B64C62"/>
    <w:rsid w:val="00B77263"/>
    <w:rsid w:val="00B77C61"/>
    <w:rsid w:val="00B81259"/>
    <w:rsid w:val="00B84077"/>
    <w:rsid w:val="00B865B2"/>
    <w:rsid w:val="00B90E21"/>
    <w:rsid w:val="00B9344E"/>
    <w:rsid w:val="00B95438"/>
    <w:rsid w:val="00B95876"/>
    <w:rsid w:val="00BA1A49"/>
    <w:rsid w:val="00BA35F1"/>
    <w:rsid w:val="00BA4B1A"/>
    <w:rsid w:val="00BA4C35"/>
    <w:rsid w:val="00BA537C"/>
    <w:rsid w:val="00BA6508"/>
    <w:rsid w:val="00BA7878"/>
    <w:rsid w:val="00BB1628"/>
    <w:rsid w:val="00BB176D"/>
    <w:rsid w:val="00BB2122"/>
    <w:rsid w:val="00BB3D39"/>
    <w:rsid w:val="00BC09AE"/>
    <w:rsid w:val="00BC5298"/>
    <w:rsid w:val="00BC6F68"/>
    <w:rsid w:val="00BD02CE"/>
    <w:rsid w:val="00BD0EC7"/>
    <w:rsid w:val="00BD5E62"/>
    <w:rsid w:val="00BD6496"/>
    <w:rsid w:val="00BD7971"/>
    <w:rsid w:val="00BE5AE7"/>
    <w:rsid w:val="00BE630D"/>
    <w:rsid w:val="00BE7D1E"/>
    <w:rsid w:val="00BF2A47"/>
    <w:rsid w:val="00BF65FB"/>
    <w:rsid w:val="00BF6985"/>
    <w:rsid w:val="00BF6AC1"/>
    <w:rsid w:val="00C00290"/>
    <w:rsid w:val="00C02123"/>
    <w:rsid w:val="00C044A4"/>
    <w:rsid w:val="00C049AB"/>
    <w:rsid w:val="00C0688D"/>
    <w:rsid w:val="00C06A90"/>
    <w:rsid w:val="00C07D0F"/>
    <w:rsid w:val="00C11C01"/>
    <w:rsid w:val="00C11CFA"/>
    <w:rsid w:val="00C11D73"/>
    <w:rsid w:val="00C12D9C"/>
    <w:rsid w:val="00C135EE"/>
    <w:rsid w:val="00C16888"/>
    <w:rsid w:val="00C16CFF"/>
    <w:rsid w:val="00C2590F"/>
    <w:rsid w:val="00C25DF2"/>
    <w:rsid w:val="00C2749E"/>
    <w:rsid w:val="00C30628"/>
    <w:rsid w:val="00C30F57"/>
    <w:rsid w:val="00C32724"/>
    <w:rsid w:val="00C33080"/>
    <w:rsid w:val="00C3497D"/>
    <w:rsid w:val="00C35E37"/>
    <w:rsid w:val="00C41611"/>
    <w:rsid w:val="00C4486F"/>
    <w:rsid w:val="00C44AD3"/>
    <w:rsid w:val="00C452BC"/>
    <w:rsid w:val="00C50071"/>
    <w:rsid w:val="00C52613"/>
    <w:rsid w:val="00C52A0D"/>
    <w:rsid w:val="00C52DC7"/>
    <w:rsid w:val="00C570E2"/>
    <w:rsid w:val="00C5771E"/>
    <w:rsid w:val="00C651D5"/>
    <w:rsid w:val="00C6613A"/>
    <w:rsid w:val="00C66684"/>
    <w:rsid w:val="00C666D7"/>
    <w:rsid w:val="00C7115F"/>
    <w:rsid w:val="00C716C7"/>
    <w:rsid w:val="00C7331F"/>
    <w:rsid w:val="00C75920"/>
    <w:rsid w:val="00C85E63"/>
    <w:rsid w:val="00C92638"/>
    <w:rsid w:val="00C94CA7"/>
    <w:rsid w:val="00C97897"/>
    <w:rsid w:val="00C97C0A"/>
    <w:rsid w:val="00CA4669"/>
    <w:rsid w:val="00CA4EAE"/>
    <w:rsid w:val="00CA74A9"/>
    <w:rsid w:val="00CB0AF3"/>
    <w:rsid w:val="00CB1529"/>
    <w:rsid w:val="00CB278A"/>
    <w:rsid w:val="00CB6095"/>
    <w:rsid w:val="00CC0B6D"/>
    <w:rsid w:val="00CC4824"/>
    <w:rsid w:val="00CE3507"/>
    <w:rsid w:val="00CE7036"/>
    <w:rsid w:val="00CF1B87"/>
    <w:rsid w:val="00CF21FC"/>
    <w:rsid w:val="00CF2DE9"/>
    <w:rsid w:val="00CF4340"/>
    <w:rsid w:val="00D05BC3"/>
    <w:rsid w:val="00D0773B"/>
    <w:rsid w:val="00D125B2"/>
    <w:rsid w:val="00D15917"/>
    <w:rsid w:val="00D16938"/>
    <w:rsid w:val="00D24E12"/>
    <w:rsid w:val="00D265D7"/>
    <w:rsid w:val="00D27938"/>
    <w:rsid w:val="00D30263"/>
    <w:rsid w:val="00D32254"/>
    <w:rsid w:val="00D32A87"/>
    <w:rsid w:val="00D3378C"/>
    <w:rsid w:val="00D3508C"/>
    <w:rsid w:val="00D43E37"/>
    <w:rsid w:val="00D4640C"/>
    <w:rsid w:val="00D470AB"/>
    <w:rsid w:val="00D508B9"/>
    <w:rsid w:val="00D53C91"/>
    <w:rsid w:val="00D55F97"/>
    <w:rsid w:val="00D66D18"/>
    <w:rsid w:val="00D75268"/>
    <w:rsid w:val="00D82D18"/>
    <w:rsid w:val="00D843FE"/>
    <w:rsid w:val="00D851F4"/>
    <w:rsid w:val="00D8722B"/>
    <w:rsid w:val="00D8759E"/>
    <w:rsid w:val="00D931B2"/>
    <w:rsid w:val="00D956FD"/>
    <w:rsid w:val="00DA103D"/>
    <w:rsid w:val="00DA3029"/>
    <w:rsid w:val="00DA7FA8"/>
    <w:rsid w:val="00DB4211"/>
    <w:rsid w:val="00DB7736"/>
    <w:rsid w:val="00DC1DB5"/>
    <w:rsid w:val="00DC411B"/>
    <w:rsid w:val="00DC5496"/>
    <w:rsid w:val="00DC5E65"/>
    <w:rsid w:val="00DC7AB8"/>
    <w:rsid w:val="00DD17C6"/>
    <w:rsid w:val="00DD4FBD"/>
    <w:rsid w:val="00DE115B"/>
    <w:rsid w:val="00DE1949"/>
    <w:rsid w:val="00DE216E"/>
    <w:rsid w:val="00DE23A8"/>
    <w:rsid w:val="00DE5BFE"/>
    <w:rsid w:val="00DF0221"/>
    <w:rsid w:val="00DF5C78"/>
    <w:rsid w:val="00DF5D09"/>
    <w:rsid w:val="00DF77FA"/>
    <w:rsid w:val="00DF77FD"/>
    <w:rsid w:val="00E02870"/>
    <w:rsid w:val="00E0595E"/>
    <w:rsid w:val="00E07B9C"/>
    <w:rsid w:val="00E129FB"/>
    <w:rsid w:val="00E13275"/>
    <w:rsid w:val="00E21D53"/>
    <w:rsid w:val="00E23093"/>
    <w:rsid w:val="00E2386E"/>
    <w:rsid w:val="00E30DC2"/>
    <w:rsid w:val="00E35DBB"/>
    <w:rsid w:val="00E366D4"/>
    <w:rsid w:val="00E40300"/>
    <w:rsid w:val="00E40BA9"/>
    <w:rsid w:val="00E40EB7"/>
    <w:rsid w:val="00E422C7"/>
    <w:rsid w:val="00E46299"/>
    <w:rsid w:val="00E55226"/>
    <w:rsid w:val="00E559FF"/>
    <w:rsid w:val="00E626A9"/>
    <w:rsid w:val="00E64892"/>
    <w:rsid w:val="00E67BB6"/>
    <w:rsid w:val="00E67C4E"/>
    <w:rsid w:val="00E70927"/>
    <w:rsid w:val="00E73607"/>
    <w:rsid w:val="00E85B21"/>
    <w:rsid w:val="00E90F57"/>
    <w:rsid w:val="00E917EC"/>
    <w:rsid w:val="00E93182"/>
    <w:rsid w:val="00E93AE4"/>
    <w:rsid w:val="00E97C78"/>
    <w:rsid w:val="00EA3251"/>
    <w:rsid w:val="00EA51B4"/>
    <w:rsid w:val="00EB0CD7"/>
    <w:rsid w:val="00EB1BC2"/>
    <w:rsid w:val="00EB41A9"/>
    <w:rsid w:val="00EB61F8"/>
    <w:rsid w:val="00EC0224"/>
    <w:rsid w:val="00EC7F2E"/>
    <w:rsid w:val="00ED697F"/>
    <w:rsid w:val="00ED72A3"/>
    <w:rsid w:val="00EE3AC4"/>
    <w:rsid w:val="00EE3AF0"/>
    <w:rsid w:val="00EE4816"/>
    <w:rsid w:val="00EE6852"/>
    <w:rsid w:val="00EF463F"/>
    <w:rsid w:val="00EF5D4F"/>
    <w:rsid w:val="00F00CF1"/>
    <w:rsid w:val="00F01613"/>
    <w:rsid w:val="00F025A7"/>
    <w:rsid w:val="00F0457B"/>
    <w:rsid w:val="00F06393"/>
    <w:rsid w:val="00F146D1"/>
    <w:rsid w:val="00F16EEE"/>
    <w:rsid w:val="00F209D9"/>
    <w:rsid w:val="00F20B53"/>
    <w:rsid w:val="00F23A37"/>
    <w:rsid w:val="00F24FA9"/>
    <w:rsid w:val="00F32B80"/>
    <w:rsid w:val="00F330F3"/>
    <w:rsid w:val="00F33226"/>
    <w:rsid w:val="00F41C1A"/>
    <w:rsid w:val="00F4327D"/>
    <w:rsid w:val="00F43CD2"/>
    <w:rsid w:val="00F4784A"/>
    <w:rsid w:val="00F515E0"/>
    <w:rsid w:val="00F5375B"/>
    <w:rsid w:val="00F56AD6"/>
    <w:rsid w:val="00F60AB5"/>
    <w:rsid w:val="00F62E51"/>
    <w:rsid w:val="00F63074"/>
    <w:rsid w:val="00F64B18"/>
    <w:rsid w:val="00F6538D"/>
    <w:rsid w:val="00F6760A"/>
    <w:rsid w:val="00F71E03"/>
    <w:rsid w:val="00F72AAE"/>
    <w:rsid w:val="00F7345D"/>
    <w:rsid w:val="00F777B1"/>
    <w:rsid w:val="00F849C0"/>
    <w:rsid w:val="00F87B17"/>
    <w:rsid w:val="00F87EF1"/>
    <w:rsid w:val="00F87F5E"/>
    <w:rsid w:val="00F90F83"/>
    <w:rsid w:val="00F94409"/>
    <w:rsid w:val="00F953A9"/>
    <w:rsid w:val="00FA066A"/>
    <w:rsid w:val="00FA083B"/>
    <w:rsid w:val="00FA10FF"/>
    <w:rsid w:val="00FA1260"/>
    <w:rsid w:val="00FA17B4"/>
    <w:rsid w:val="00FA27E2"/>
    <w:rsid w:val="00FA3B70"/>
    <w:rsid w:val="00FA3CE6"/>
    <w:rsid w:val="00FA641E"/>
    <w:rsid w:val="00FB14A7"/>
    <w:rsid w:val="00FB49E6"/>
    <w:rsid w:val="00FB5784"/>
    <w:rsid w:val="00FB5AF8"/>
    <w:rsid w:val="00FB6344"/>
    <w:rsid w:val="00FC365B"/>
    <w:rsid w:val="00FC387F"/>
    <w:rsid w:val="00FC46F1"/>
    <w:rsid w:val="00FD4944"/>
    <w:rsid w:val="00FD597E"/>
    <w:rsid w:val="00FD5FF6"/>
    <w:rsid w:val="00FD66D5"/>
    <w:rsid w:val="00FD702E"/>
    <w:rsid w:val="00FD7AB8"/>
    <w:rsid w:val="00FE0717"/>
    <w:rsid w:val="00FE0EAF"/>
    <w:rsid w:val="00FE436E"/>
    <w:rsid w:val="00FE4ADC"/>
    <w:rsid w:val="00FE4F1D"/>
    <w:rsid w:val="00FE6F9A"/>
    <w:rsid w:val="00FE71F9"/>
    <w:rsid w:val="00FE7B2E"/>
    <w:rsid w:val="00FF2E76"/>
    <w:rsid w:val="00FF44A8"/>
    <w:rsid w:val="00FF5FD2"/>
    <w:rsid w:val="00FF71BE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CBA8D"/>
  <w15:docId w15:val="{FB4F715D-0331-41B4-B036-8327ECC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7B7"/>
    <w:rPr>
      <w:sz w:val="18"/>
      <w:szCs w:val="18"/>
    </w:rPr>
  </w:style>
  <w:style w:type="paragraph" w:customStyle="1" w:styleId="Default">
    <w:name w:val="Default"/>
    <w:rsid w:val="00153ED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3347E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52F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3F0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E3F0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列出段落 字符"/>
    <w:link w:val="a7"/>
    <w:uiPriority w:val="34"/>
    <w:qFormat/>
    <w:rsid w:val="00DE115B"/>
    <w:rPr>
      <w:rFonts w:ascii="Times New Roman" w:eastAsia="宋体" w:hAnsi="Times New Roman" w:cs="Times New Roman"/>
      <w:szCs w:val="24"/>
    </w:rPr>
  </w:style>
  <w:style w:type="character" w:customStyle="1" w:styleId="dt-editorword">
    <w:name w:val="dt-editor__word"/>
    <w:basedOn w:val="a0"/>
    <w:rsid w:val="00FD66D5"/>
  </w:style>
  <w:style w:type="character" w:styleId="ac">
    <w:name w:val="annotation reference"/>
    <w:basedOn w:val="a0"/>
    <w:uiPriority w:val="99"/>
    <w:semiHidden/>
    <w:unhideWhenUsed/>
    <w:rsid w:val="00446B2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46B2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46B27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6B2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46B2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572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3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041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873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D16C-5BCC-41EA-AF7C-6FB00247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515</Words>
  <Characters>2940</Characters>
  <Application>Microsoft Office Word</Application>
  <DocSecurity>0</DocSecurity>
  <Lines>24</Lines>
  <Paragraphs>6</Paragraphs>
  <ScaleCrop>false</ScaleCrop>
  <Company>Deppon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曾静(Jane Zeng)</dc:creator>
  <cp:lastModifiedBy>黄金龙</cp:lastModifiedBy>
  <cp:revision>95</cp:revision>
  <cp:lastPrinted>2019-04-11T02:37:00Z</cp:lastPrinted>
  <dcterms:created xsi:type="dcterms:W3CDTF">2023-05-04T08:35:00Z</dcterms:created>
  <dcterms:modified xsi:type="dcterms:W3CDTF">2024-04-29T08:45:00Z</dcterms:modified>
</cp:coreProperties>
</file>