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BB" w:rsidRDefault="00727401">
      <w:pPr>
        <w:spacing w:beforeLines="50" w:before="156" w:afterLines="50" w:after="156" w:line="400" w:lineRule="exact"/>
        <w:rPr>
          <w:rFonts w:ascii="Times New Roman" w:hAnsi="Times New Roman" w:cs="Times New Roman"/>
          <w:bCs/>
          <w:iCs/>
          <w:color w:val="000000"/>
          <w:sz w:val="24"/>
        </w:rPr>
      </w:pPr>
      <w:r>
        <w:rPr>
          <w:rFonts w:ascii="Times New Roman" w:hAnsi="Times New Roman" w:cs="Times New Roman"/>
          <w:bCs/>
          <w:iCs/>
          <w:color w:val="000000"/>
          <w:sz w:val="24"/>
        </w:rPr>
        <w:t>证券代码：</w:t>
      </w:r>
      <w:r>
        <w:rPr>
          <w:rFonts w:ascii="Times New Roman" w:hAnsi="Times New Roman" w:cs="Times New Roman"/>
          <w:bCs/>
          <w:iCs/>
          <w:color w:val="000000"/>
          <w:sz w:val="24"/>
        </w:rPr>
        <w:t xml:space="preserve">600361                                  </w:t>
      </w:r>
      <w:r>
        <w:rPr>
          <w:rFonts w:ascii="Times New Roman" w:hAnsi="Times New Roman" w:cs="Times New Roman"/>
          <w:bCs/>
          <w:iCs/>
          <w:color w:val="000000"/>
          <w:sz w:val="24"/>
        </w:rPr>
        <w:t>证券简称：创新新材</w:t>
      </w:r>
    </w:p>
    <w:p w:rsidR="00907DBB" w:rsidRDefault="00727401">
      <w:pPr>
        <w:spacing w:beforeLines="50" w:before="156" w:afterLines="50" w:after="156" w:line="400" w:lineRule="exact"/>
        <w:jc w:val="center"/>
        <w:rPr>
          <w:rFonts w:ascii="Times New Roman" w:hAnsi="Times New Roman" w:cs="Times New Roman"/>
          <w:b/>
          <w:bCs/>
          <w:iCs/>
          <w:color w:val="000000"/>
          <w:sz w:val="32"/>
          <w:szCs w:val="32"/>
        </w:rPr>
      </w:pPr>
      <w:r>
        <w:rPr>
          <w:rFonts w:ascii="Times New Roman" w:hAnsi="Times New Roman" w:cs="Times New Roman"/>
          <w:b/>
          <w:bCs/>
          <w:iCs/>
          <w:color w:val="000000"/>
          <w:sz w:val="32"/>
          <w:szCs w:val="32"/>
        </w:rPr>
        <w:t>创新新材料科技股份有限公司投资者关系活动记录表</w:t>
      </w:r>
    </w:p>
    <w:p w:rsidR="00907DBB" w:rsidRDefault="00727401">
      <w:pPr>
        <w:spacing w:line="400" w:lineRule="exact"/>
        <w:rPr>
          <w:rFonts w:ascii="Times New Roman" w:hAnsi="Times New Roman" w:cs="Times New Roman"/>
          <w:bCs/>
          <w:iCs/>
          <w:color w:val="000000"/>
          <w:sz w:val="24"/>
        </w:rPr>
      </w:pPr>
      <w:r>
        <w:rPr>
          <w:rFonts w:ascii="Times New Roman" w:hAnsi="Times New Roman" w:cs="Times New Roman"/>
          <w:bCs/>
          <w:iCs/>
          <w:color w:val="000000"/>
          <w:sz w:val="24"/>
        </w:rPr>
        <w:t xml:space="preserve">                                                         </w:t>
      </w:r>
      <w:r>
        <w:rPr>
          <w:rFonts w:ascii="Times New Roman" w:hAnsi="Times New Roman" w:cs="Times New Roman"/>
          <w:bCs/>
          <w:iCs/>
          <w:color w:val="000000"/>
          <w:sz w:val="24"/>
        </w:rPr>
        <w:t>编号：</w:t>
      </w:r>
      <w:r>
        <w:rPr>
          <w:rFonts w:ascii="Times New Roman" w:hAnsi="Times New Roman" w:cs="Times New Roman"/>
          <w:bCs/>
          <w:iCs/>
          <w:color w:val="000000"/>
          <w:sz w:val="24"/>
        </w:rPr>
        <w:t>202</w:t>
      </w:r>
      <w:r>
        <w:rPr>
          <w:rFonts w:ascii="Times New Roman" w:hAnsi="Times New Roman" w:cs="Times New Roman" w:hint="eastAsia"/>
          <w:bCs/>
          <w:iCs/>
          <w:color w:val="000000"/>
          <w:sz w:val="24"/>
        </w:rPr>
        <w:t>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w:t>
            </w:r>
            <w:r>
              <w:rPr>
                <w:rFonts w:ascii="Times New Roman" w:hAnsi="Times New Roman" w:cs="Times New Roman"/>
                <w:sz w:val="28"/>
                <w:szCs w:val="28"/>
              </w:rPr>
              <w:t>特定对象调研</w:t>
            </w:r>
            <w:r>
              <w:rPr>
                <w:rFonts w:ascii="Times New Roman" w:hAnsi="Times New Roman" w:cs="Times New Roman"/>
                <w:sz w:val="28"/>
                <w:szCs w:val="28"/>
              </w:rPr>
              <w:t xml:space="preserve">        </w:t>
            </w:r>
            <w:r>
              <w:rPr>
                <w:rFonts w:ascii="Times New Roman" w:hAnsi="Times New Roman" w:cs="Times New Roman"/>
                <w:bCs/>
                <w:iCs/>
                <w:color w:val="000000"/>
                <w:sz w:val="24"/>
              </w:rPr>
              <w:sym w:font="Wingdings 2" w:char="00A3"/>
            </w:r>
            <w:r>
              <w:rPr>
                <w:rFonts w:ascii="Times New Roman" w:hAnsi="Times New Roman" w:cs="Times New Roman"/>
                <w:sz w:val="28"/>
                <w:szCs w:val="28"/>
              </w:rPr>
              <w:t>分析师会议</w:t>
            </w:r>
          </w:p>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w:t>
            </w:r>
            <w:r>
              <w:rPr>
                <w:rFonts w:ascii="Times New Roman" w:hAnsi="Times New Roman" w:cs="Times New Roman"/>
                <w:sz w:val="28"/>
                <w:szCs w:val="28"/>
              </w:rPr>
              <w:t>媒体采访</w:t>
            </w:r>
            <w:r>
              <w:rPr>
                <w:rFonts w:ascii="Times New Roman" w:hAnsi="Times New Roman" w:cs="Times New Roman"/>
                <w:sz w:val="28"/>
                <w:szCs w:val="28"/>
              </w:rPr>
              <w:t xml:space="preserve">            </w:t>
            </w:r>
            <w:r>
              <w:rPr>
                <w:rFonts w:ascii="Times New Roman" w:hAnsi="Times New Roman" w:cs="Times New Roman"/>
                <w:bCs/>
                <w:iCs/>
                <w:color w:val="000000"/>
                <w:sz w:val="24"/>
              </w:rPr>
              <w:sym w:font="Wingdings 2" w:char="0052"/>
            </w:r>
            <w:r>
              <w:rPr>
                <w:rFonts w:ascii="Times New Roman" w:hAnsi="Times New Roman" w:cs="Times New Roman"/>
                <w:sz w:val="28"/>
                <w:szCs w:val="28"/>
              </w:rPr>
              <w:t>业绩说明会</w:t>
            </w:r>
          </w:p>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w:t>
            </w:r>
            <w:r>
              <w:rPr>
                <w:rFonts w:ascii="Times New Roman" w:hAnsi="Times New Roman" w:cs="Times New Roman"/>
                <w:sz w:val="28"/>
                <w:szCs w:val="28"/>
              </w:rPr>
              <w:t>新闻发布会</w:t>
            </w:r>
            <w:r>
              <w:rPr>
                <w:rFonts w:ascii="Times New Roman" w:hAnsi="Times New Roman" w:cs="Times New Roman"/>
                <w:sz w:val="28"/>
                <w:szCs w:val="28"/>
              </w:rPr>
              <w:t xml:space="preserve">          </w:t>
            </w:r>
            <w:r>
              <w:rPr>
                <w:rFonts w:ascii="Times New Roman" w:hAnsi="Times New Roman" w:cs="Times New Roman"/>
                <w:bCs/>
                <w:iCs/>
                <w:color w:val="000000"/>
                <w:sz w:val="24"/>
              </w:rPr>
              <w:sym w:font="Wingdings 2" w:char="00A3"/>
            </w:r>
            <w:r>
              <w:rPr>
                <w:rFonts w:ascii="Times New Roman" w:hAnsi="Times New Roman" w:cs="Times New Roman"/>
                <w:sz w:val="28"/>
                <w:szCs w:val="28"/>
              </w:rPr>
              <w:t>路演活动</w:t>
            </w:r>
          </w:p>
          <w:p w:rsidR="00907DBB" w:rsidRDefault="00727401">
            <w:pPr>
              <w:tabs>
                <w:tab w:val="left" w:pos="3045"/>
                <w:tab w:val="center" w:pos="3199"/>
              </w:tabs>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w:t>
            </w:r>
            <w:r>
              <w:rPr>
                <w:rFonts w:ascii="Times New Roman" w:hAnsi="Times New Roman" w:cs="Times New Roman"/>
                <w:sz w:val="28"/>
                <w:szCs w:val="28"/>
              </w:rPr>
              <w:t>现场参观</w:t>
            </w:r>
            <w:r>
              <w:rPr>
                <w:rFonts w:ascii="Times New Roman" w:hAnsi="Times New Roman" w:cs="Times New Roman"/>
                <w:bCs/>
                <w:iCs/>
                <w:color w:val="000000"/>
                <w:sz w:val="24"/>
              </w:rPr>
              <w:tab/>
            </w:r>
          </w:p>
        </w:tc>
      </w:tr>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机构投资者（具体参会名单详见附件）</w:t>
            </w:r>
          </w:p>
        </w:tc>
      </w:tr>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202</w:t>
            </w:r>
            <w:r>
              <w:rPr>
                <w:rFonts w:ascii="Times New Roman" w:hAnsi="Times New Roman" w:cs="Times New Roman" w:hint="eastAsia"/>
                <w:bCs/>
                <w:iCs/>
                <w:color w:val="000000"/>
                <w:sz w:val="24"/>
              </w:rPr>
              <w:t>4</w:t>
            </w:r>
            <w:r>
              <w:rPr>
                <w:rFonts w:ascii="Times New Roman" w:hAnsi="Times New Roman" w:cs="Times New Roman"/>
                <w:bCs/>
                <w:iCs/>
                <w:color w:val="000000"/>
                <w:sz w:val="24"/>
              </w:rPr>
              <w:t>年</w:t>
            </w:r>
            <w:r>
              <w:rPr>
                <w:rFonts w:ascii="Times New Roman" w:hAnsi="Times New Roman" w:cs="Times New Roman" w:hint="eastAsia"/>
                <w:bCs/>
                <w:iCs/>
                <w:color w:val="000000"/>
                <w:sz w:val="24"/>
              </w:rPr>
              <w:t>04</w:t>
            </w:r>
            <w:r>
              <w:rPr>
                <w:rFonts w:ascii="Times New Roman" w:hAnsi="Times New Roman" w:cs="Times New Roman"/>
                <w:bCs/>
                <w:iCs/>
                <w:color w:val="000000"/>
                <w:sz w:val="24"/>
              </w:rPr>
              <w:t>月</w:t>
            </w:r>
            <w:r>
              <w:rPr>
                <w:rFonts w:ascii="Times New Roman" w:hAnsi="Times New Roman" w:cs="Times New Roman" w:hint="eastAsia"/>
                <w:bCs/>
                <w:iCs/>
                <w:color w:val="000000"/>
                <w:sz w:val="24"/>
              </w:rPr>
              <w:t>26</w:t>
            </w:r>
            <w:r>
              <w:rPr>
                <w:rFonts w:ascii="Times New Roman" w:hAnsi="Times New Roman" w:cs="Times New Roman"/>
                <w:bCs/>
                <w:iCs/>
                <w:color w:val="000000"/>
                <w:sz w:val="24"/>
              </w:rPr>
              <w:t>日</w:t>
            </w:r>
          </w:p>
        </w:tc>
      </w:tr>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电话会议</w:t>
            </w:r>
          </w:p>
        </w:tc>
      </w:tr>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hint="eastAsia"/>
                <w:bCs/>
                <w:iCs/>
                <w:color w:val="000000"/>
                <w:sz w:val="24"/>
              </w:rPr>
              <w:t>董事、副总经理、财务</w:t>
            </w:r>
            <w:r>
              <w:rPr>
                <w:rFonts w:ascii="Times New Roman" w:hAnsi="Times New Roman" w:cs="Times New Roman" w:hint="eastAsia"/>
                <w:bCs/>
                <w:iCs/>
                <w:color w:val="000000"/>
                <w:sz w:val="24"/>
              </w:rPr>
              <w:t>总监</w:t>
            </w:r>
            <w:r>
              <w:rPr>
                <w:rFonts w:ascii="Times New Roman" w:hAnsi="Times New Roman" w:cs="Times New Roman" w:hint="eastAsia"/>
                <w:bCs/>
                <w:iCs/>
                <w:color w:val="000000"/>
                <w:sz w:val="24"/>
              </w:rPr>
              <w:t>许峰先生</w:t>
            </w:r>
          </w:p>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副总经理、董事会秘书王科芳</w:t>
            </w:r>
          </w:p>
        </w:tc>
      </w:tr>
      <w:tr w:rsidR="00907DBB">
        <w:trPr>
          <w:trHeight w:val="90"/>
        </w:trPr>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投资者关系活动主要内容介绍</w:t>
            </w:r>
          </w:p>
          <w:p w:rsidR="00907DBB" w:rsidRDefault="00907DBB">
            <w:pPr>
              <w:spacing w:line="480" w:lineRule="atLeast"/>
              <w:rPr>
                <w:rFonts w:ascii="Times New Roman" w:hAnsi="Times New Roman" w:cs="Times New Roman"/>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907DBB" w:rsidRDefault="00727401">
            <w:pPr>
              <w:spacing w:line="440" w:lineRule="atLeast"/>
              <w:ind w:firstLineChars="200" w:firstLine="482"/>
              <w:rPr>
                <w:rFonts w:ascii="Times New Roman" w:hAnsi="Times New Roman" w:cs="Times New Roman"/>
                <w:b/>
                <w:iCs/>
                <w:color w:val="000000"/>
                <w:sz w:val="24"/>
              </w:rPr>
            </w:pPr>
            <w:r>
              <w:rPr>
                <w:rFonts w:ascii="Times New Roman" w:hAnsi="Times New Roman" w:cs="Times New Roman"/>
                <w:b/>
                <w:iCs/>
                <w:color w:val="000000"/>
                <w:sz w:val="24"/>
              </w:rPr>
              <w:t>一、公司</w:t>
            </w:r>
            <w:r>
              <w:rPr>
                <w:rFonts w:ascii="Times New Roman" w:hAnsi="Times New Roman" w:cs="Times New Roman"/>
                <w:b/>
                <w:iCs/>
                <w:color w:val="000000"/>
                <w:sz w:val="24"/>
              </w:rPr>
              <w:t>2023</w:t>
            </w:r>
            <w:r>
              <w:rPr>
                <w:rFonts w:ascii="Times New Roman" w:hAnsi="Times New Roman" w:cs="Times New Roman"/>
                <w:b/>
                <w:iCs/>
                <w:color w:val="000000"/>
                <w:sz w:val="24"/>
              </w:rPr>
              <w:t>年度</w:t>
            </w:r>
            <w:r>
              <w:rPr>
                <w:rFonts w:ascii="Times New Roman" w:hAnsi="Times New Roman" w:cs="Times New Roman"/>
                <w:b/>
                <w:iCs/>
                <w:color w:val="000000"/>
                <w:sz w:val="24"/>
              </w:rPr>
              <w:t>和</w:t>
            </w:r>
            <w:r>
              <w:rPr>
                <w:rFonts w:ascii="Times New Roman" w:hAnsi="Times New Roman" w:cs="Times New Roman"/>
                <w:b/>
                <w:iCs/>
                <w:color w:val="000000"/>
                <w:sz w:val="24"/>
              </w:rPr>
              <w:t>2024</w:t>
            </w:r>
            <w:r>
              <w:rPr>
                <w:rFonts w:ascii="Times New Roman" w:hAnsi="Times New Roman" w:cs="Times New Roman"/>
                <w:b/>
                <w:iCs/>
                <w:color w:val="000000"/>
                <w:sz w:val="24"/>
              </w:rPr>
              <w:t>年一季度</w:t>
            </w:r>
            <w:r>
              <w:rPr>
                <w:rFonts w:ascii="Times New Roman" w:hAnsi="Times New Roman" w:cs="Times New Roman"/>
                <w:b/>
                <w:iCs/>
                <w:color w:val="000000"/>
                <w:sz w:val="24"/>
              </w:rPr>
              <w:t>经营情况介绍</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 xml:space="preserve">2023 </w:t>
            </w:r>
            <w:r>
              <w:rPr>
                <w:rFonts w:ascii="Times New Roman" w:hAnsi="Times New Roman" w:cs="Times New Roman"/>
                <w:sz w:val="24"/>
                <w:szCs w:val="24"/>
              </w:rPr>
              <w:t>年是公司重大资产重组完成后第一个完整的会计年度</w:t>
            </w:r>
            <w:r>
              <w:rPr>
                <w:rFonts w:ascii="Times New Roman" w:hAnsi="Times New Roman" w:cs="Times New Roman"/>
                <w:sz w:val="24"/>
                <w:szCs w:val="24"/>
              </w:rPr>
              <w:t>,</w:t>
            </w:r>
            <w:r>
              <w:rPr>
                <w:rFonts w:ascii="Times New Roman" w:hAnsi="Times New Roman" w:cs="Times New Roman"/>
                <w:sz w:val="24"/>
                <w:szCs w:val="24"/>
              </w:rPr>
              <w:t>也是公司进入资本市场后规范运营、转型升级、稳健发展的提升之年。</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年度，公司业务稳步发展，实现营业收入</w:t>
            </w:r>
            <w:r>
              <w:rPr>
                <w:rFonts w:ascii="Times New Roman" w:hAnsi="Times New Roman" w:cs="Times New Roman"/>
                <w:sz w:val="24"/>
                <w:szCs w:val="24"/>
              </w:rPr>
              <w:t xml:space="preserve"> 728.44 </w:t>
            </w:r>
            <w:r>
              <w:rPr>
                <w:rFonts w:ascii="Times New Roman" w:hAnsi="Times New Roman" w:cs="Times New Roman"/>
                <w:sz w:val="24"/>
                <w:szCs w:val="24"/>
              </w:rPr>
              <w:t>亿元，与去年同期相比增长</w:t>
            </w:r>
            <w:r>
              <w:rPr>
                <w:rFonts w:ascii="Times New Roman" w:hAnsi="Times New Roman" w:cs="Times New Roman"/>
                <w:sz w:val="24"/>
                <w:szCs w:val="24"/>
              </w:rPr>
              <w:t xml:space="preserve"> </w:t>
            </w:r>
            <w:r>
              <w:rPr>
                <w:rFonts w:ascii="Times New Roman" w:hAnsi="Times New Roman" w:cs="Times New Roman"/>
                <w:sz w:val="24"/>
                <w:szCs w:val="24"/>
              </w:rPr>
              <w:t>5.08%</w:t>
            </w:r>
            <w:r>
              <w:rPr>
                <w:rFonts w:ascii="Times New Roman" w:hAnsi="Times New Roman" w:cs="Times New Roman"/>
                <w:sz w:val="24"/>
                <w:szCs w:val="24"/>
              </w:rPr>
              <w:t>；受下游客户需求阶段性放缓的影响，公司报告期内实现归属于上市公司股东净利润</w:t>
            </w:r>
            <w:r>
              <w:rPr>
                <w:rFonts w:ascii="Times New Roman" w:hAnsi="Times New Roman" w:cs="Times New Roman"/>
                <w:sz w:val="24"/>
                <w:szCs w:val="24"/>
              </w:rPr>
              <w:t xml:space="preserve"> 9.58 </w:t>
            </w:r>
            <w:r>
              <w:rPr>
                <w:rFonts w:ascii="Times New Roman" w:hAnsi="Times New Roman" w:cs="Times New Roman"/>
                <w:sz w:val="24"/>
                <w:szCs w:val="24"/>
              </w:rPr>
              <w:t>亿元，与去年相比下降</w:t>
            </w:r>
            <w:r>
              <w:rPr>
                <w:rFonts w:ascii="Times New Roman" w:hAnsi="Times New Roman" w:cs="Times New Roman"/>
                <w:sz w:val="24"/>
                <w:szCs w:val="24"/>
              </w:rPr>
              <w:t xml:space="preserve"> 12.10%</w:t>
            </w:r>
            <w:r>
              <w:rPr>
                <w:rFonts w:ascii="Times New Roman" w:hAnsi="Times New Roman" w:cs="Times New Roman"/>
                <w:sz w:val="24"/>
                <w:szCs w:val="24"/>
              </w:rPr>
              <w:t>。但随着建设产能不断投产，公司</w:t>
            </w:r>
            <w:r>
              <w:rPr>
                <w:rFonts w:ascii="Times New Roman" w:hAnsi="Times New Roman" w:cs="Times New Roman"/>
                <w:sz w:val="24"/>
                <w:szCs w:val="24"/>
              </w:rPr>
              <w:t xml:space="preserve"> 2023 </w:t>
            </w:r>
            <w:r>
              <w:rPr>
                <w:rFonts w:ascii="Times New Roman" w:hAnsi="Times New Roman" w:cs="Times New Roman"/>
                <w:sz w:val="24"/>
                <w:szCs w:val="24"/>
              </w:rPr>
              <w:t>年产量达</w:t>
            </w:r>
            <w:r>
              <w:rPr>
                <w:rFonts w:ascii="Times New Roman" w:hAnsi="Times New Roman" w:cs="Times New Roman"/>
                <w:sz w:val="24"/>
                <w:szCs w:val="24"/>
              </w:rPr>
              <w:t xml:space="preserve"> 471.96 </w:t>
            </w:r>
            <w:r>
              <w:rPr>
                <w:rFonts w:ascii="Times New Roman" w:hAnsi="Times New Roman" w:cs="Times New Roman"/>
                <w:sz w:val="24"/>
                <w:szCs w:val="24"/>
              </w:rPr>
              <w:t>万吨，与去年同期相比上升</w:t>
            </w:r>
            <w:r>
              <w:rPr>
                <w:rFonts w:ascii="Times New Roman" w:hAnsi="Times New Roman" w:cs="Times New Roman"/>
                <w:sz w:val="24"/>
                <w:szCs w:val="24"/>
              </w:rPr>
              <w:t xml:space="preserve"> 11.78%</w:t>
            </w:r>
            <w:r>
              <w:rPr>
                <w:rFonts w:ascii="Times New Roman" w:hAnsi="Times New Roman" w:cs="Times New Roman"/>
                <w:sz w:val="24"/>
                <w:szCs w:val="24"/>
              </w:rPr>
              <w:t>。</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 xml:space="preserve">2024 </w:t>
            </w:r>
            <w:r>
              <w:rPr>
                <w:rFonts w:ascii="Times New Roman" w:hAnsi="Times New Roman" w:cs="Times New Roman"/>
                <w:sz w:val="24"/>
                <w:szCs w:val="24"/>
              </w:rPr>
              <w:t>年一季度，公司营业收入</w:t>
            </w:r>
            <w:r>
              <w:rPr>
                <w:rFonts w:ascii="Times New Roman" w:hAnsi="Times New Roman" w:cs="Times New Roman"/>
                <w:sz w:val="24"/>
                <w:szCs w:val="24"/>
              </w:rPr>
              <w:t xml:space="preserve"> 177.79 </w:t>
            </w:r>
            <w:r>
              <w:rPr>
                <w:rFonts w:ascii="Times New Roman" w:hAnsi="Times New Roman" w:cs="Times New Roman"/>
                <w:sz w:val="24"/>
                <w:szCs w:val="24"/>
              </w:rPr>
              <w:t>亿元，同比增长</w:t>
            </w:r>
            <w:r>
              <w:rPr>
                <w:rFonts w:ascii="Times New Roman" w:hAnsi="Times New Roman" w:cs="Times New Roman"/>
                <w:sz w:val="24"/>
                <w:szCs w:val="24"/>
              </w:rPr>
              <w:t xml:space="preserve"> 7.78%</w:t>
            </w:r>
            <w:r>
              <w:rPr>
                <w:rFonts w:ascii="Times New Roman" w:hAnsi="Times New Roman" w:cs="Times New Roman"/>
                <w:sz w:val="24"/>
                <w:szCs w:val="24"/>
              </w:rPr>
              <w:t>；归属于上市公司股东的净利润</w:t>
            </w:r>
            <w:r>
              <w:rPr>
                <w:rFonts w:ascii="Times New Roman" w:hAnsi="Times New Roman" w:cs="Times New Roman"/>
                <w:sz w:val="24"/>
                <w:szCs w:val="24"/>
              </w:rPr>
              <w:t xml:space="preserve"> 2.82 </w:t>
            </w:r>
            <w:r>
              <w:rPr>
                <w:rFonts w:ascii="Times New Roman" w:hAnsi="Times New Roman" w:cs="Times New Roman"/>
                <w:sz w:val="24"/>
                <w:szCs w:val="24"/>
              </w:rPr>
              <w:t>亿元，同比增长</w:t>
            </w:r>
            <w:r>
              <w:rPr>
                <w:rFonts w:ascii="Times New Roman" w:hAnsi="Times New Roman" w:cs="Times New Roman"/>
                <w:sz w:val="24"/>
                <w:szCs w:val="24"/>
              </w:rPr>
              <w:t xml:space="preserve"> 6.02%</w:t>
            </w:r>
            <w:r>
              <w:rPr>
                <w:rFonts w:ascii="Times New Roman" w:hAnsi="Times New Roman" w:cs="Times New Roman"/>
                <w:sz w:val="24"/>
                <w:szCs w:val="24"/>
              </w:rPr>
              <w:t>；扣非后净利润</w:t>
            </w:r>
            <w:r>
              <w:rPr>
                <w:rFonts w:ascii="Times New Roman" w:hAnsi="Times New Roman" w:cs="Times New Roman"/>
                <w:sz w:val="24"/>
                <w:szCs w:val="24"/>
              </w:rPr>
              <w:t xml:space="preserve"> 2.73 </w:t>
            </w:r>
            <w:r>
              <w:rPr>
                <w:rFonts w:ascii="Times New Roman" w:hAnsi="Times New Roman" w:cs="Times New Roman"/>
                <w:sz w:val="24"/>
                <w:szCs w:val="24"/>
              </w:rPr>
              <w:t>亿元，同比增长</w:t>
            </w:r>
            <w:r>
              <w:rPr>
                <w:rFonts w:ascii="Times New Roman" w:hAnsi="Times New Roman" w:cs="Times New Roman"/>
                <w:sz w:val="24"/>
                <w:szCs w:val="24"/>
              </w:rPr>
              <w:t xml:space="preserve"> 16.04%</w:t>
            </w:r>
            <w:r>
              <w:rPr>
                <w:rFonts w:ascii="Times New Roman" w:hAnsi="Times New Roman" w:cs="Times New Roman"/>
                <w:sz w:val="24"/>
                <w:szCs w:val="24"/>
              </w:rPr>
              <w:t>。</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公司经营情况：</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（一）落地海外，打造全球化铝合金材料供应商</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公司顺应市场发展，积极响应国家</w:t>
            </w:r>
            <w:r>
              <w:rPr>
                <w:rFonts w:ascii="Times New Roman" w:hAnsi="Times New Roman" w:cs="Times New Roman"/>
                <w:sz w:val="24"/>
                <w:szCs w:val="24"/>
              </w:rPr>
              <w:t>“</w:t>
            </w:r>
            <w:r>
              <w:rPr>
                <w:rFonts w:ascii="Times New Roman" w:hAnsi="Times New Roman" w:cs="Times New Roman"/>
                <w:sz w:val="24"/>
                <w:szCs w:val="24"/>
              </w:rPr>
              <w:t>一带一路</w:t>
            </w:r>
            <w:r>
              <w:rPr>
                <w:rFonts w:ascii="Times New Roman" w:hAnsi="Times New Roman" w:cs="Times New Roman"/>
                <w:sz w:val="24"/>
                <w:szCs w:val="24"/>
              </w:rPr>
              <w:t>”</w:t>
            </w:r>
            <w:r>
              <w:rPr>
                <w:rFonts w:ascii="Times New Roman" w:hAnsi="Times New Roman" w:cs="Times New Roman"/>
                <w:sz w:val="24"/>
                <w:szCs w:val="24"/>
              </w:rPr>
              <w:t>的政策，实现中国企业</w:t>
            </w:r>
            <w:r>
              <w:rPr>
                <w:rFonts w:ascii="Times New Roman" w:hAnsi="Times New Roman" w:cs="Times New Roman"/>
                <w:sz w:val="24"/>
                <w:szCs w:val="24"/>
              </w:rPr>
              <w:t>“</w:t>
            </w:r>
            <w:r>
              <w:rPr>
                <w:rFonts w:ascii="Times New Roman" w:hAnsi="Times New Roman" w:cs="Times New Roman"/>
                <w:sz w:val="24"/>
                <w:szCs w:val="24"/>
              </w:rPr>
              <w:t>走出去</w:t>
            </w:r>
            <w:r>
              <w:rPr>
                <w:rFonts w:ascii="Times New Roman" w:hAnsi="Times New Roman" w:cs="Times New Roman"/>
                <w:sz w:val="24"/>
                <w:szCs w:val="24"/>
              </w:rPr>
              <w:t>”</w:t>
            </w:r>
            <w:r>
              <w:rPr>
                <w:rFonts w:ascii="Times New Roman" w:hAnsi="Times New Roman" w:cs="Times New Roman"/>
                <w:sz w:val="24"/>
                <w:szCs w:val="24"/>
              </w:rPr>
              <w:t>战略。报告期内公司投资</w:t>
            </w:r>
            <w:r>
              <w:rPr>
                <w:rFonts w:ascii="Times New Roman" w:hAnsi="Times New Roman" w:cs="Times New Roman"/>
                <w:sz w:val="24"/>
                <w:szCs w:val="24"/>
              </w:rPr>
              <w:t xml:space="preserve"> 1.93 </w:t>
            </w:r>
            <w:r>
              <w:rPr>
                <w:rFonts w:ascii="Times New Roman" w:hAnsi="Times New Roman" w:cs="Times New Roman"/>
                <w:sz w:val="24"/>
                <w:szCs w:val="24"/>
              </w:rPr>
              <w:t>亿美元在越南开展</w:t>
            </w:r>
            <w:r>
              <w:rPr>
                <w:rFonts w:ascii="Times New Roman" w:hAnsi="Times New Roman" w:cs="Times New Roman"/>
                <w:sz w:val="24"/>
                <w:szCs w:val="24"/>
              </w:rPr>
              <w:t xml:space="preserve"> 3C </w:t>
            </w:r>
            <w:r>
              <w:rPr>
                <w:rFonts w:ascii="Times New Roman" w:hAnsi="Times New Roman" w:cs="Times New Roman"/>
                <w:sz w:val="24"/>
                <w:szCs w:val="24"/>
              </w:rPr>
              <w:t>消费电子型材等项目，建设全球性</w:t>
            </w:r>
            <w:r>
              <w:rPr>
                <w:rFonts w:ascii="Times New Roman" w:hAnsi="Times New Roman" w:cs="Times New Roman"/>
                <w:sz w:val="24"/>
                <w:szCs w:val="24"/>
              </w:rPr>
              <w:t xml:space="preserve"> 3C </w:t>
            </w:r>
            <w:r>
              <w:rPr>
                <w:rFonts w:ascii="Times New Roman" w:hAnsi="Times New Roman" w:cs="Times New Roman"/>
                <w:sz w:val="24"/>
                <w:szCs w:val="24"/>
              </w:rPr>
              <w:t>消费电子型材供应链工厂。此外，公司投资</w:t>
            </w:r>
            <w:r>
              <w:rPr>
                <w:rFonts w:ascii="Times New Roman" w:hAnsi="Times New Roman" w:cs="Times New Roman"/>
                <w:sz w:val="24"/>
                <w:szCs w:val="24"/>
              </w:rPr>
              <w:t xml:space="preserve"> 1.97 </w:t>
            </w:r>
            <w:r>
              <w:rPr>
                <w:rFonts w:ascii="Times New Roman" w:hAnsi="Times New Roman" w:cs="Times New Roman"/>
                <w:sz w:val="24"/>
                <w:szCs w:val="24"/>
              </w:rPr>
              <w:t>亿美元在墨西哥开展汽车轻量化铝合金材料等项目。公司在海外投资的两个项目，能有效满足下游核心客户全球化供货的需求，提升公司高附加值产品的国际竞争力。</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（二）绿色低碳，助推循环经济模式践行</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 xml:space="preserve">2023 </w:t>
            </w:r>
            <w:r>
              <w:rPr>
                <w:rFonts w:ascii="Times New Roman" w:hAnsi="Times New Roman" w:cs="Times New Roman"/>
                <w:sz w:val="24"/>
                <w:szCs w:val="24"/>
              </w:rPr>
              <w:t>年，公司综合循环利用再生铝</w:t>
            </w:r>
            <w:r>
              <w:rPr>
                <w:rFonts w:ascii="Times New Roman" w:hAnsi="Times New Roman" w:cs="Times New Roman"/>
                <w:sz w:val="24"/>
                <w:szCs w:val="24"/>
              </w:rPr>
              <w:t xml:space="preserve"> 101.39 </w:t>
            </w:r>
            <w:r>
              <w:rPr>
                <w:rFonts w:ascii="Times New Roman" w:hAnsi="Times New Roman" w:cs="Times New Roman"/>
                <w:sz w:val="24"/>
                <w:szCs w:val="24"/>
              </w:rPr>
              <w:t>万吨，其中：公司回收再生铝</w:t>
            </w:r>
            <w:r>
              <w:rPr>
                <w:rFonts w:ascii="Times New Roman" w:hAnsi="Times New Roman" w:cs="Times New Roman"/>
                <w:sz w:val="24"/>
                <w:szCs w:val="24"/>
              </w:rPr>
              <w:t xml:space="preserve"> 69.89</w:t>
            </w:r>
            <w:r>
              <w:rPr>
                <w:rFonts w:ascii="Times New Roman" w:hAnsi="Times New Roman" w:cs="Times New Roman"/>
                <w:sz w:val="24"/>
                <w:szCs w:val="24"/>
              </w:rPr>
              <w:t>万吨，回用自有产线</w:t>
            </w:r>
            <w:r>
              <w:rPr>
                <w:rFonts w:ascii="Times New Roman" w:hAnsi="Times New Roman" w:cs="Times New Roman"/>
                <w:sz w:val="24"/>
                <w:szCs w:val="24"/>
              </w:rPr>
              <w:t>回用铝</w:t>
            </w:r>
            <w:r>
              <w:rPr>
                <w:rFonts w:ascii="Times New Roman" w:hAnsi="Times New Roman" w:cs="Times New Roman"/>
                <w:sz w:val="24"/>
                <w:szCs w:val="24"/>
              </w:rPr>
              <w:t xml:space="preserve"> 31.50 </w:t>
            </w:r>
            <w:r>
              <w:rPr>
                <w:rFonts w:ascii="Times New Roman" w:hAnsi="Times New Roman" w:cs="Times New Roman"/>
                <w:sz w:val="24"/>
                <w:szCs w:val="24"/>
              </w:rPr>
              <w:t>万吨，并引进多条进口再生铝回收处理生产线，能够高效、低成本的处理</w:t>
            </w:r>
            <w:r>
              <w:rPr>
                <w:rFonts w:ascii="Times New Roman" w:hAnsi="Times New Roman" w:cs="Times New Roman"/>
                <w:sz w:val="24"/>
                <w:szCs w:val="24"/>
              </w:rPr>
              <w:t xml:space="preserve"> 1-8 </w:t>
            </w:r>
            <w:r>
              <w:rPr>
                <w:rFonts w:ascii="Times New Roman" w:hAnsi="Times New Roman" w:cs="Times New Roman"/>
                <w:sz w:val="24"/>
                <w:szCs w:val="24"/>
              </w:rPr>
              <w:t>系多牌号再生铝。未来，公司再生铝的处理能力将突破</w:t>
            </w:r>
            <w:r>
              <w:rPr>
                <w:rFonts w:ascii="Times New Roman" w:hAnsi="Times New Roman" w:cs="Times New Roman"/>
                <w:sz w:val="24"/>
                <w:szCs w:val="24"/>
              </w:rPr>
              <w:t xml:space="preserve"> 200 </w:t>
            </w:r>
            <w:r>
              <w:rPr>
                <w:rFonts w:ascii="Times New Roman" w:hAnsi="Times New Roman" w:cs="Times New Roman"/>
                <w:sz w:val="24"/>
                <w:szCs w:val="24"/>
              </w:rPr>
              <w:t>万吨。</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公司云南生产基地，以绿色水电铝为原材料，充分满足终端客户对绿色制造、绿色产品、绿色产业环保低碳的严格要求，在云南与格朗吉斯的合资项目建设进度顺利，预计于</w:t>
            </w:r>
            <w:r>
              <w:rPr>
                <w:rFonts w:ascii="Times New Roman" w:hAnsi="Times New Roman" w:cs="Times New Roman"/>
                <w:sz w:val="24"/>
                <w:szCs w:val="24"/>
              </w:rPr>
              <w:t xml:space="preserve"> 2024 </w:t>
            </w:r>
            <w:r>
              <w:rPr>
                <w:rFonts w:ascii="Times New Roman" w:hAnsi="Times New Roman" w:cs="Times New Roman"/>
                <w:sz w:val="24"/>
                <w:szCs w:val="24"/>
              </w:rPr>
              <w:t>年投产使用。</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同时，公司依托于控股股东在内蒙布局的风光电铝项目，大大提升原材料中绿色铝的占比，以满足汽车轻量化、</w:t>
            </w:r>
            <w:r>
              <w:rPr>
                <w:rFonts w:ascii="Times New Roman" w:hAnsi="Times New Roman" w:cs="Times New Roman"/>
                <w:sz w:val="24"/>
                <w:szCs w:val="24"/>
              </w:rPr>
              <w:t xml:space="preserve">3C </w:t>
            </w:r>
            <w:r>
              <w:rPr>
                <w:rFonts w:ascii="Times New Roman" w:hAnsi="Times New Roman" w:cs="Times New Roman"/>
                <w:sz w:val="24"/>
                <w:szCs w:val="24"/>
              </w:rPr>
              <w:t>消费电子等国内外头部客户对上游厂商清洁能源以及低碳发展的要求，长期持续</w:t>
            </w:r>
            <w:r>
              <w:rPr>
                <w:rFonts w:ascii="Times New Roman" w:hAnsi="Times New Roman" w:cs="Times New Roman"/>
                <w:sz w:val="24"/>
                <w:szCs w:val="24"/>
              </w:rPr>
              <w:t>提升公司综合竞争力。</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（三）强强联合，加速汽车轻量化、</w:t>
            </w:r>
            <w:r>
              <w:rPr>
                <w:rFonts w:ascii="Times New Roman" w:hAnsi="Times New Roman" w:cs="Times New Roman"/>
                <w:sz w:val="24"/>
                <w:szCs w:val="24"/>
              </w:rPr>
              <w:t xml:space="preserve">3C </w:t>
            </w:r>
            <w:r>
              <w:rPr>
                <w:rFonts w:ascii="Times New Roman" w:hAnsi="Times New Roman" w:cs="Times New Roman"/>
                <w:sz w:val="24"/>
                <w:szCs w:val="24"/>
              </w:rPr>
              <w:t>消费电子等领域产能布局</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公司经过多年技术沉淀，厚积薄发，全面进入汽车轻量化型材领域，打造全国、全球领先的顶级汽车轻量化铝合金材料供应商。公司已与汽车领域国内外诸多头部</w:t>
            </w:r>
            <w:r>
              <w:rPr>
                <w:rFonts w:ascii="Times New Roman" w:hAnsi="Times New Roman" w:cs="Times New Roman"/>
                <w:sz w:val="24"/>
                <w:szCs w:val="24"/>
              </w:rPr>
              <w:t xml:space="preserve"> Tier1 </w:t>
            </w:r>
            <w:r>
              <w:rPr>
                <w:rFonts w:ascii="Times New Roman" w:hAnsi="Times New Roman" w:cs="Times New Roman"/>
                <w:sz w:val="24"/>
                <w:szCs w:val="24"/>
              </w:rPr>
              <w:t>企业建立长期深度的合作，已成为包括比亚迪、宁德时代、小米、理想、奔驰、宝马、奥迪、远景动力等诸多国内外头部汽车品牌供应商，迅速跻身国内汽车轻量化型材头部供应商序列。</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（四）配套融资资金募集到位，募投项目提升盈利能力</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年</w:t>
            </w:r>
            <w:r>
              <w:rPr>
                <w:rFonts w:ascii="Times New Roman" w:hAnsi="Times New Roman" w:cs="Times New Roman"/>
                <w:sz w:val="24"/>
                <w:szCs w:val="24"/>
              </w:rPr>
              <w:t xml:space="preserve"> 8 </w:t>
            </w:r>
            <w:r>
              <w:rPr>
                <w:rFonts w:ascii="Times New Roman" w:hAnsi="Times New Roman" w:cs="Times New Roman"/>
                <w:sz w:val="24"/>
                <w:szCs w:val="24"/>
              </w:rPr>
              <w:t>月，公司完成了重大资产重组募集配套融资的</w:t>
            </w:r>
            <w:r>
              <w:rPr>
                <w:rFonts w:ascii="Times New Roman" w:hAnsi="Times New Roman" w:cs="Times New Roman"/>
                <w:sz w:val="24"/>
                <w:szCs w:val="24"/>
              </w:rPr>
              <w:lastRenderedPageBreak/>
              <w:t>发行工作，</w:t>
            </w:r>
            <w:r>
              <w:rPr>
                <w:rFonts w:ascii="Times New Roman" w:hAnsi="Times New Roman" w:cs="Times New Roman"/>
                <w:sz w:val="24"/>
                <w:szCs w:val="24"/>
              </w:rPr>
              <w:t xml:space="preserve">17 </w:t>
            </w:r>
            <w:r>
              <w:rPr>
                <w:rFonts w:ascii="Times New Roman" w:hAnsi="Times New Roman" w:cs="Times New Roman"/>
                <w:sz w:val="24"/>
                <w:szCs w:val="24"/>
              </w:rPr>
              <w:t>名机构投资者参与认购，本次募集配套资金发行新增</w:t>
            </w:r>
            <w:r>
              <w:rPr>
                <w:rFonts w:ascii="Times New Roman" w:hAnsi="Times New Roman" w:cs="Times New Roman"/>
                <w:sz w:val="24"/>
                <w:szCs w:val="24"/>
              </w:rPr>
              <w:t xml:space="preserve"> 3.33 </w:t>
            </w:r>
            <w:r>
              <w:rPr>
                <w:rFonts w:ascii="Times New Roman" w:hAnsi="Times New Roman" w:cs="Times New Roman"/>
                <w:sz w:val="24"/>
                <w:szCs w:val="24"/>
              </w:rPr>
              <w:t>亿股股份，合计募集资金</w:t>
            </w:r>
            <w:r>
              <w:rPr>
                <w:rFonts w:ascii="Times New Roman" w:hAnsi="Times New Roman" w:cs="Times New Roman"/>
                <w:sz w:val="24"/>
                <w:szCs w:val="24"/>
              </w:rPr>
              <w:t xml:space="preserve">15 </w:t>
            </w:r>
            <w:r>
              <w:rPr>
                <w:rFonts w:ascii="Times New Roman" w:hAnsi="Times New Roman" w:cs="Times New Roman"/>
                <w:sz w:val="24"/>
                <w:szCs w:val="24"/>
              </w:rPr>
              <w:t>亿元。</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本次配套融资发行为云南创新和创新金属两个募投项目建设提供有力的资金保障，公司的资产负债结构也持续得以优化，募投项目投产后将有效提升公司盈利能力。</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sz w:val="24"/>
                <w:szCs w:val="24"/>
              </w:rPr>
              <w:t>未来公司将把拓展海外市场作为公司未来发展的重要方向，锚定</w:t>
            </w:r>
            <w:r>
              <w:rPr>
                <w:rFonts w:ascii="Times New Roman" w:hAnsi="Times New Roman" w:cs="Times New Roman"/>
                <w:sz w:val="24"/>
                <w:szCs w:val="24"/>
              </w:rPr>
              <w:t>“</w:t>
            </w:r>
            <w:r>
              <w:rPr>
                <w:rFonts w:ascii="Times New Roman" w:hAnsi="Times New Roman" w:cs="Times New Roman"/>
                <w:sz w:val="24"/>
                <w:szCs w:val="24"/>
              </w:rPr>
              <w:t>国际化转型</w:t>
            </w:r>
            <w:r>
              <w:rPr>
                <w:rFonts w:ascii="Times New Roman" w:hAnsi="Times New Roman" w:cs="Times New Roman"/>
                <w:sz w:val="24"/>
                <w:szCs w:val="24"/>
              </w:rPr>
              <w:t>”</w:t>
            </w:r>
            <w:r>
              <w:rPr>
                <w:rFonts w:ascii="Times New Roman" w:hAnsi="Times New Roman" w:cs="Times New Roman"/>
                <w:sz w:val="24"/>
                <w:szCs w:val="24"/>
              </w:rPr>
              <w:t>，围绕</w:t>
            </w:r>
            <w:r>
              <w:rPr>
                <w:rFonts w:ascii="Times New Roman" w:hAnsi="Times New Roman" w:cs="Times New Roman"/>
                <w:sz w:val="24"/>
                <w:szCs w:val="24"/>
              </w:rPr>
              <w:t>“</w:t>
            </w:r>
            <w:r>
              <w:rPr>
                <w:rFonts w:ascii="Times New Roman" w:hAnsi="Times New Roman" w:cs="Times New Roman"/>
                <w:sz w:val="24"/>
                <w:szCs w:val="24"/>
              </w:rPr>
              <w:t>产业全球化</w:t>
            </w:r>
            <w:r>
              <w:rPr>
                <w:rFonts w:ascii="Times New Roman" w:hAnsi="Times New Roman" w:cs="Times New Roman"/>
                <w:sz w:val="24"/>
                <w:szCs w:val="24"/>
              </w:rPr>
              <w:t>”</w:t>
            </w:r>
            <w:r>
              <w:rPr>
                <w:rFonts w:ascii="Times New Roman" w:hAnsi="Times New Roman" w:cs="Times New Roman"/>
                <w:sz w:val="24"/>
                <w:szCs w:val="24"/>
              </w:rPr>
              <w:t>策略尽快占领国际市场，紧跟行业坚持产品高端化转型，坚持绿色发展道路，不断增强和巩固产品市场占有率，提高国际竞争力，打造全球化铝合金材料供应商。</w:t>
            </w:r>
          </w:p>
          <w:p w:rsidR="00907DBB" w:rsidRDefault="00727401">
            <w:pPr>
              <w:spacing w:line="440" w:lineRule="atLeast"/>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二、交流问答</w:t>
            </w:r>
          </w:p>
          <w:p w:rsidR="00907DBB" w:rsidRDefault="00727401">
            <w:pPr>
              <w:spacing w:line="440" w:lineRule="atLeast"/>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Q1</w:t>
            </w:r>
            <w:r>
              <w:rPr>
                <w:rFonts w:ascii="Times New Roman" w:hAnsi="Times New Roman" w:cs="Times New Roman"/>
                <w:b/>
                <w:iCs/>
                <w:color w:val="000000"/>
                <w:sz w:val="24"/>
                <w:szCs w:val="24"/>
              </w:rPr>
              <w:t>、公</w:t>
            </w:r>
            <w:r>
              <w:rPr>
                <w:rFonts w:ascii="Times New Roman" w:hAnsi="Times New Roman" w:cs="Times New Roman"/>
                <w:b/>
                <w:iCs/>
                <w:color w:val="000000"/>
                <w:sz w:val="24"/>
                <w:szCs w:val="24"/>
              </w:rPr>
              <w:t>司一季度业绩改善的原因？</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sz w:val="24"/>
                <w:szCs w:val="24"/>
              </w:rPr>
              <w:t xml:space="preserve">2024 </w:t>
            </w:r>
            <w:r>
              <w:rPr>
                <w:rFonts w:ascii="Times New Roman" w:hAnsi="Times New Roman" w:cs="Times New Roman"/>
                <w:sz w:val="24"/>
                <w:szCs w:val="24"/>
              </w:rPr>
              <w:t>年一季度与去年同期相比，公司营业收入</w:t>
            </w:r>
            <w:r>
              <w:rPr>
                <w:rFonts w:ascii="Times New Roman" w:hAnsi="Times New Roman" w:cs="Times New Roman"/>
                <w:sz w:val="24"/>
                <w:szCs w:val="24"/>
              </w:rPr>
              <w:t xml:space="preserve"> 177.79 </w:t>
            </w:r>
            <w:r>
              <w:rPr>
                <w:rFonts w:ascii="Times New Roman" w:hAnsi="Times New Roman" w:cs="Times New Roman"/>
                <w:sz w:val="24"/>
                <w:szCs w:val="24"/>
              </w:rPr>
              <w:t>亿元，同比增长</w:t>
            </w:r>
            <w:r>
              <w:rPr>
                <w:rFonts w:ascii="Times New Roman" w:hAnsi="Times New Roman" w:cs="Times New Roman"/>
                <w:sz w:val="24"/>
                <w:szCs w:val="24"/>
              </w:rPr>
              <w:t xml:space="preserve"> 7.78%</w:t>
            </w:r>
            <w:r>
              <w:rPr>
                <w:rFonts w:ascii="Times New Roman" w:hAnsi="Times New Roman" w:cs="Times New Roman"/>
                <w:sz w:val="24"/>
                <w:szCs w:val="24"/>
              </w:rPr>
              <w:t>；归属于上市公司股东的净利润</w:t>
            </w:r>
            <w:r>
              <w:rPr>
                <w:rFonts w:ascii="Times New Roman" w:hAnsi="Times New Roman" w:cs="Times New Roman"/>
                <w:sz w:val="24"/>
                <w:szCs w:val="24"/>
              </w:rPr>
              <w:t xml:space="preserve"> 2.82 </w:t>
            </w:r>
            <w:r>
              <w:rPr>
                <w:rFonts w:ascii="Times New Roman" w:hAnsi="Times New Roman" w:cs="Times New Roman"/>
                <w:sz w:val="24"/>
                <w:szCs w:val="24"/>
              </w:rPr>
              <w:t>亿元，同比增长</w:t>
            </w:r>
            <w:r>
              <w:rPr>
                <w:rFonts w:ascii="Times New Roman" w:hAnsi="Times New Roman" w:cs="Times New Roman"/>
                <w:sz w:val="24"/>
                <w:szCs w:val="24"/>
              </w:rPr>
              <w:t xml:space="preserve"> 6.02%</w:t>
            </w:r>
            <w:r>
              <w:rPr>
                <w:rFonts w:ascii="Times New Roman" w:hAnsi="Times New Roman" w:cs="Times New Roman"/>
                <w:sz w:val="24"/>
                <w:szCs w:val="24"/>
              </w:rPr>
              <w:t>；扣非后净利润</w:t>
            </w:r>
            <w:r>
              <w:rPr>
                <w:rFonts w:ascii="Times New Roman" w:hAnsi="Times New Roman" w:cs="Times New Roman"/>
                <w:sz w:val="24"/>
                <w:szCs w:val="24"/>
              </w:rPr>
              <w:t xml:space="preserve"> 2.73 </w:t>
            </w:r>
            <w:r>
              <w:rPr>
                <w:rFonts w:ascii="Times New Roman" w:hAnsi="Times New Roman" w:cs="Times New Roman"/>
                <w:sz w:val="24"/>
                <w:szCs w:val="24"/>
              </w:rPr>
              <w:t>亿元，同比增长</w:t>
            </w:r>
            <w:r>
              <w:rPr>
                <w:rFonts w:ascii="Times New Roman" w:hAnsi="Times New Roman" w:cs="Times New Roman"/>
                <w:sz w:val="24"/>
                <w:szCs w:val="24"/>
              </w:rPr>
              <w:t xml:space="preserve"> 16.04%</w:t>
            </w:r>
            <w:r>
              <w:rPr>
                <w:rFonts w:ascii="Times New Roman" w:hAnsi="Times New Roman" w:cs="Times New Roman"/>
                <w:sz w:val="24"/>
                <w:szCs w:val="24"/>
              </w:rPr>
              <w:t>。</w:t>
            </w:r>
          </w:p>
          <w:p w:rsidR="00907DBB" w:rsidRDefault="00727401">
            <w:pPr>
              <w:spacing w:line="440" w:lineRule="atLeast"/>
              <w:ind w:firstLineChars="200" w:firstLine="480"/>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2024</w:t>
            </w:r>
            <w:r>
              <w:rPr>
                <w:rFonts w:ascii="Times New Roman" w:hAnsi="Times New Roman" w:cs="Times New Roman"/>
                <w:bCs/>
                <w:iCs/>
                <w:color w:val="000000"/>
                <w:sz w:val="24"/>
                <w:szCs w:val="24"/>
              </w:rPr>
              <w:t>年</w:t>
            </w:r>
            <w:r>
              <w:rPr>
                <w:rFonts w:ascii="Times New Roman" w:hAnsi="Times New Roman" w:cs="Times New Roman"/>
                <w:bCs/>
                <w:iCs/>
                <w:color w:val="000000"/>
                <w:sz w:val="24"/>
                <w:szCs w:val="24"/>
              </w:rPr>
              <w:t>一季度公司订单情况有所提升，主要来源于高端产品在手订单较</w:t>
            </w:r>
            <w:r>
              <w:rPr>
                <w:rFonts w:ascii="Times New Roman" w:hAnsi="Times New Roman" w:cs="Times New Roman"/>
                <w:bCs/>
                <w:iCs/>
                <w:color w:val="000000"/>
                <w:sz w:val="24"/>
                <w:szCs w:val="24"/>
              </w:rPr>
              <w:t>2023</w:t>
            </w:r>
            <w:r>
              <w:rPr>
                <w:rFonts w:ascii="Times New Roman" w:hAnsi="Times New Roman" w:cs="Times New Roman"/>
                <w:bCs/>
                <w:iCs/>
                <w:color w:val="000000"/>
                <w:sz w:val="24"/>
                <w:szCs w:val="24"/>
              </w:rPr>
              <w:t>年同期有所增长，因此</w:t>
            </w:r>
            <w:r>
              <w:rPr>
                <w:rFonts w:ascii="Times New Roman" w:hAnsi="Times New Roman" w:cs="Times New Roman"/>
                <w:bCs/>
                <w:iCs/>
                <w:color w:val="000000"/>
                <w:sz w:val="24"/>
                <w:szCs w:val="24"/>
              </w:rPr>
              <w:t>2024</w:t>
            </w:r>
            <w:r>
              <w:rPr>
                <w:rFonts w:ascii="Times New Roman" w:hAnsi="Times New Roman" w:cs="Times New Roman"/>
                <w:bCs/>
                <w:iCs/>
                <w:color w:val="000000"/>
                <w:sz w:val="24"/>
                <w:szCs w:val="24"/>
              </w:rPr>
              <w:t>年一季度整体经营情况较好。</w:t>
            </w:r>
          </w:p>
          <w:p w:rsidR="00907DBB" w:rsidRDefault="00727401">
            <w:pPr>
              <w:spacing w:line="440" w:lineRule="atLeast"/>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Q2</w:t>
            </w:r>
            <w:r>
              <w:rPr>
                <w:rFonts w:ascii="Times New Roman" w:hAnsi="Times New Roman" w:cs="Times New Roman"/>
                <w:b/>
                <w:iCs/>
                <w:color w:val="000000"/>
                <w:sz w:val="24"/>
                <w:szCs w:val="24"/>
              </w:rPr>
              <w:t>、作为</w:t>
            </w:r>
            <w:r>
              <w:rPr>
                <w:rFonts w:ascii="Times New Roman" w:hAnsi="Times New Roman" w:cs="Times New Roman" w:hint="eastAsia"/>
                <w:b/>
                <w:iCs/>
                <w:color w:val="000000"/>
                <w:sz w:val="24"/>
                <w:szCs w:val="24"/>
              </w:rPr>
              <w:t>铝加工</w:t>
            </w:r>
            <w:r>
              <w:rPr>
                <w:rFonts w:ascii="Times New Roman" w:hAnsi="Times New Roman" w:cs="Times New Roman"/>
                <w:b/>
                <w:iCs/>
                <w:color w:val="000000"/>
                <w:sz w:val="24"/>
                <w:szCs w:val="24"/>
              </w:rPr>
              <w:t>龙头企业，</w:t>
            </w:r>
            <w:r>
              <w:rPr>
                <w:rFonts w:ascii="Times New Roman" w:hAnsi="Times New Roman" w:cs="Times New Roman" w:hint="eastAsia"/>
                <w:b/>
                <w:iCs/>
                <w:color w:val="000000"/>
                <w:sz w:val="24"/>
                <w:szCs w:val="24"/>
              </w:rPr>
              <w:t>在应用领域方面，</w:t>
            </w:r>
            <w:r>
              <w:rPr>
                <w:rFonts w:ascii="Times New Roman" w:hAnsi="Times New Roman" w:cs="Times New Roman"/>
                <w:b/>
                <w:iCs/>
                <w:color w:val="000000"/>
                <w:sz w:val="24"/>
                <w:szCs w:val="24"/>
              </w:rPr>
              <w:t>公司未来的转型思路是怎样的？</w:t>
            </w:r>
          </w:p>
          <w:p w:rsidR="00907DBB" w:rsidRDefault="00727401">
            <w:pPr>
              <w:spacing w:line="440" w:lineRule="atLeast"/>
              <w:ind w:firstLineChars="200" w:firstLine="480"/>
              <w:rPr>
                <w:rFonts w:ascii="Times New Roman" w:hAnsi="Times New Roman" w:cs="Times New Roman"/>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sz w:val="24"/>
                <w:szCs w:val="24"/>
              </w:rPr>
              <w:t>近年随着新能源、汽车轻量化发展的进程推进</w:t>
            </w:r>
            <w:r>
              <w:rPr>
                <w:rFonts w:ascii="Times New Roman" w:hAnsi="Times New Roman" w:cs="Times New Roman" w:hint="eastAsia"/>
                <w:sz w:val="24"/>
                <w:szCs w:val="24"/>
              </w:rPr>
              <w:t>，</w:t>
            </w:r>
            <w:r>
              <w:rPr>
                <w:rFonts w:ascii="Times New Roman" w:hAnsi="Times New Roman" w:cs="Times New Roman"/>
                <w:sz w:val="24"/>
                <w:szCs w:val="24"/>
              </w:rPr>
              <w:t>未来主要往汽车轻量化、新能源、光伏电网、家居家电等方面来转型，</w:t>
            </w:r>
            <w:r>
              <w:rPr>
                <w:rFonts w:ascii="Times New Roman" w:hAnsi="Times New Roman" w:cs="Times New Roman" w:hint="eastAsia"/>
                <w:sz w:val="24"/>
                <w:szCs w:val="24"/>
              </w:rPr>
              <w:t>未来</w:t>
            </w:r>
            <w:r>
              <w:rPr>
                <w:rFonts w:ascii="Times New Roman" w:hAnsi="Times New Roman" w:cs="Times New Roman"/>
                <w:sz w:val="24"/>
                <w:szCs w:val="24"/>
              </w:rPr>
              <w:t>主要的增量是汽车轻量化、</w:t>
            </w:r>
            <w:r>
              <w:rPr>
                <w:rFonts w:ascii="Times New Roman" w:hAnsi="Times New Roman" w:cs="Times New Roman" w:hint="eastAsia"/>
                <w:sz w:val="24"/>
                <w:szCs w:val="24"/>
              </w:rPr>
              <w:t>电网、</w:t>
            </w:r>
            <w:r>
              <w:rPr>
                <w:rFonts w:ascii="Times New Roman" w:hAnsi="Times New Roman" w:cs="Times New Roman" w:hint="eastAsia"/>
                <w:sz w:val="24"/>
                <w:szCs w:val="24"/>
              </w:rPr>
              <w:t>3C</w:t>
            </w:r>
            <w:r>
              <w:rPr>
                <w:rFonts w:ascii="Times New Roman" w:hAnsi="Times New Roman" w:cs="Times New Roman" w:hint="eastAsia"/>
                <w:sz w:val="24"/>
                <w:szCs w:val="24"/>
              </w:rPr>
              <w:t>消费电子等</w:t>
            </w:r>
            <w:r>
              <w:rPr>
                <w:rFonts w:ascii="Times New Roman" w:hAnsi="Times New Roman" w:cs="Times New Roman"/>
                <w:sz w:val="24"/>
                <w:szCs w:val="24"/>
              </w:rPr>
              <w:t>领域产品。</w:t>
            </w:r>
          </w:p>
          <w:p w:rsidR="00907DBB" w:rsidRDefault="00727401">
            <w:pPr>
              <w:spacing w:line="440" w:lineRule="atLeast"/>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Q3</w:t>
            </w:r>
            <w:r>
              <w:rPr>
                <w:rFonts w:ascii="Times New Roman" w:hAnsi="Times New Roman" w:cs="Times New Roman"/>
                <w:b/>
                <w:iCs/>
                <w:color w:val="000000"/>
                <w:sz w:val="24"/>
                <w:szCs w:val="24"/>
              </w:rPr>
              <w:t>、</w:t>
            </w:r>
            <w:r>
              <w:rPr>
                <w:rFonts w:ascii="Times New Roman" w:hAnsi="Times New Roman" w:cs="Times New Roman"/>
                <w:b/>
                <w:iCs/>
                <w:color w:val="000000"/>
                <w:sz w:val="24"/>
                <w:szCs w:val="24"/>
              </w:rPr>
              <w:t>2023</w:t>
            </w:r>
            <w:r>
              <w:rPr>
                <w:rFonts w:ascii="Times New Roman" w:hAnsi="Times New Roman" w:cs="Times New Roman"/>
                <w:b/>
                <w:iCs/>
                <w:color w:val="000000"/>
                <w:sz w:val="24"/>
                <w:szCs w:val="24"/>
              </w:rPr>
              <w:t>年棒材、铝杆线缆的销量超预期的原因，是否是由于供给的增量以及下游需求的好转？</w:t>
            </w:r>
          </w:p>
          <w:p w:rsidR="00907DBB" w:rsidRDefault="00727401">
            <w:pPr>
              <w:spacing w:line="440" w:lineRule="atLeast"/>
              <w:ind w:firstLineChars="200" w:firstLine="480"/>
              <w:rPr>
                <w:rFonts w:ascii="Times New Roman" w:hAnsi="Times New Roman" w:cs="Times New Roman"/>
                <w:bCs/>
                <w:iCs/>
                <w:color w:val="000000"/>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2023</w:t>
            </w:r>
            <w:r>
              <w:rPr>
                <w:rFonts w:ascii="Times New Roman" w:hAnsi="Times New Roman" w:cs="Times New Roman"/>
                <w:bCs/>
                <w:iCs/>
                <w:color w:val="000000"/>
                <w:sz w:val="24"/>
                <w:szCs w:val="24"/>
              </w:rPr>
              <w:t>年公司棒材的增量来源是自建产能的增加，包括内蒙</w:t>
            </w:r>
            <w:r>
              <w:rPr>
                <w:rFonts w:ascii="Times New Roman" w:hAnsi="Times New Roman" w:cs="Times New Roman" w:hint="eastAsia"/>
                <w:bCs/>
                <w:iCs/>
                <w:color w:val="000000"/>
                <w:sz w:val="24"/>
                <w:szCs w:val="24"/>
              </w:rPr>
              <w:t>、</w:t>
            </w:r>
            <w:r>
              <w:rPr>
                <w:rFonts w:ascii="Times New Roman" w:hAnsi="Times New Roman" w:cs="Times New Roman" w:hint="eastAsia"/>
                <w:bCs/>
                <w:iCs/>
                <w:color w:val="000000"/>
                <w:sz w:val="24"/>
                <w:szCs w:val="24"/>
              </w:rPr>
              <w:t>云南等生产基地新增产能的投产</w:t>
            </w:r>
            <w:r>
              <w:rPr>
                <w:rFonts w:ascii="Times New Roman" w:hAnsi="Times New Roman" w:cs="Times New Roman"/>
                <w:bCs/>
                <w:iCs/>
                <w:color w:val="000000"/>
                <w:sz w:val="24"/>
                <w:szCs w:val="24"/>
              </w:rPr>
              <w:t>。铝杆线缆主要是</w:t>
            </w: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十四五期间</w:t>
            </w: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国家加大了特高压电网的投资，产品需求较好。</w:t>
            </w:r>
          </w:p>
          <w:p w:rsidR="00907DBB" w:rsidRDefault="00727401">
            <w:pPr>
              <w:spacing w:line="440" w:lineRule="atLeast"/>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Q4</w:t>
            </w:r>
            <w:r>
              <w:rPr>
                <w:rFonts w:ascii="Times New Roman" w:hAnsi="Times New Roman" w:cs="Times New Roman"/>
                <w:b/>
                <w:iCs/>
                <w:color w:val="000000"/>
                <w:sz w:val="24"/>
                <w:szCs w:val="24"/>
              </w:rPr>
              <w:t>、目前再生铝业务面临怎样的市场环境，公司有哪些</w:t>
            </w:r>
            <w:r>
              <w:rPr>
                <w:rFonts w:ascii="Times New Roman" w:hAnsi="Times New Roman" w:cs="Times New Roman"/>
                <w:b/>
                <w:iCs/>
                <w:color w:val="000000"/>
                <w:sz w:val="24"/>
                <w:szCs w:val="24"/>
              </w:rPr>
              <w:lastRenderedPageBreak/>
              <w:t>竞争优势和竞争策略？</w:t>
            </w:r>
          </w:p>
          <w:p w:rsidR="00907DBB" w:rsidRDefault="00727401">
            <w:pPr>
              <w:spacing w:line="440" w:lineRule="atLeast"/>
              <w:ind w:firstLineChars="200" w:firstLine="480"/>
              <w:rPr>
                <w:rFonts w:ascii="Times New Roman" w:hAnsi="Times New Roman" w:cs="Times New Roman"/>
                <w:bCs/>
                <w:iCs/>
                <w:color w:val="000000"/>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：目前同行业公司都在加大再生铝领域的投入。公司</w:t>
            </w:r>
            <w:r>
              <w:rPr>
                <w:rFonts w:ascii="Times New Roman" w:hAnsi="Times New Roman" w:cs="Times New Roman"/>
                <w:bCs/>
                <w:iCs/>
                <w:color w:val="000000"/>
                <w:sz w:val="24"/>
                <w:szCs w:val="24"/>
              </w:rPr>
              <w:t>2023</w:t>
            </w:r>
            <w:r>
              <w:rPr>
                <w:rFonts w:ascii="Times New Roman" w:hAnsi="Times New Roman" w:cs="Times New Roman"/>
                <w:bCs/>
                <w:iCs/>
                <w:color w:val="000000"/>
                <w:sz w:val="24"/>
                <w:szCs w:val="24"/>
              </w:rPr>
              <w:t>年再生铝用量为</w:t>
            </w:r>
            <w:r>
              <w:rPr>
                <w:rFonts w:ascii="Times New Roman" w:hAnsi="Times New Roman" w:cs="Times New Roman"/>
                <w:bCs/>
                <w:iCs/>
                <w:color w:val="000000"/>
                <w:sz w:val="24"/>
                <w:szCs w:val="24"/>
              </w:rPr>
              <w:t>101</w:t>
            </w:r>
            <w:r>
              <w:rPr>
                <w:rFonts w:ascii="Times New Roman" w:hAnsi="Times New Roman" w:cs="Times New Roman"/>
                <w:bCs/>
                <w:iCs/>
                <w:color w:val="000000"/>
                <w:sz w:val="24"/>
                <w:szCs w:val="24"/>
              </w:rPr>
              <w:t>万吨。设备方面，公司自</w:t>
            </w:r>
            <w:r>
              <w:rPr>
                <w:rFonts w:ascii="Times New Roman" w:hAnsi="Times New Roman" w:cs="Times New Roman"/>
                <w:bCs/>
                <w:iCs/>
                <w:color w:val="000000"/>
                <w:sz w:val="24"/>
                <w:szCs w:val="24"/>
              </w:rPr>
              <w:t>2022</w:t>
            </w:r>
            <w:r>
              <w:rPr>
                <w:rFonts w:ascii="Times New Roman" w:hAnsi="Times New Roman" w:cs="Times New Roman"/>
                <w:bCs/>
                <w:iCs/>
                <w:color w:val="000000"/>
                <w:sz w:val="24"/>
                <w:szCs w:val="24"/>
              </w:rPr>
              <w:t>年开始引进</w:t>
            </w:r>
            <w:r>
              <w:rPr>
                <w:rFonts w:ascii="Times New Roman" w:hAnsi="Times New Roman" w:cs="Times New Roman"/>
                <w:bCs/>
                <w:iCs/>
                <w:color w:val="000000"/>
                <w:sz w:val="24"/>
                <w:szCs w:val="24"/>
              </w:rPr>
              <w:t>14</w:t>
            </w:r>
            <w:r>
              <w:rPr>
                <w:rFonts w:ascii="Times New Roman" w:hAnsi="Times New Roman" w:cs="Times New Roman"/>
                <w:bCs/>
                <w:iCs/>
                <w:color w:val="000000"/>
                <w:sz w:val="24"/>
                <w:szCs w:val="24"/>
              </w:rPr>
              <w:t>条智能化进口再生铝回收处理生产线，预计</w:t>
            </w:r>
            <w:r>
              <w:rPr>
                <w:rFonts w:ascii="Times New Roman" w:hAnsi="Times New Roman" w:cs="Times New Roman"/>
                <w:bCs/>
                <w:iCs/>
                <w:color w:val="000000"/>
                <w:sz w:val="24"/>
                <w:szCs w:val="24"/>
              </w:rPr>
              <w:t>2024</w:t>
            </w:r>
            <w:r>
              <w:rPr>
                <w:rFonts w:ascii="Times New Roman" w:hAnsi="Times New Roman" w:cs="Times New Roman"/>
                <w:bCs/>
                <w:iCs/>
                <w:color w:val="000000"/>
                <w:sz w:val="24"/>
                <w:szCs w:val="24"/>
              </w:rPr>
              <w:t>年内安装完毕，建成后，公司具备年处理</w:t>
            </w:r>
            <w:r>
              <w:rPr>
                <w:rFonts w:ascii="Times New Roman" w:hAnsi="Times New Roman" w:cs="Times New Roman"/>
                <w:bCs/>
                <w:iCs/>
                <w:color w:val="000000"/>
                <w:sz w:val="24"/>
                <w:szCs w:val="24"/>
              </w:rPr>
              <w:t>205</w:t>
            </w:r>
            <w:r>
              <w:rPr>
                <w:rFonts w:ascii="Times New Roman" w:hAnsi="Times New Roman" w:cs="Times New Roman"/>
                <w:bCs/>
                <w:iCs/>
                <w:color w:val="000000"/>
                <w:sz w:val="24"/>
                <w:szCs w:val="24"/>
              </w:rPr>
              <w:t>万吨再生铝生产能力，将达到国内国际领先水平；技术方面，公司参与发起和制定了再生铝</w:t>
            </w:r>
            <w:r>
              <w:rPr>
                <w:rFonts w:ascii="Times New Roman" w:hAnsi="Times New Roman" w:cs="Times New Roman"/>
                <w:bCs/>
                <w:iCs/>
                <w:color w:val="000000"/>
                <w:sz w:val="24"/>
                <w:szCs w:val="24"/>
              </w:rPr>
              <w:t>5</w:t>
            </w:r>
            <w:r>
              <w:rPr>
                <w:rFonts w:ascii="Times New Roman" w:hAnsi="Times New Roman" w:cs="Times New Roman"/>
                <w:bCs/>
                <w:iCs/>
                <w:color w:val="000000"/>
                <w:sz w:val="24"/>
                <w:szCs w:val="24"/>
              </w:rPr>
              <w:t>项国标和行业标准。此外，公司于</w:t>
            </w:r>
            <w:r>
              <w:rPr>
                <w:rFonts w:ascii="Times New Roman" w:hAnsi="Times New Roman" w:cs="Times New Roman"/>
                <w:bCs/>
                <w:iCs/>
                <w:color w:val="000000"/>
                <w:sz w:val="24"/>
                <w:szCs w:val="24"/>
              </w:rPr>
              <w:t>2024</w:t>
            </w:r>
            <w:r>
              <w:rPr>
                <w:rFonts w:ascii="Times New Roman" w:hAnsi="Times New Roman" w:cs="Times New Roman"/>
                <w:bCs/>
                <w:iCs/>
                <w:color w:val="000000"/>
                <w:sz w:val="24"/>
                <w:szCs w:val="24"/>
              </w:rPr>
              <w:t>年</w:t>
            </w:r>
            <w:r>
              <w:rPr>
                <w:rFonts w:ascii="Times New Roman" w:hAnsi="Times New Roman" w:cs="Times New Roman"/>
                <w:bCs/>
                <w:iCs/>
                <w:color w:val="000000"/>
                <w:sz w:val="24"/>
                <w:szCs w:val="24"/>
              </w:rPr>
              <w:t>4</w:t>
            </w:r>
            <w:r>
              <w:rPr>
                <w:rFonts w:ascii="Times New Roman" w:hAnsi="Times New Roman" w:cs="Times New Roman"/>
                <w:bCs/>
                <w:iCs/>
                <w:color w:val="000000"/>
                <w:sz w:val="24"/>
                <w:szCs w:val="24"/>
              </w:rPr>
              <w:t>月与工业富联成立了合资公司，主要业务是再生铝的回收利用。综上，公司在再生铝领域的技术储备和市场化回收方面都具有很大优势。</w:t>
            </w:r>
          </w:p>
          <w:p w:rsidR="00907DBB" w:rsidRDefault="00727401">
            <w:pPr>
              <w:spacing w:line="440" w:lineRule="atLeast"/>
              <w:ind w:firstLineChars="200" w:firstLine="482"/>
              <w:rPr>
                <w:rFonts w:ascii="Times New Roman" w:hAnsi="Times New Roman" w:cs="Times New Roman"/>
                <w:b/>
                <w:iCs/>
                <w:color w:val="000000"/>
                <w:sz w:val="24"/>
                <w:szCs w:val="24"/>
              </w:rPr>
            </w:pPr>
            <w:r>
              <w:rPr>
                <w:rFonts w:ascii="Times New Roman" w:hAnsi="Times New Roman" w:cs="Times New Roman"/>
                <w:b/>
                <w:iCs/>
                <w:color w:val="000000"/>
                <w:sz w:val="24"/>
                <w:szCs w:val="24"/>
              </w:rPr>
              <w:t>Q5</w:t>
            </w:r>
            <w:r>
              <w:rPr>
                <w:rFonts w:ascii="Times New Roman" w:hAnsi="Times New Roman" w:cs="Times New Roman"/>
                <w:b/>
                <w:iCs/>
                <w:color w:val="000000"/>
                <w:sz w:val="24"/>
                <w:szCs w:val="24"/>
              </w:rPr>
              <w:t>、公司</w:t>
            </w:r>
            <w:r>
              <w:rPr>
                <w:rFonts w:ascii="Times New Roman" w:hAnsi="Times New Roman" w:cs="Times New Roman" w:hint="eastAsia"/>
                <w:b/>
                <w:iCs/>
                <w:color w:val="000000"/>
                <w:sz w:val="24"/>
                <w:szCs w:val="24"/>
              </w:rPr>
              <w:t>绿色</w:t>
            </w:r>
            <w:r>
              <w:rPr>
                <w:rFonts w:ascii="Times New Roman" w:hAnsi="Times New Roman" w:cs="Times New Roman"/>
                <w:b/>
                <w:iCs/>
                <w:color w:val="000000"/>
                <w:sz w:val="24"/>
                <w:szCs w:val="24"/>
              </w:rPr>
              <w:t>原材料布局的推进情况，包括集团内部相关上游布</w:t>
            </w:r>
            <w:r>
              <w:rPr>
                <w:rFonts w:ascii="Times New Roman" w:hAnsi="Times New Roman" w:cs="Times New Roman"/>
                <w:b/>
                <w:iCs/>
                <w:color w:val="000000"/>
                <w:sz w:val="24"/>
                <w:szCs w:val="24"/>
              </w:rPr>
              <w:t>局如何与上市公司进行协同？</w:t>
            </w:r>
          </w:p>
          <w:p w:rsidR="00907DBB" w:rsidRDefault="00727401">
            <w:pPr>
              <w:spacing w:line="440" w:lineRule="atLeast"/>
              <w:ind w:firstLineChars="200" w:firstLine="480"/>
              <w:rPr>
                <w:rFonts w:ascii="Times New Roman" w:hAnsi="Times New Roman" w:cs="Times New Roman"/>
                <w:bCs/>
                <w:iCs/>
                <w:color w:val="000000"/>
                <w:sz w:val="24"/>
                <w:szCs w:val="24"/>
              </w:rPr>
            </w:pPr>
            <w:r>
              <w:rPr>
                <w:rFonts w:ascii="Times New Roman" w:hAnsi="Times New Roman" w:cs="Times New Roman"/>
                <w:bCs/>
                <w:iCs/>
                <w:color w:val="000000"/>
                <w:sz w:val="24"/>
                <w:szCs w:val="24"/>
              </w:rPr>
              <w:t>A</w:t>
            </w: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2023</w:t>
            </w:r>
            <w:r>
              <w:rPr>
                <w:rFonts w:ascii="Times New Roman" w:hAnsi="Times New Roman" w:cs="Times New Roman"/>
                <w:bCs/>
                <w:iCs/>
                <w:color w:val="000000"/>
                <w:sz w:val="24"/>
                <w:szCs w:val="24"/>
              </w:rPr>
              <w:t>年全年，公司使用绿电铝和再生铝</w:t>
            </w:r>
            <w:r>
              <w:rPr>
                <w:rFonts w:ascii="Times New Roman" w:hAnsi="Times New Roman" w:cs="Times New Roman"/>
                <w:bCs/>
                <w:iCs/>
                <w:color w:val="000000"/>
                <w:sz w:val="24"/>
                <w:szCs w:val="24"/>
              </w:rPr>
              <w:t>144.06</w:t>
            </w:r>
            <w:r>
              <w:rPr>
                <w:rFonts w:ascii="Times New Roman" w:hAnsi="Times New Roman" w:cs="Times New Roman"/>
                <w:bCs/>
                <w:iCs/>
                <w:color w:val="000000"/>
                <w:sz w:val="24"/>
                <w:szCs w:val="24"/>
              </w:rPr>
              <w:t>万吨，其中，采购绿电铝</w:t>
            </w:r>
            <w:r>
              <w:rPr>
                <w:rFonts w:ascii="Times New Roman" w:hAnsi="Times New Roman" w:cs="Times New Roman"/>
                <w:bCs/>
                <w:iCs/>
                <w:color w:val="000000"/>
                <w:sz w:val="24"/>
                <w:szCs w:val="24"/>
              </w:rPr>
              <w:t>42.67</w:t>
            </w:r>
            <w:r>
              <w:rPr>
                <w:rFonts w:ascii="Times New Roman" w:hAnsi="Times New Roman" w:cs="Times New Roman"/>
                <w:bCs/>
                <w:iCs/>
                <w:color w:val="000000"/>
                <w:sz w:val="24"/>
                <w:szCs w:val="24"/>
              </w:rPr>
              <w:t>万吨。公司依托于控股股东在内蒙布局的风光电铝项目，大大提升原材料中绿色铝的占比。公司会坚定不移的提升再生铝和绿色铝、绿色能源的占比。</w:t>
            </w:r>
          </w:p>
          <w:p w:rsidR="00907DBB" w:rsidRDefault="00907DBB">
            <w:pPr>
              <w:spacing w:line="440" w:lineRule="atLeast"/>
              <w:ind w:firstLineChars="200" w:firstLine="480"/>
              <w:rPr>
                <w:rFonts w:ascii="Times New Roman" w:hAnsi="Times New Roman" w:cs="Times New Roman"/>
                <w:bCs/>
                <w:iCs/>
                <w:color w:val="000000"/>
                <w:sz w:val="24"/>
                <w:szCs w:val="24"/>
              </w:rPr>
            </w:pPr>
          </w:p>
        </w:tc>
      </w:tr>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lastRenderedPageBreak/>
              <w:t>业务附件清单（如有）</w:t>
            </w:r>
          </w:p>
        </w:tc>
        <w:tc>
          <w:tcPr>
            <w:tcW w:w="6614" w:type="dxa"/>
            <w:tcBorders>
              <w:top w:val="single" w:sz="4" w:space="0" w:color="auto"/>
              <w:left w:val="single" w:sz="4" w:space="0" w:color="auto"/>
              <w:bottom w:val="single" w:sz="4" w:space="0" w:color="auto"/>
              <w:right w:val="single" w:sz="4" w:space="0" w:color="auto"/>
            </w:tcBorders>
          </w:tcPr>
          <w:p w:rsidR="00907DBB" w:rsidRDefault="00727401">
            <w:pPr>
              <w:spacing w:line="440" w:lineRule="atLeast"/>
              <w:ind w:firstLineChars="200" w:firstLine="480"/>
              <w:rPr>
                <w:rFonts w:ascii="Times New Roman" w:hAnsi="Times New Roman" w:cs="Times New Roman"/>
                <w:sz w:val="20"/>
              </w:rPr>
            </w:pPr>
            <w:r>
              <w:rPr>
                <w:rFonts w:ascii="Times New Roman" w:hAnsi="Times New Roman" w:cs="Times New Roman"/>
                <w:bCs/>
                <w:iCs/>
                <w:color w:val="000000"/>
                <w:sz w:val="24"/>
              </w:rPr>
              <w:t>无</w:t>
            </w:r>
          </w:p>
        </w:tc>
      </w:tr>
      <w:tr w:rsidR="00907DBB">
        <w:tc>
          <w:tcPr>
            <w:tcW w:w="1908" w:type="dxa"/>
            <w:tcBorders>
              <w:top w:val="single" w:sz="4" w:space="0" w:color="auto"/>
              <w:left w:val="single" w:sz="4" w:space="0" w:color="auto"/>
              <w:bottom w:val="single" w:sz="4" w:space="0" w:color="auto"/>
              <w:right w:val="single" w:sz="4" w:space="0" w:color="auto"/>
            </w:tcBorders>
            <w:vAlign w:val="center"/>
          </w:tcPr>
          <w:p w:rsidR="00907DBB" w:rsidRDefault="00727401">
            <w:pPr>
              <w:spacing w:line="480" w:lineRule="atLeast"/>
              <w:rPr>
                <w:rFonts w:ascii="Times New Roman" w:hAnsi="Times New Roman" w:cs="Times New Roman"/>
                <w:bCs/>
                <w:iCs/>
                <w:color w:val="000000"/>
                <w:sz w:val="24"/>
              </w:rPr>
            </w:pPr>
            <w:r>
              <w:rPr>
                <w:rFonts w:ascii="Times New Roman" w:hAnsi="Times New Roman" w:cs="Times New Roman"/>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907DBB" w:rsidRDefault="00727401">
            <w:pPr>
              <w:spacing w:line="440" w:lineRule="atLeast"/>
              <w:ind w:firstLineChars="200" w:firstLine="480"/>
              <w:rPr>
                <w:rFonts w:ascii="Times New Roman" w:hAnsi="Times New Roman" w:cs="Times New Roman"/>
                <w:sz w:val="20"/>
              </w:rPr>
            </w:pPr>
            <w:r>
              <w:rPr>
                <w:rFonts w:ascii="Times New Roman" w:hAnsi="Times New Roman" w:cs="Times New Roman"/>
                <w:bCs/>
                <w:iCs/>
                <w:color w:val="000000"/>
                <w:sz w:val="24"/>
              </w:rPr>
              <w:t>202</w:t>
            </w:r>
            <w:r>
              <w:rPr>
                <w:rFonts w:ascii="Times New Roman" w:hAnsi="Times New Roman" w:cs="Times New Roman" w:hint="eastAsia"/>
                <w:bCs/>
                <w:iCs/>
                <w:color w:val="000000"/>
                <w:sz w:val="24"/>
              </w:rPr>
              <w:t>4</w:t>
            </w:r>
            <w:r>
              <w:rPr>
                <w:rFonts w:ascii="Times New Roman" w:hAnsi="Times New Roman" w:cs="Times New Roman"/>
                <w:bCs/>
                <w:iCs/>
                <w:color w:val="000000"/>
                <w:sz w:val="24"/>
              </w:rPr>
              <w:t>年</w:t>
            </w:r>
            <w:r>
              <w:rPr>
                <w:rFonts w:ascii="Times New Roman" w:hAnsi="Times New Roman" w:cs="Times New Roman" w:hint="eastAsia"/>
                <w:bCs/>
                <w:iCs/>
                <w:color w:val="000000"/>
                <w:sz w:val="24"/>
              </w:rPr>
              <w:t>04</w:t>
            </w:r>
            <w:r>
              <w:rPr>
                <w:rFonts w:ascii="Times New Roman" w:hAnsi="Times New Roman" w:cs="Times New Roman"/>
                <w:bCs/>
                <w:iCs/>
                <w:color w:val="000000"/>
                <w:sz w:val="24"/>
              </w:rPr>
              <w:t>月</w:t>
            </w:r>
            <w:r>
              <w:rPr>
                <w:rFonts w:ascii="Times New Roman" w:hAnsi="Times New Roman" w:cs="Times New Roman" w:hint="eastAsia"/>
                <w:bCs/>
                <w:iCs/>
                <w:color w:val="000000"/>
                <w:sz w:val="24"/>
              </w:rPr>
              <w:t>26</w:t>
            </w:r>
            <w:r>
              <w:rPr>
                <w:rFonts w:ascii="Times New Roman" w:hAnsi="Times New Roman" w:cs="Times New Roman"/>
                <w:bCs/>
                <w:iCs/>
                <w:color w:val="000000"/>
                <w:sz w:val="24"/>
              </w:rPr>
              <w:t>日</w:t>
            </w:r>
          </w:p>
        </w:tc>
      </w:tr>
    </w:tbl>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907DBB">
      <w:pPr>
        <w:rPr>
          <w:rFonts w:ascii="Times New Roman" w:hAnsi="Times New Roman" w:cs="Times New Roman"/>
        </w:rPr>
      </w:pPr>
    </w:p>
    <w:p w:rsidR="00907DBB" w:rsidRDefault="00727401">
      <w:pPr>
        <w:rPr>
          <w:rFonts w:ascii="Times New Roman" w:hAnsi="Times New Roman" w:cs="Times New Roman"/>
          <w:b/>
          <w:bCs/>
          <w:sz w:val="32"/>
          <w:szCs w:val="36"/>
        </w:rPr>
      </w:pPr>
      <w:r>
        <w:rPr>
          <w:rFonts w:ascii="Times New Roman" w:hAnsi="Times New Roman" w:cs="Times New Roman"/>
          <w:b/>
          <w:bCs/>
          <w:sz w:val="32"/>
          <w:szCs w:val="36"/>
        </w:rPr>
        <w:lastRenderedPageBreak/>
        <w:t>附件：参会人员名单</w:t>
      </w:r>
    </w:p>
    <w:tbl>
      <w:tblPr>
        <w:tblW w:w="8314" w:type="dxa"/>
        <w:tblInd w:w="98" w:type="dxa"/>
        <w:tblLayout w:type="fixed"/>
        <w:tblLook w:val="04A0" w:firstRow="1" w:lastRow="0" w:firstColumn="1" w:lastColumn="0" w:noHBand="0" w:noVBand="1"/>
      </w:tblPr>
      <w:tblGrid>
        <w:gridCol w:w="2525"/>
        <w:gridCol w:w="5789"/>
      </w:tblGrid>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907DBB" w:rsidRDefault="00727401">
            <w:pPr>
              <w:widowControl/>
              <w:jc w:val="center"/>
              <w:textAlignment w:val="center"/>
              <w:rPr>
                <w:rFonts w:ascii="宋体" w:eastAsia="宋体" w:hAnsi="宋体" w:cs="宋体"/>
                <w:b/>
                <w:bCs/>
                <w:color w:val="000000"/>
                <w:sz w:val="22"/>
                <w:lang w:bidi="ar"/>
              </w:rPr>
            </w:pPr>
            <w:r>
              <w:rPr>
                <w:rFonts w:ascii="宋体" w:eastAsia="宋体" w:hAnsi="宋体" w:cs="宋体" w:hint="eastAsia"/>
                <w:b/>
                <w:bCs/>
                <w:color w:val="000000"/>
                <w:sz w:val="22"/>
                <w:lang w:bidi="ar"/>
              </w:rPr>
              <w:t>参会者姓名</w:t>
            </w:r>
          </w:p>
        </w:tc>
        <w:tc>
          <w:tcPr>
            <w:tcW w:w="57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907DBB" w:rsidRDefault="00727401">
            <w:pPr>
              <w:widowControl/>
              <w:jc w:val="center"/>
              <w:textAlignment w:val="center"/>
              <w:rPr>
                <w:rFonts w:ascii="宋体" w:eastAsia="宋体" w:hAnsi="宋体" w:cs="宋体"/>
                <w:b/>
                <w:bCs/>
                <w:color w:val="000000"/>
                <w:sz w:val="22"/>
                <w:lang w:bidi="ar"/>
              </w:rPr>
            </w:pPr>
            <w:r>
              <w:rPr>
                <w:rFonts w:ascii="宋体" w:eastAsia="宋体" w:hAnsi="宋体" w:cs="宋体" w:hint="eastAsia"/>
                <w:b/>
                <w:bCs/>
                <w:color w:val="000000"/>
                <w:sz w:val="22"/>
                <w:lang w:bidi="ar"/>
              </w:rPr>
              <w:t>机构名称</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易轰</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长江证券股份有限公司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孙二春</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民生证券股份有限公司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王畅舟</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中国国际金融股份有限公司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齐丁</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中国国际金融股份有限公司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王政</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中国国际金融股份有限公司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何玉静</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浙商证券股份有限公司</w:t>
            </w:r>
          </w:p>
        </w:tc>
      </w:tr>
      <w:tr w:rsidR="00907DBB">
        <w:trPr>
          <w:trHeight w:val="35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覃晶晶</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国投证券股份有限公司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拜俊飞</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中信证券股份有限公司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陈剑凡</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中信证券股份有限公司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陈先龙</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海通证券股份有限公司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徐榕</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中国国际金融股份有限公司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丁士涛</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国联证券股份有限公司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刘依然</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国联证券股份有限公司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刘孟峦</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国信证券股份有限公司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马可远</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国信证券股份有限公司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焦方冉</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国信证券股份有限公司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马焰明</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上海申银万国证券研究所有限公司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邓湘伟</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申万宏源证券有限公司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宋洋</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信达证券股份有限公司</w:t>
            </w:r>
          </w:p>
        </w:tc>
      </w:tr>
      <w:tr w:rsidR="00907DBB">
        <w:trPr>
          <w:trHeight w:val="9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王琪</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国盛证券有限责任公司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初金娜</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国盛证券有限责任公司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王靖涵</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中邮证券有限责任公司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魏欣</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中邮证券有限责任公司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周古玥</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国投证券股份有限公司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梁琳</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海通证券股份有限公司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王曼琪</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海通国际证券集团有限公司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王乐</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广发证券股份有限公司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魏征宇</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华福证券有限责任公司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温佳贝</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开源证券股份有限公司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刘崇娜</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首创证券股份有限公司</w:t>
            </w:r>
          </w:p>
        </w:tc>
      </w:tr>
      <w:tr w:rsidR="00907DBB">
        <w:trPr>
          <w:trHeight w:val="314"/>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李亚斌</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博时基金管理有限公司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李金洪</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长城基金管理有限公司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杨佳</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国联基金管理有限公司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刘子琦</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汇安基金管理有限责任公司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赵万隆</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九泰基金管理有限公司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王晓宇</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中欧基金管理有限公司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陈柳</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hint="eastAsia"/>
              </w:rPr>
              <w:t>兴华基金</w:t>
            </w:r>
            <w:r>
              <w:rPr>
                <w:rFonts w:ascii="宋体" w:eastAsia="宋体" w:hAnsi="宋体" w:cs="宋体" w:hint="eastAsia"/>
                <w:bCs/>
                <w:color w:val="000000"/>
                <w:sz w:val="22"/>
                <w:lang w:bidi="ar"/>
              </w:rPr>
              <w:t>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邱颖</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新华养老保险股份有限公司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方军平</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上海人寿保险股份有限公司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李乐</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华泰资产管理有限公司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lastRenderedPageBreak/>
              <w:t>王瑾</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中银国际证券股份有限公司资产管理部</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郭金香</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北京磐茂投资管理有限公司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方蔚</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永安期货股份有限公司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李青彦</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浙江农发产业投资有限公司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李爽</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上海东方证券创新投资有限公司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朱宏伟</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上海东方证券创新投资有限公司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姚思齐</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上海汽车集团金控管理有限公司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吴博</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上汽颀臻</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上海</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资产管理有限公司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张永波</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鸿运私募基金管理</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海南</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杨馨怡</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淡水泉</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北京</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投资管理有限公司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冯景山</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花旗环球金融亚洲有限公司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王雨天</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北京禹田资本管限公司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刘颖飞</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平安银行股份有限公司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王石頭</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青岛双木投资管理有限公司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赖正健</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上海贵源投资有限公司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顾元中</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上海汇正财经顾问有限公司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高自扬</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上海骐邦投资管理有限公司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熊龙启</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上海仙人掌私募基金管理合伙企业（有限合伙）</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王青</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上海胤胜资产管理有限公司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08378D">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赵雨晴</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上海胤胜资产管理有限公司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孙左君</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西安瀑布资产管理有限公司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bookmarkStart w:id="0" w:name="_GoBack"/>
            <w:bookmarkEnd w:id="0"/>
            <w:r>
              <w:rPr>
                <w:rFonts w:ascii="宋体" w:eastAsia="宋体" w:hAnsi="宋体" w:cs="宋体" w:hint="eastAsia"/>
                <w:bCs/>
                <w:color w:val="000000"/>
                <w:sz w:val="22"/>
                <w:lang w:bidi="ar"/>
              </w:rPr>
              <w:t>戚丽雅</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浙江巴沃私募基金管理有限公司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耿新宇</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保龄宝生物股份有限公司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马志强</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bCs/>
                <w:color w:val="000000"/>
                <w:sz w:val="22"/>
                <w:lang w:bidi="ar"/>
              </w:rPr>
              <w:t>北京中汇守正私募基金管理合伙企业</w:t>
            </w:r>
            <w:r>
              <w:rPr>
                <w:rFonts w:ascii="宋体" w:eastAsia="宋体" w:hAnsi="宋体" w:cs="宋体" w:hint="eastAsia"/>
                <w:bCs/>
                <w:color w:val="000000"/>
                <w:sz w:val="22"/>
                <w:lang w:bidi="ar"/>
              </w:rPr>
              <w:t>(</w:t>
            </w:r>
            <w:r>
              <w:rPr>
                <w:rFonts w:ascii="宋体" w:eastAsia="宋体" w:hAnsi="宋体" w:cs="宋体" w:hint="eastAsia"/>
                <w:bCs/>
                <w:color w:val="000000"/>
                <w:sz w:val="22"/>
                <w:lang w:bidi="ar"/>
              </w:rPr>
              <w:t>有限合伙</w:t>
            </w:r>
            <w:r>
              <w:rPr>
                <w:rFonts w:ascii="宋体" w:eastAsia="宋体" w:hAnsi="宋体" w:cs="宋体" w:hint="eastAsia"/>
                <w:bCs/>
                <w:color w:val="000000"/>
                <w:sz w:val="22"/>
                <w:lang w:bidi="ar"/>
              </w:rPr>
              <w:t>)</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赖正健</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上海贵源投资有限公司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邓绚</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北京清和泉资本管理有限公司</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尚志强</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bCs/>
                <w:color w:val="000000"/>
                <w:sz w:val="22"/>
                <w:lang w:bidi="ar"/>
              </w:rPr>
            </w:pPr>
            <w:r>
              <w:rPr>
                <w:rFonts w:ascii="宋体" w:eastAsia="宋体" w:hAnsi="宋体" w:cs="宋体" w:hint="eastAsia"/>
                <w:color w:val="000000"/>
                <w:kern w:val="0"/>
                <w:sz w:val="22"/>
                <w:lang w:bidi="ar"/>
              </w:rPr>
              <w:t>朴易投资</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薛博宇</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上海玖鹏资产管理中心（有限合伙）</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LiuHong</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Fullerton Fund Management Company Limited</w:t>
            </w:r>
          </w:p>
        </w:tc>
      </w:tr>
      <w:tr w:rsidR="00907DBB">
        <w:trPr>
          <w:trHeight w:val="280"/>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刘泽</w:t>
            </w:r>
          </w:p>
        </w:tc>
        <w:tc>
          <w:tcPr>
            <w:tcW w:w="5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7DBB" w:rsidRDefault="0072740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上海海岸号角私募基金管理有限公司</w:t>
            </w:r>
          </w:p>
        </w:tc>
      </w:tr>
    </w:tbl>
    <w:p w:rsidR="00907DBB" w:rsidRDefault="00907DBB">
      <w:pPr>
        <w:rPr>
          <w:rFonts w:ascii="Times New Roman" w:hAnsi="Times New Roman" w:cs="Times New Roman"/>
          <w:b/>
          <w:bCs/>
          <w:sz w:val="32"/>
          <w:szCs w:val="36"/>
        </w:rPr>
      </w:pPr>
    </w:p>
    <w:sectPr w:rsidR="00907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01" w:rsidRDefault="00727401" w:rsidP="0008378D">
      <w:r>
        <w:separator/>
      </w:r>
    </w:p>
  </w:endnote>
  <w:endnote w:type="continuationSeparator" w:id="0">
    <w:p w:rsidR="00727401" w:rsidRDefault="00727401" w:rsidP="0008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01" w:rsidRDefault="00727401" w:rsidP="0008378D">
      <w:r>
        <w:separator/>
      </w:r>
    </w:p>
  </w:footnote>
  <w:footnote w:type="continuationSeparator" w:id="0">
    <w:p w:rsidR="00727401" w:rsidRDefault="00727401" w:rsidP="00083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YTAxMDBhZDEyMDU0NDI3YTdkNjg0ZjE3YWJkMjEifQ=="/>
  </w:docVars>
  <w:rsids>
    <w:rsidRoot w:val="008A748A"/>
    <w:rsid w:val="0000365A"/>
    <w:rsid w:val="000122F7"/>
    <w:rsid w:val="00031734"/>
    <w:rsid w:val="00034019"/>
    <w:rsid w:val="0003536D"/>
    <w:rsid w:val="000437F7"/>
    <w:rsid w:val="00046EDD"/>
    <w:rsid w:val="00067147"/>
    <w:rsid w:val="0007522E"/>
    <w:rsid w:val="0008378D"/>
    <w:rsid w:val="000C68FC"/>
    <w:rsid w:val="000E415C"/>
    <w:rsid w:val="00102387"/>
    <w:rsid w:val="00132034"/>
    <w:rsid w:val="001444C3"/>
    <w:rsid w:val="00163536"/>
    <w:rsid w:val="001733D8"/>
    <w:rsid w:val="00191E21"/>
    <w:rsid w:val="001A2456"/>
    <w:rsid w:val="001B0A84"/>
    <w:rsid w:val="001E439A"/>
    <w:rsid w:val="001E63BA"/>
    <w:rsid w:val="001F7F12"/>
    <w:rsid w:val="00203230"/>
    <w:rsid w:val="00203717"/>
    <w:rsid w:val="00227180"/>
    <w:rsid w:val="00255C6A"/>
    <w:rsid w:val="002573B1"/>
    <w:rsid w:val="0026063D"/>
    <w:rsid w:val="00263D71"/>
    <w:rsid w:val="00277CD7"/>
    <w:rsid w:val="002A1987"/>
    <w:rsid w:val="002A5CBD"/>
    <w:rsid w:val="002A7F3A"/>
    <w:rsid w:val="002B1C89"/>
    <w:rsid w:val="002B3416"/>
    <w:rsid w:val="002B42D2"/>
    <w:rsid w:val="002F03B1"/>
    <w:rsid w:val="002F4D76"/>
    <w:rsid w:val="00321EF3"/>
    <w:rsid w:val="00323693"/>
    <w:rsid w:val="00325D47"/>
    <w:rsid w:val="0035619C"/>
    <w:rsid w:val="00383427"/>
    <w:rsid w:val="00394BC7"/>
    <w:rsid w:val="003A2B9D"/>
    <w:rsid w:val="003D5403"/>
    <w:rsid w:val="00403805"/>
    <w:rsid w:val="00403B92"/>
    <w:rsid w:val="00440DAB"/>
    <w:rsid w:val="004734C0"/>
    <w:rsid w:val="00473A31"/>
    <w:rsid w:val="0049462F"/>
    <w:rsid w:val="004966A8"/>
    <w:rsid w:val="004A3760"/>
    <w:rsid w:val="004E016C"/>
    <w:rsid w:val="004F19C2"/>
    <w:rsid w:val="004F214F"/>
    <w:rsid w:val="00523FE8"/>
    <w:rsid w:val="00531993"/>
    <w:rsid w:val="00550BC6"/>
    <w:rsid w:val="00557148"/>
    <w:rsid w:val="00564936"/>
    <w:rsid w:val="00565FAF"/>
    <w:rsid w:val="00570362"/>
    <w:rsid w:val="005F0474"/>
    <w:rsid w:val="005F276B"/>
    <w:rsid w:val="006701BB"/>
    <w:rsid w:val="006710C2"/>
    <w:rsid w:val="006731C7"/>
    <w:rsid w:val="00677AD8"/>
    <w:rsid w:val="00680595"/>
    <w:rsid w:val="006A3279"/>
    <w:rsid w:val="006A6FDA"/>
    <w:rsid w:val="006B1DCC"/>
    <w:rsid w:val="006D2865"/>
    <w:rsid w:val="006E2D01"/>
    <w:rsid w:val="006F7DAD"/>
    <w:rsid w:val="00721EB7"/>
    <w:rsid w:val="00724648"/>
    <w:rsid w:val="00727158"/>
    <w:rsid w:val="00727401"/>
    <w:rsid w:val="00735644"/>
    <w:rsid w:val="00736EB3"/>
    <w:rsid w:val="00753734"/>
    <w:rsid w:val="00765A90"/>
    <w:rsid w:val="00767DA7"/>
    <w:rsid w:val="00775D58"/>
    <w:rsid w:val="00784B07"/>
    <w:rsid w:val="0079519B"/>
    <w:rsid w:val="007A411F"/>
    <w:rsid w:val="007B1BC3"/>
    <w:rsid w:val="007C1BD3"/>
    <w:rsid w:val="007E3AFD"/>
    <w:rsid w:val="00806EFC"/>
    <w:rsid w:val="00836F80"/>
    <w:rsid w:val="008576F5"/>
    <w:rsid w:val="008645DE"/>
    <w:rsid w:val="00870EE8"/>
    <w:rsid w:val="00871224"/>
    <w:rsid w:val="00883383"/>
    <w:rsid w:val="008900AA"/>
    <w:rsid w:val="008A748A"/>
    <w:rsid w:val="008C5C0E"/>
    <w:rsid w:val="008E04B2"/>
    <w:rsid w:val="008F0386"/>
    <w:rsid w:val="008F44A5"/>
    <w:rsid w:val="00904085"/>
    <w:rsid w:val="00907DBB"/>
    <w:rsid w:val="00913880"/>
    <w:rsid w:val="00915435"/>
    <w:rsid w:val="00926710"/>
    <w:rsid w:val="00937768"/>
    <w:rsid w:val="00972284"/>
    <w:rsid w:val="00983C44"/>
    <w:rsid w:val="009963C9"/>
    <w:rsid w:val="00997460"/>
    <w:rsid w:val="009B3045"/>
    <w:rsid w:val="009D7ABC"/>
    <w:rsid w:val="009E7BC4"/>
    <w:rsid w:val="00A02E43"/>
    <w:rsid w:val="00A24CC7"/>
    <w:rsid w:val="00A706B9"/>
    <w:rsid w:val="00A80B0F"/>
    <w:rsid w:val="00AE1140"/>
    <w:rsid w:val="00AE1842"/>
    <w:rsid w:val="00AF0550"/>
    <w:rsid w:val="00B05B16"/>
    <w:rsid w:val="00B27A1D"/>
    <w:rsid w:val="00B42627"/>
    <w:rsid w:val="00B57727"/>
    <w:rsid w:val="00B67767"/>
    <w:rsid w:val="00B67909"/>
    <w:rsid w:val="00B67BC2"/>
    <w:rsid w:val="00BA32AF"/>
    <w:rsid w:val="00BE62A9"/>
    <w:rsid w:val="00BE7DCE"/>
    <w:rsid w:val="00C01851"/>
    <w:rsid w:val="00C100EA"/>
    <w:rsid w:val="00C13DEF"/>
    <w:rsid w:val="00C312D4"/>
    <w:rsid w:val="00C73C03"/>
    <w:rsid w:val="00C76EF2"/>
    <w:rsid w:val="00C83927"/>
    <w:rsid w:val="00C849C1"/>
    <w:rsid w:val="00CF00F7"/>
    <w:rsid w:val="00D003CE"/>
    <w:rsid w:val="00D30DA0"/>
    <w:rsid w:val="00D81BBB"/>
    <w:rsid w:val="00D90D40"/>
    <w:rsid w:val="00D92513"/>
    <w:rsid w:val="00D9282A"/>
    <w:rsid w:val="00DA02DD"/>
    <w:rsid w:val="00DB3DEF"/>
    <w:rsid w:val="00E05D76"/>
    <w:rsid w:val="00E12A72"/>
    <w:rsid w:val="00E175C6"/>
    <w:rsid w:val="00E23343"/>
    <w:rsid w:val="00E30058"/>
    <w:rsid w:val="00E812D5"/>
    <w:rsid w:val="00E82FE5"/>
    <w:rsid w:val="00EA4D8D"/>
    <w:rsid w:val="00EB156A"/>
    <w:rsid w:val="00EB491F"/>
    <w:rsid w:val="00ED6CEE"/>
    <w:rsid w:val="00EE362E"/>
    <w:rsid w:val="00F161B7"/>
    <w:rsid w:val="00F231A7"/>
    <w:rsid w:val="00F535BD"/>
    <w:rsid w:val="00F9501F"/>
    <w:rsid w:val="00FA5F1C"/>
    <w:rsid w:val="00FA711B"/>
    <w:rsid w:val="00FB3F7C"/>
    <w:rsid w:val="010333FC"/>
    <w:rsid w:val="01DE1773"/>
    <w:rsid w:val="01EC20E2"/>
    <w:rsid w:val="03127926"/>
    <w:rsid w:val="034807D7"/>
    <w:rsid w:val="03547F3F"/>
    <w:rsid w:val="03C2134C"/>
    <w:rsid w:val="055C337C"/>
    <w:rsid w:val="05917228"/>
    <w:rsid w:val="076A2FCC"/>
    <w:rsid w:val="08E24E67"/>
    <w:rsid w:val="09AA3085"/>
    <w:rsid w:val="0AC27C6A"/>
    <w:rsid w:val="0C0D7AE6"/>
    <w:rsid w:val="0C6A4FEB"/>
    <w:rsid w:val="0CD67C16"/>
    <w:rsid w:val="0F4E618A"/>
    <w:rsid w:val="113B273E"/>
    <w:rsid w:val="11EF3F60"/>
    <w:rsid w:val="12B97DBE"/>
    <w:rsid w:val="141E2CB3"/>
    <w:rsid w:val="14E153AA"/>
    <w:rsid w:val="153B2D0D"/>
    <w:rsid w:val="15467F0C"/>
    <w:rsid w:val="159C7321"/>
    <w:rsid w:val="15DF7B3C"/>
    <w:rsid w:val="15EA6999"/>
    <w:rsid w:val="17463BEB"/>
    <w:rsid w:val="17C868CE"/>
    <w:rsid w:val="18663217"/>
    <w:rsid w:val="19616ABA"/>
    <w:rsid w:val="199233E9"/>
    <w:rsid w:val="1A023DF9"/>
    <w:rsid w:val="1A4C6435"/>
    <w:rsid w:val="1B63575F"/>
    <w:rsid w:val="1CC33479"/>
    <w:rsid w:val="1D1C1676"/>
    <w:rsid w:val="1D3624CC"/>
    <w:rsid w:val="1DAE4913"/>
    <w:rsid w:val="1DCA5D5E"/>
    <w:rsid w:val="1DFB6C4B"/>
    <w:rsid w:val="1FF67686"/>
    <w:rsid w:val="223E6801"/>
    <w:rsid w:val="22A53EBB"/>
    <w:rsid w:val="22EA62DB"/>
    <w:rsid w:val="24193876"/>
    <w:rsid w:val="257C4880"/>
    <w:rsid w:val="266B6C42"/>
    <w:rsid w:val="28446A3F"/>
    <w:rsid w:val="28577A06"/>
    <w:rsid w:val="292F2731"/>
    <w:rsid w:val="296C65E4"/>
    <w:rsid w:val="2A151926"/>
    <w:rsid w:val="2A834AE2"/>
    <w:rsid w:val="2AC670C5"/>
    <w:rsid w:val="2D0B37A7"/>
    <w:rsid w:val="2E5B7B24"/>
    <w:rsid w:val="305273C9"/>
    <w:rsid w:val="309D4424"/>
    <w:rsid w:val="30A6152A"/>
    <w:rsid w:val="323811C7"/>
    <w:rsid w:val="326C2300"/>
    <w:rsid w:val="32AE7607"/>
    <w:rsid w:val="337202EA"/>
    <w:rsid w:val="33723946"/>
    <w:rsid w:val="3684230E"/>
    <w:rsid w:val="3B595642"/>
    <w:rsid w:val="3E274F6C"/>
    <w:rsid w:val="3EF773F5"/>
    <w:rsid w:val="40C8729B"/>
    <w:rsid w:val="41285F8B"/>
    <w:rsid w:val="41DE664A"/>
    <w:rsid w:val="41F8269F"/>
    <w:rsid w:val="42165DE4"/>
    <w:rsid w:val="45D76C57"/>
    <w:rsid w:val="462558F9"/>
    <w:rsid w:val="46410341"/>
    <w:rsid w:val="46584C1D"/>
    <w:rsid w:val="46C71EE7"/>
    <w:rsid w:val="47685334"/>
    <w:rsid w:val="477A4E46"/>
    <w:rsid w:val="49731D6E"/>
    <w:rsid w:val="4A881849"/>
    <w:rsid w:val="4ABA5EA6"/>
    <w:rsid w:val="4B3C1CC8"/>
    <w:rsid w:val="4C77029F"/>
    <w:rsid w:val="4CF338F1"/>
    <w:rsid w:val="4E4639B7"/>
    <w:rsid w:val="4E91394D"/>
    <w:rsid w:val="50CD66BC"/>
    <w:rsid w:val="520C2D5F"/>
    <w:rsid w:val="523F3135"/>
    <w:rsid w:val="525C226C"/>
    <w:rsid w:val="561A3C9D"/>
    <w:rsid w:val="59BC1FE2"/>
    <w:rsid w:val="5AA27293"/>
    <w:rsid w:val="5B2B614D"/>
    <w:rsid w:val="5B413A7A"/>
    <w:rsid w:val="5B6854AA"/>
    <w:rsid w:val="5D804D2D"/>
    <w:rsid w:val="5E856373"/>
    <w:rsid w:val="5F9830B4"/>
    <w:rsid w:val="606F1089"/>
    <w:rsid w:val="613F6CAD"/>
    <w:rsid w:val="616545FA"/>
    <w:rsid w:val="627E15CF"/>
    <w:rsid w:val="62905157"/>
    <w:rsid w:val="64300B2F"/>
    <w:rsid w:val="64CE38BC"/>
    <w:rsid w:val="656C544A"/>
    <w:rsid w:val="6692787F"/>
    <w:rsid w:val="66DB2FC1"/>
    <w:rsid w:val="6775001E"/>
    <w:rsid w:val="679B2764"/>
    <w:rsid w:val="681349F0"/>
    <w:rsid w:val="6B2D7B77"/>
    <w:rsid w:val="6C0B474A"/>
    <w:rsid w:val="6C57134F"/>
    <w:rsid w:val="6C901342"/>
    <w:rsid w:val="6CDE38BB"/>
    <w:rsid w:val="6F571666"/>
    <w:rsid w:val="6F670A0A"/>
    <w:rsid w:val="6FBE16E5"/>
    <w:rsid w:val="70877018"/>
    <w:rsid w:val="748B1312"/>
    <w:rsid w:val="78A9267C"/>
    <w:rsid w:val="79B55907"/>
    <w:rsid w:val="7A0D4BB0"/>
    <w:rsid w:val="7A5549F4"/>
    <w:rsid w:val="7A7656B4"/>
    <w:rsid w:val="7B7954A1"/>
    <w:rsid w:val="7D7A567A"/>
    <w:rsid w:val="7E6C3CA5"/>
    <w:rsid w:val="7F6B5F34"/>
    <w:rsid w:val="7FAC5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B417"/>
  <w15:docId w15:val="{AAD4FFD3-A77A-40CD-87B9-11D23413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unhideWhenUsed/>
    <w:qFormat/>
    <w:rPr>
      <w:b/>
      <w:bCs/>
    </w:rPr>
  </w:style>
  <w:style w:type="character" w:styleId="ad">
    <w:name w:val="annotation reference"/>
    <w:basedOn w:val="a0"/>
    <w:autoRedefine/>
    <w:uiPriority w:val="99"/>
    <w:semiHidden/>
    <w:unhideWhenUsed/>
    <w:qFormat/>
    <w:rPr>
      <w:sz w:val="21"/>
      <w:szCs w:val="21"/>
    </w:rPr>
  </w:style>
  <w:style w:type="character" w:customStyle="1" w:styleId="a6">
    <w:name w:val="批注框文本 字符"/>
    <w:basedOn w:val="a0"/>
    <w:link w:val="a5"/>
    <w:autoRedefine/>
    <w:uiPriority w:val="99"/>
    <w:semiHidden/>
    <w:qFormat/>
    <w:rPr>
      <w:sz w:val="18"/>
      <w:szCs w:val="18"/>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autoRedefine/>
    <w:uiPriority w:val="99"/>
    <w:semiHidden/>
    <w:qFormat/>
    <w:rPr>
      <w:rFonts w:asciiTheme="minorHAnsi" w:eastAsiaTheme="minorEastAsia" w:hAnsiTheme="minorHAnsi" w:cstheme="minorBidi"/>
      <w:b/>
      <w:bCs/>
      <w:kern w:val="2"/>
      <w:sz w:val="21"/>
      <w:szCs w:val="22"/>
    </w:rPr>
  </w:style>
  <w:style w:type="paragraph" w:customStyle="1" w:styleId="1">
    <w:name w:val="修订1"/>
    <w:autoRedefine/>
    <w:hidden/>
    <w:uiPriority w:val="99"/>
    <w:unhideWhenUsed/>
    <w:qFormat/>
    <w:rPr>
      <w:rFonts w:asciiTheme="minorHAnsi" w:eastAsiaTheme="minorEastAsia" w:hAnsiTheme="minorHAnsi" w:cstheme="minorBidi"/>
      <w:kern w:val="2"/>
      <w:sz w:val="21"/>
      <w:szCs w:val="22"/>
    </w:rPr>
  </w:style>
  <w:style w:type="character" w:customStyle="1" w:styleId="font11">
    <w:name w:val="font11"/>
    <w:basedOn w:val="a0"/>
    <w:autoRedefine/>
    <w:qFormat/>
    <w:rPr>
      <w:rFonts w:ascii="宋体" w:eastAsia="宋体" w:hAnsi="宋体" w:cs="宋体" w:hint="eastAsia"/>
      <w:b/>
      <w:bCs/>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杨雨桐</cp:lastModifiedBy>
  <cp:revision>25</cp:revision>
  <cp:lastPrinted>2021-09-16T08:26:00Z</cp:lastPrinted>
  <dcterms:created xsi:type="dcterms:W3CDTF">2023-04-10T07:12:00Z</dcterms:created>
  <dcterms:modified xsi:type="dcterms:W3CDTF">2024-04-29T10:30:00Z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1EFB59E6331F4388A5FE381B6DD89852</vt:lpwstr>
  </property>
</Properties>
</file>