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line="240" w:lineRule="atLeast"/>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 xml:space="preserve">证券简称：麒麟信安                        </w:t>
      </w:r>
      <w:r>
        <w:rPr>
          <w:rFonts w:ascii="宋体" w:hAnsi="宋体" w:eastAsia="宋体" w:cs="Times New Roman"/>
          <w:b/>
          <w:bCs/>
          <w:color w:val="000000"/>
          <w:sz w:val="24"/>
          <w:szCs w:val="24"/>
        </w:rPr>
        <w:t xml:space="preserve">      </w:t>
      </w:r>
      <w:r>
        <w:rPr>
          <w:rFonts w:hint="eastAsia" w:ascii="宋体" w:hAnsi="宋体" w:eastAsia="宋体" w:cs="Times New Roman"/>
          <w:b/>
          <w:bCs/>
          <w:color w:val="000000"/>
          <w:sz w:val="24"/>
          <w:szCs w:val="24"/>
        </w:rPr>
        <w:t xml:space="preserve">  </w:t>
      </w:r>
      <w:r>
        <w:rPr>
          <w:rFonts w:ascii="宋体" w:hAnsi="宋体" w:eastAsia="宋体" w:cs="Times New Roman"/>
          <w:b/>
          <w:bCs/>
          <w:color w:val="000000"/>
          <w:sz w:val="24"/>
          <w:szCs w:val="24"/>
        </w:rPr>
        <w:t xml:space="preserve"> </w:t>
      </w:r>
      <w:r>
        <w:rPr>
          <w:rFonts w:hint="eastAsia" w:ascii="宋体" w:hAnsi="宋体" w:eastAsia="宋体" w:cs="Times New Roman"/>
          <w:b/>
          <w:bCs/>
          <w:color w:val="000000"/>
          <w:sz w:val="24"/>
          <w:szCs w:val="24"/>
        </w:rPr>
        <w:t xml:space="preserve"> 证券代码：6</w:t>
      </w:r>
      <w:r>
        <w:rPr>
          <w:rFonts w:ascii="宋体" w:hAnsi="宋体" w:eastAsia="宋体" w:cs="Times New Roman"/>
          <w:b/>
          <w:bCs/>
          <w:color w:val="000000"/>
          <w:sz w:val="24"/>
          <w:szCs w:val="24"/>
        </w:rPr>
        <w:t>88152</w:t>
      </w:r>
    </w:p>
    <w:p>
      <w:pPr>
        <w:snapToGrid w:val="0"/>
        <w:spacing w:before="468" w:beforeLines="150" w:after="156" w:afterLines="50" w:line="240" w:lineRule="atLeast"/>
        <w:ind w:firstLine="602" w:firstLineChars="200"/>
        <w:rPr>
          <w:rFonts w:ascii="宋体" w:hAnsi="宋体" w:eastAsia="宋体" w:cs="Times New Roman"/>
          <w:b/>
          <w:bCs/>
          <w:color w:val="000000"/>
          <w:sz w:val="30"/>
          <w:szCs w:val="30"/>
        </w:rPr>
      </w:pPr>
      <w:r>
        <w:rPr>
          <w:rFonts w:hint="eastAsia" w:ascii="宋体" w:hAnsi="宋体" w:eastAsia="宋体" w:cs="Times New Roman"/>
          <w:b/>
          <w:bCs/>
          <w:color w:val="000000"/>
          <w:sz w:val="30"/>
          <w:szCs w:val="30"/>
        </w:rPr>
        <w:t>湖南麒麟信安科技股份有限公司投资者关系活动记录表</w:t>
      </w:r>
    </w:p>
    <w:p>
      <w:pPr>
        <w:snapToGrid w:val="0"/>
        <w:spacing w:before="156" w:beforeLines="50" w:line="240" w:lineRule="atLeast"/>
        <w:ind w:firstLine="482" w:firstLineChars="200"/>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（2</w:t>
      </w:r>
      <w:r>
        <w:rPr>
          <w:rFonts w:ascii="宋体" w:hAnsi="宋体" w:eastAsia="宋体" w:cs="Times New Roman"/>
          <w:b/>
          <w:bCs/>
          <w:color w:val="000000"/>
          <w:sz w:val="24"/>
          <w:szCs w:val="24"/>
        </w:rPr>
        <w:t>02</w:t>
      </w:r>
      <w:r>
        <w:rPr>
          <w:rFonts w:hint="eastAsia" w:ascii="宋体" w:hAnsi="宋体" w:eastAsia="宋体" w:cs="Times New Roman"/>
          <w:b/>
          <w:bCs/>
          <w:color w:val="000000"/>
          <w:sz w:val="24"/>
          <w:szCs w:val="24"/>
        </w:rPr>
        <w:t>4年4月29日）</w:t>
      </w:r>
    </w:p>
    <w:p>
      <w:pPr>
        <w:snapToGrid w:val="0"/>
        <w:spacing w:before="156" w:beforeLines="50" w:after="156" w:afterLines="50" w:line="240" w:lineRule="atLeast"/>
        <w:ind w:firstLine="420" w:firstLineChars="200"/>
        <w:jc w:val="right"/>
        <w:rPr>
          <w:rFonts w:ascii="宋体" w:hAnsi="宋体" w:eastAsia="宋体" w:cs="Times New Roman"/>
          <w:color w:val="000000"/>
          <w:szCs w:val="21"/>
        </w:rPr>
      </w:pPr>
      <w:r>
        <w:rPr>
          <w:rFonts w:hint="eastAsia" w:ascii="宋体" w:hAnsi="宋体" w:eastAsia="宋体" w:cs="Times New Roman"/>
          <w:color w:val="000000"/>
          <w:szCs w:val="21"/>
        </w:rPr>
        <w:t>编号：2</w:t>
      </w:r>
      <w:r>
        <w:rPr>
          <w:rFonts w:ascii="宋体" w:hAnsi="宋体" w:eastAsia="宋体" w:cs="Times New Roman"/>
          <w:color w:val="000000"/>
          <w:szCs w:val="21"/>
        </w:rPr>
        <w:t>02</w:t>
      </w:r>
      <w:r>
        <w:rPr>
          <w:rFonts w:hint="eastAsia" w:ascii="宋体" w:hAnsi="宋体" w:eastAsia="宋体" w:cs="Times New Roman"/>
          <w:color w:val="000000"/>
          <w:szCs w:val="21"/>
        </w:rPr>
        <w:t>4</w:t>
      </w:r>
      <w:r>
        <w:rPr>
          <w:rFonts w:ascii="宋体" w:hAnsi="宋体" w:eastAsia="宋体" w:cs="Times New Roman"/>
          <w:color w:val="000000"/>
          <w:szCs w:val="21"/>
        </w:rPr>
        <w:t>-0</w:t>
      </w:r>
      <w:r>
        <w:rPr>
          <w:rFonts w:hint="eastAsia" w:ascii="宋体" w:hAnsi="宋体" w:eastAsia="宋体" w:cs="Times New Roman"/>
          <w:color w:val="000000"/>
          <w:szCs w:val="21"/>
        </w:rPr>
        <w:t>02</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snapToGrid w:val="0"/>
              <w:spacing w:before="156" w:beforeLines="50" w:after="156" w:afterLines="50" w:line="240" w:lineRule="atLeast"/>
              <w:jc w:val="center"/>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投资者关系活动类别</w:t>
            </w:r>
          </w:p>
        </w:tc>
        <w:tc>
          <w:tcPr>
            <w:tcW w:w="5952" w:type="dxa"/>
            <w:vAlign w:val="center"/>
          </w:tcPr>
          <w:p>
            <w:pPr>
              <w:snapToGrid w:val="0"/>
              <w:spacing w:before="156" w:beforeLines="50" w:after="156" w:afterLines="50" w:line="240" w:lineRule="atLeast"/>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□特定对象调研          □分析师会议</w:t>
            </w:r>
          </w:p>
          <w:p>
            <w:pPr>
              <w:snapToGrid w:val="0"/>
              <w:spacing w:before="156" w:beforeLines="50" w:after="156" w:afterLines="50" w:line="240" w:lineRule="atLeast"/>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□媒体采访              ☑业绩说明会</w:t>
            </w:r>
          </w:p>
          <w:p>
            <w:pPr>
              <w:snapToGrid w:val="0"/>
              <w:spacing w:before="156" w:beforeLines="50" w:after="156" w:afterLines="50" w:line="240" w:lineRule="atLeast"/>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□新闻发布会            □路演活动</w:t>
            </w:r>
          </w:p>
          <w:p>
            <w:pPr>
              <w:snapToGrid w:val="0"/>
              <w:spacing w:before="156" w:beforeLines="50" w:after="156" w:afterLines="50" w:line="240" w:lineRule="atLeast"/>
              <w:ind w:left="3120" w:hanging="3120" w:hangingChars="13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□现场参观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snapToGrid w:val="0"/>
              <w:spacing w:before="156" w:beforeLines="50" w:after="156" w:afterLines="50" w:line="240" w:lineRule="atLeast"/>
              <w:jc w:val="center"/>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参与单位名称</w:t>
            </w:r>
          </w:p>
        </w:tc>
        <w:tc>
          <w:tcPr>
            <w:tcW w:w="5952" w:type="dxa"/>
            <w:vAlign w:val="center"/>
          </w:tcPr>
          <w:p>
            <w:pPr>
              <w:snapToGrid w:val="0"/>
              <w:spacing w:line="276" w:lineRule="auto"/>
              <w:rPr>
                <w:rFonts w:ascii="宋体" w:hAnsi="宋体" w:eastAsia="宋体" w:cs="Times New Roman"/>
                <w:color w:val="000000"/>
                <w:kern w:val="0"/>
                <w:sz w:val="24"/>
                <w:szCs w:val="24"/>
              </w:rPr>
            </w:pPr>
            <w:r>
              <w:rPr>
                <w:rFonts w:ascii="宋体" w:hAnsi="宋体" w:eastAsia="宋体" w:cs="Times New Roman"/>
                <w:color w:val="000000"/>
                <w:kern w:val="0"/>
                <w:sz w:val="24"/>
                <w:szCs w:val="24"/>
              </w:rPr>
              <w:t xml:space="preserve">中泰证券 </w:t>
            </w:r>
            <w:r>
              <w:rPr>
                <w:rFonts w:hint="eastAsia" w:ascii="宋体" w:hAnsi="宋体" w:eastAsia="宋体" w:cs="Times New Roman"/>
                <w:color w:val="000000"/>
                <w:kern w:val="0"/>
                <w:sz w:val="24"/>
                <w:szCs w:val="24"/>
              </w:rPr>
              <w:t xml:space="preserve"> </w:t>
            </w:r>
            <w:r>
              <w:rPr>
                <w:rFonts w:ascii="宋体" w:hAnsi="宋体" w:eastAsia="宋体" w:cs="Times New Roman"/>
                <w:color w:val="000000"/>
                <w:kern w:val="0"/>
                <w:sz w:val="24"/>
                <w:szCs w:val="24"/>
              </w:rPr>
              <w:t xml:space="preserve">华西证券 </w:t>
            </w:r>
            <w:r>
              <w:rPr>
                <w:rFonts w:hint="eastAsia" w:ascii="宋体" w:hAnsi="宋体" w:eastAsia="宋体" w:cs="Times New Roman"/>
                <w:color w:val="000000"/>
                <w:kern w:val="0"/>
                <w:sz w:val="24"/>
                <w:szCs w:val="24"/>
              </w:rPr>
              <w:t xml:space="preserve"> </w:t>
            </w:r>
            <w:r>
              <w:rPr>
                <w:rFonts w:ascii="宋体" w:hAnsi="宋体" w:eastAsia="宋体" w:cs="Times New Roman"/>
                <w:color w:val="000000"/>
                <w:kern w:val="0"/>
                <w:sz w:val="24"/>
                <w:szCs w:val="24"/>
              </w:rPr>
              <w:t xml:space="preserve">西南证券 德邦证券 </w:t>
            </w:r>
            <w:r>
              <w:rPr>
                <w:rFonts w:hint="eastAsia" w:ascii="宋体" w:hAnsi="宋体" w:eastAsia="宋体" w:cs="Times New Roman"/>
                <w:color w:val="000000"/>
                <w:kern w:val="0"/>
                <w:sz w:val="24"/>
                <w:szCs w:val="24"/>
              </w:rPr>
              <w:t xml:space="preserve"> </w:t>
            </w:r>
            <w:r>
              <w:rPr>
                <w:rFonts w:ascii="宋体" w:hAnsi="宋体" w:eastAsia="宋体" w:cs="Times New Roman"/>
                <w:color w:val="000000"/>
                <w:kern w:val="0"/>
                <w:sz w:val="24"/>
                <w:szCs w:val="24"/>
              </w:rPr>
              <w:t xml:space="preserve">华泰证券 </w:t>
            </w:r>
          </w:p>
          <w:p>
            <w:pPr>
              <w:snapToGrid w:val="0"/>
              <w:spacing w:line="276" w:lineRule="auto"/>
              <w:rPr>
                <w:rFonts w:ascii="宋体" w:hAnsi="宋体" w:eastAsia="宋体" w:cs="Times New Roman"/>
                <w:color w:val="000000"/>
                <w:kern w:val="0"/>
                <w:sz w:val="24"/>
                <w:szCs w:val="24"/>
              </w:rPr>
            </w:pPr>
            <w:r>
              <w:rPr>
                <w:rFonts w:ascii="宋体" w:hAnsi="宋体" w:eastAsia="宋体" w:cs="Times New Roman"/>
                <w:color w:val="000000"/>
                <w:kern w:val="0"/>
                <w:sz w:val="24"/>
                <w:szCs w:val="24"/>
              </w:rPr>
              <w:t>海南博荣 上海睿亿 兴业证券 国海证券 西部证券  华创证券  华安证券等35家机构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405" w:type="dxa"/>
            <w:vAlign w:val="center"/>
          </w:tcPr>
          <w:p>
            <w:pPr>
              <w:snapToGrid w:val="0"/>
              <w:spacing w:before="156" w:beforeLines="50" w:after="156" w:afterLines="50" w:line="240" w:lineRule="atLeast"/>
              <w:jc w:val="center"/>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会议时间</w:t>
            </w:r>
          </w:p>
        </w:tc>
        <w:tc>
          <w:tcPr>
            <w:tcW w:w="5952" w:type="dxa"/>
            <w:vAlign w:val="center"/>
          </w:tcPr>
          <w:p>
            <w:pPr>
              <w:snapToGrid w:val="0"/>
              <w:spacing w:before="156" w:beforeLines="50" w:after="156" w:afterLines="50" w:line="240" w:lineRule="atLeast"/>
              <w:ind w:left="1680" w:hanging="1680" w:hangingChars="7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2024年4月29日 16:00-17:00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2405" w:type="dxa"/>
            <w:vAlign w:val="center"/>
          </w:tcPr>
          <w:p>
            <w:pPr>
              <w:snapToGrid w:val="0"/>
              <w:spacing w:before="156" w:beforeLines="50" w:after="156" w:afterLines="50" w:line="240" w:lineRule="atLeast"/>
              <w:ind w:firstLine="723" w:firstLineChars="3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会议地点</w:t>
            </w:r>
          </w:p>
        </w:tc>
        <w:tc>
          <w:tcPr>
            <w:tcW w:w="5952" w:type="dxa"/>
            <w:vAlign w:val="center"/>
          </w:tcPr>
          <w:p>
            <w:pPr>
              <w:snapToGrid w:val="0"/>
              <w:spacing w:line="276" w:lineRule="auto"/>
              <w:rPr>
                <w:rFonts w:ascii="宋体" w:hAnsi="宋体" w:cs="Times New Roman"/>
                <w:color w:val="000000"/>
                <w:kern w:val="0"/>
                <w:sz w:val="24"/>
                <w:szCs w:val="24"/>
              </w:rPr>
            </w:pPr>
            <w:r>
              <w:rPr>
                <w:rFonts w:hint="eastAsia" w:ascii="宋体" w:hAnsi="宋体" w:eastAsia="宋体" w:cs="Times New Roman"/>
                <w:color w:val="000000"/>
                <w:kern w:val="0"/>
                <w:sz w:val="24"/>
                <w:szCs w:val="24"/>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405" w:type="dxa"/>
            <w:vAlign w:val="center"/>
          </w:tcPr>
          <w:p>
            <w:pPr>
              <w:snapToGrid w:val="0"/>
              <w:spacing w:before="156" w:beforeLines="50" w:after="156" w:afterLines="50" w:line="240" w:lineRule="atLeast"/>
              <w:ind w:firstLine="482" w:firstLineChars="200"/>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公司接待人员</w:t>
            </w:r>
          </w:p>
        </w:tc>
        <w:tc>
          <w:tcPr>
            <w:tcW w:w="5952" w:type="dxa"/>
            <w:vAlign w:val="center"/>
          </w:tcPr>
          <w:p>
            <w:pPr>
              <w:snapToGrid w:val="0"/>
              <w:spacing w:line="276" w:lineRule="auto"/>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rPr>
              <w:t>董事长：杨涛</w:t>
            </w:r>
            <w:r>
              <w:rPr>
                <w:rFonts w:hint="eastAsia" w:ascii="宋体" w:hAnsi="宋体" w:eastAsia="宋体" w:cs="Times New Roman"/>
                <w:color w:val="000000"/>
                <w:kern w:val="0"/>
                <w:sz w:val="24"/>
                <w:szCs w:val="24"/>
                <w:lang w:val="en-US" w:eastAsia="zh-CN"/>
              </w:rPr>
              <w:t>先生</w:t>
            </w:r>
          </w:p>
          <w:p>
            <w:pPr>
              <w:snapToGrid w:val="0"/>
              <w:spacing w:line="276" w:lineRule="auto"/>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rPr>
              <w:t>董事、总经理：刘文清</w:t>
            </w:r>
            <w:r>
              <w:rPr>
                <w:rFonts w:hint="eastAsia" w:ascii="宋体" w:hAnsi="宋体" w:eastAsia="宋体" w:cs="Times New Roman"/>
                <w:color w:val="000000"/>
                <w:kern w:val="0"/>
                <w:sz w:val="24"/>
                <w:szCs w:val="24"/>
                <w:lang w:val="en-US" w:eastAsia="zh-CN"/>
              </w:rPr>
              <w:t>先生</w:t>
            </w:r>
          </w:p>
          <w:p>
            <w:pPr>
              <w:snapToGrid w:val="0"/>
              <w:spacing w:line="276" w:lineRule="auto"/>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rPr>
              <w:t>董事、董事会秘书：杨子嫣</w:t>
            </w:r>
            <w:r>
              <w:rPr>
                <w:rFonts w:hint="eastAsia" w:ascii="宋体" w:hAnsi="宋体" w:eastAsia="宋体" w:cs="Times New Roman"/>
                <w:color w:val="000000"/>
                <w:kern w:val="0"/>
                <w:sz w:val="24"/>
                <w:szCs w:val="24"/>
                <w:lang w:val="en-US" w:eastAsia="zh-CN"/>
              </w:rPr>
              <w:t>女士</w:t>
            </w:r>
          </w:p>
          <w:p>
            <w:pPr>
              <w:snapToGrid w:val="0"/>
              <w:spacing w:line="276" w:lineRule="auto"/>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rPr>
              <w:t>财务总监：苏海军</w:t>
            </w:r>
            <w:r>
              <w:rPr>
                <w:rFonts w:hint="eastAsia" w:ascii="宋体" w:hAnsi="宋体" w:eastAsia="宋体" w:cs="Times New Roman"/>
                <w:color w:val="000000"/>
                <w:kern w:val="0"/>
                <w:sz w:val="24"/>
                <w:szCs w:val="24"/>
                <w:lang w:val="en-US" w:eastAsia="zh-CN"/>
              </w:rPr>
              <w:t>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2405" w:type="dxa"/>
            <w:vAlign w:val="center"/>
          </w:tcPr>
          <w:p>
            <w:pPr>
              <w:snapToGrid w:val="0"/>
              <w:spacing w:before="156" w:beforeLines="50" w:after="156" w:afterLines="50" w:line="240" w:lineRule="atLeast"/>
              <w:jc w:val="center"/>
              <w:rPr>
                <w:rFonts w:ascii="宋体" w:hAnsi="宋体" w:eastAsia="宋体" w:cs="Times New Roman"/>
                <w:b/>
                <w:bCs/>
                <w:color w:val="000000"/>
                <w:kern w:val="0"/>
                <w:sz w:val="24"/>
                <w:szCs w:val="24"/>
              </w:rPr>
            </w:pPr>
          </w:p>
          <w:p>
            <w:pPr>
              <w:snapToGrid w:val="0"/>
              <w:spacing w:before="156" w:beforeLines="50" w:after="156" w:afterLines="50" w:line="240" w:lineRule="atLeast"/>
              <w:jc w:val="center"/>
              <w:rPr>
                <w:rFonts w:ascii="宋体" w:hAnsi="宋体" w:eastAsia="宋体" w:cs="Times New Roman"/>
                <w:b/>
                <w:bCs/>
                <w:color w:val="000000"/>
                <w:kern w:val="0"/>
                <w:sz w:val="24"/>
                <w:szCs w:val="24"/>
              </w:rPr>
            </w:pPr>
          </w:p>
          <w:p>
            <w:pPr>
              <w:snapToGrid w:val="0"/>
              <w:spacing w:before="156" w:beforeLines="50" w:after="156" w:afterLines="50" w:line="240" w:lineRule="atLeast"/>
              <w:jc w:val="center"/>
              <w:rPr>
                <w:rFonts w:ascii="宋体" w:hAnsi="宋体" w:eastAsia="宋体" w:cs="Times New Roman"/>
                <w:b/>
                <w:bCs/>
                <w:color w:val="000000"/>
                <w:kern w:val="0"/>
                <w:sz w:val="24"/>
                <w:szCs w:val="24"/>
              </w:rPr>
            </w:pPr>
          </w:p>
          <w:p>
            <w:pPr>
              <w:snapToGrid w:val="0"/>
              <w:spacing w:before="156" w:beforeLines="50" w:after="156" w:afterLines="50" w:line="240" w:lineRule="atLeast"/>
              <w:jc w:val="center"/>
              <w:rPr>
                <w:rFonts w:ascii="宋体" w:hAnsi="宋体" w:eastAsia="宋体" w:cs="Times New Roman"/>
                <w:b/>
                <w:bCs/>
                <w:color w:val="000000"/>
                <w:kern w:val="0"/>
                <w:sz w:val="24"/>
                <w:szCs w:val="24"/>
              </w:rPr>
            </w:pPr>
          </w:p>
          <w:p>
            <w:pPr>
              <w:snapToGrid w:val="0"/>
              <w:spacing w:before="156" w:beforeLines="50" w:after="156" w:afterLines="50" w:line="240" w:lineRule="atLeast"/>
              <w:jc w:val="center"/>
              <w:rPr>
                <w:rFonts w:ascii="宋体" w:hAnsi="宋体" w:eastAsia="宋体" w:cs="Times New Roman"/>
                <w:b/>
                <w:bCs/>
                <w:color w:val="000000"/>
                <w:kern w:val="0"/>
                <w:sz w:val="24"/>
                <w:szCs w:val="24"/>
              </w:rPr>
            </w:pPr>
          </w:p>
          <w:p>
            <w:pPr>
              <w:snapToGrid w:val="0"/>
              <w:spacing w:before="156" w:beforeLines="50" w:after="156" w:afterLines="50" w:line="240" w:lineRule="atLeast"/>
              <w:jc w:val="center"/>
              <w:rPr>
                <w:rFonts w:ascii="宋体" w:hAnsi="宋体" w:eastAsia="宋体" w:cs="Times New Roman"/>
                <w:b/>
                <w:bCs/>
                <w:color w:val="000000"/>
                <w:kern w:val="0"/>
                <w:sz w:val="24"/>
                <w:szCs w:val="24"/>
              </w:rPr>
            </w:pPr>
          </w:p>
          <w:p>
            <w:pPr>
              <w:snapToGrid w:val="0"/>
              <w:spacing w:before="156" w:beforeLines="50" w:after="156" w:afterLines="50" w:line="240" w:lineRule="atLeast"/>
              <w:rPr>
                <w:rFonts w:ascii="宋体" w:hAnsi="宋体" w:eastAsia="宋体" w:cs="Times New Roman"/>
                <w:b/>
                <w:bCs/>
                <w:color w:val="000000"/>
                <w:kern w:val="0"/>
                <w:sz w:val="24"/>
                <w:szCs w:val="24"/>
              </w:rPr>
            </w:pPr>
          </w:p>
          <w:p>
            <w:pPr>
              <w:snapToGrid w:val="0"/>
              <w:spacing w:before="156" w:beforeLines="50" w:after="156" w:afterLines="50" w:line="240" w:lineRule="atLeast"/>
              <w:jc w:val="center"/>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投资者关系</w:t>
            </w:r>
          </w:p>
          <w:p>
            <w:pPr>
              <w:snapToGrid w:val="0"/>
              <w:spacing w:before="156" w:beforeLines="50" w:after="156" w:afterLines="50" w:line="240" w:lineRule="atLeast"/>
              <w:jc w:val="center"/>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活动主要内容介绍</w:t>
            </w:r>
          </w:p>
        </w:tc>
        <w:tc>
          <w:tcPr>
            <w:tcW w:w="5952" w:type="dxa"/>
            <w:vAlign w:val="center"/>
          </w:tcPr>
          <w:p>
            <w:pPr>
              <w:spacing w:before="156" w:beforeLines="50" w:after="156" w:afterLines="50"/>
              <w:rPr>
                <w:rFonts w:ascii="宋体" w:hAnsi="宋体" w:eastAsia="宋体" w:cs="Times New Roman"/>
                <w:b/>
                <w:bCs/>
                <w:kern w:val="0"/>
                <w:sz w:val="24"/>
                <w:szCs w:val="24"/>
              </w:rPr>
            </w:pPr>
            <w:r>
              <w:rPr>
                <w:rFonts w:hint="eastAsia" w:ascii="宋体" w:hAnsi="宋体" w:eastAsia="宋体" w:cs="Times New Roman"/>
                <w:b/>
                <w:bCs/>
                <w:kern w:val="0"/>
                <w:sz w:val="24"/>
                <w:szCs w:val="24"/>
              </w:rPr>
              <w:t>一、公司2023年年度暨2024年第一季度经营情况介绍</w:t>
            </w:r>
          </w:p>
          <w:p>
            <w:pPr>
              <w:spacing w:before="156" w:beforeLines="50" w:after="156" w:afterLines="50"/>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2023年对公司来说是充满机遇和挑战的一年。2023年度公司实现营业收入1.63亿元，同比下降59.18%；</w:t>
            </w:r>
            <w:r>
              <w:rPr>
                <w:rFonts w:hint="eastAsia" w:ascii="宋体" w:hAnsi="宋体" w:eastAsia="宋体" w:cs="Times New Roman"/>
                <w:kern w:val="0"/>
                <w:sz w:val="24"/>
                <w:szCs w:val="24"/>
                <w:lang w:val="en-US" w:eastAsia="zh-CN"/>
              </w:rPr>
              <w:t>主营业务</w:t>
            </w:r>
            <w:r>
              <w:rPr>
                <w:rFonts w:hint="eastAsia" w:ascii="宋体" w:hAnsi="宋体" w:eastAsia="宋体" w:cs="Times New Roman"/>
                <w:kern w:val="0"/>
                <w:sz w:val="24"/>
                <w:szCs w:val="24"/>
              </w:rPr>
              <w:t>毛利率68.42%，相比去年基本保持持平；净利润出现亏损，同比下降123.37%。2023年度公司经营情况同比去年出现了比较大的下滑，主要原因是受到国防行业客户信息化建设采购进度及部分项目的交付、验收进度放缓影响，公司国防行业收入和信息安全产品收入大幅下滑；同时基于对行业和公司未来发展的信心，公司持续加大了对研发和营销网络布局的投入，公司研发费用和销售费用均有所增加。</w:t>
            </w:r>
          </w:p>
          <w:p>
            <w:pPr>
              <w:spacing w:before="156" w:beforeLines="50" w:after="156" w:afterLines="50"/>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2023年，受宏观经济、行业政策等因素影响，公司部分下游行业项目采购和验收节奏较预期有所放缓，公司经营业绩短期内受到一定影响。但从中长期来看，行业信创市场需求未发生变化，国产基础软件市场渗透率仍较低。2024年，公司将继续秉承初心，做好产品，做好服务，为客户创造价值。坚持深耕关键行业客户需求，不断推动产品与技术创新，加快覆盖更多的业务应用场景。同时，继续紧抓行业信创发展和数字化转型的市场机遇，加强营销网络布局和渠道体系建设。专注于致力成为国家关键基础设施领域操作系统、云计算和信息安全等关键产品的领先提供商。</w:t>
            </w:r>
          </w:p>
          <w:p>
            <w:pPr>
              <w:spacing w:before="156" w:beforeLines="50" w:after="156" w:afterLines="50"/>
              <w:rPr>
                <w:rFonts w:ascii="宋体" w:hAnsi="宋体" w:eastAsia="宋体" w:cs="Times New Roman"/>
                <w:b/>
                <w:bCs/>
                <w:kern w:val="0"/>
                <w:sz w:val="24"/>
                <w:szCs w:val="24"/>
              </w:rPr>
            </w:pPr>
            <w:r>
              <w:rPr>
                <w:rFonts w:hint="eastAsia" w:ascii="宋体" w:hAnsi="宋体" w:eastAsia="宋体" w:cs="Times New Roman"/>
                <w:b/>
                <w:bCs/>
                <w:kern w:val="0"/>
                <w:sz w:val="24"/>
                <w:szCs w:val="24"/>
              </w:rPr>
              <w:t>二、互动问答</w:t>
            </w:r>
          </w:p>
          <w:p>
            <w:pPr>
              <w:widowControl/>
              <w:spacing w:before="156" w:beforeLines="50" w:after="156" w:afterLines="50"/>
              <w:ind w:firstLine="482" w:firstLineChars="200"/>
              <w:rPr>
                <w:rFonts w:ascii="宋体" w:hAnsi="宋体" w:eastAsia="宋体" w:cs="Times New Roman"/>
                <w:b/>
                <w:bCs/>
                <w:kern w:val="0"/>
                <w:sz w:val="24"/>
                <w:szCs w:val="24"/>
              </w:rPr>
            </w:pPr>
            <w:r>
              <w:rPr>
                <w:rFonts w:hint="eastAsia" w:ascii="宋体" w:hAnsi="宋体" w:eastAsia="宋体" w:cs="Times New Roman"/>
                <w:b/>
                <w:bCs/>
                <w:kern w:val="0"/>
                <w:sz w:val="24"/>
                <w:szCs w:val="24"/>
              </w:rPr>
              <w:t>Q：2023年公司在电力</w:t>
            </w:r>
            <w:r>
              <w:rPr>
                <w:rFonts w:ascii="宋体" w:hAnsi="宋体" w:eastAsia="宋体" w:cs="Times New Roman"/>
                <w:b/>
                <w:bCs/>
                <w:kern w:val="0"/>
                <w:sz w:val="24"/>
                <w:szCs w:val="24"/>
              </w:rPr>
              <w:t>行业的业务拓展情况如何？</w:t>
            </w:r>
            <w:r>
              <w:rPr>
                <w:rFonts w:hint="eastAsia" w:ascii="宋体" w:hAnsi="宋体" w:eastAsia="宋体" w:cs="Times New Roman"/>
                <w:b/>
                <w:bCs/>
                <w:kern w:val="0"/>
                <w:sz w:val="24"/>
                <w:szCs w:val="24"/>
              </w:rPr>
              <w:t>如何展望后续公司在电力行业的发展</w:t>
            </w:r>
            <w:r>
              <w:rPr>
                <w:rFonts w:ascii="宋体" w:hAnsi="宋体" w:eastAsia="宋体" w:cs="Times New Roman"/>
                <w:b/>
                <w:bCs/>
                <w:kern w:val="0"/>
                <w:sz w:val="24"/>
                <w:szCs w:val="24"/>
              </w:rPr>
              <w:t>？</w:t>
            </w:r>
          </w:p>
          <w:p>
            <w:pPr>
              <w:spacing w:before="156" w:beforeLines="50" w:after="156" w:afterLines="50"/>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A</w:t>
            </w:r>
            <w:r>
              <w:rPr>
                <w:rFonts w:ascii="宋体" w:hAnsi="宋体" w:eastAsia="宋体" w:cs="Times New Roman"/>
                <w:kern w:val="0"/>
                <w:sz w:val="24"/>
                <w:szCs w:val="24"/>
              </w:rPr>
              <w:t>：2023年</w:t>
            </w:r>
            <w:r>
              <w:rPr>
                <w:rFonts w:hint="eastAsia" w:ascii="宋体" w:hAnsi="宋体" w:eastAsia="宋体" w:cs="Times New Roman"/>
                <w:kern w:val="0"/>
                <w:sz w:val="24"/>
                <w:szCs w:val="24"/>
              </w:rPr>
              <w:t>公司在</w:t>
            </w:r>
            <w:r>
              <w:rPr>
                <w:rFonts w:ascii="宋体" w:hAnsi="宋体" w:eastAsia="宋体" w:cs="Times New Roman"/>
                <w:kern w:val="0"/>
                <w:sz w:val="24"/>
                <w:szCs w:val="24"/>
              </w:rPr>
              <w:t>电力行业收入实现稳定增长，较上年同期增长16.30%。</w:t>
            </w:r>
            <w:r>
              <w:rPr>
                <w:rFonts w:hint="eastAsia" w:ascii="宋体" w:hAnsi="宋体" w:eastAsia="宋体" w:cs="Times New Roman"/>
                <w:kern w:val="0"/>
                <w:sz w:val="24"/>
                <w:szCs w:val="24"/>
              </w:rPr>
              <w:t>2023年，公司在电力行业</w:t>
            </w:r>
            <w:r>
              <w:rPr>
                <w:rFonts w:ascii="宋体" w:hAnsi="宋体" w:eastAsia="宋体" w:cs="Times New Roman"/>
                <w:kern w:val="0"/>
                <w:sz w:val="24"/>
                <w:szCs w:val="24"/>
              </w:rPr>
              <w:t>新增两个业务板块，一个是电网信通</w:t>
            </w:r>
            <w:bookmarkStart w:id="0" w:name="_GoBack"/>
            <w:bookmarkEnd w:id="0"/>
            <w:r>
              <w:rPr>
                <w:rFonts w:ascii="宋体" w:hAnsi="宋体" w:eastAsia="宋体" w:cs="Times New Roman"/>
                <w:kern w:val="0"/>
                <w:sz w:val="24"/>
                <w:szCs w:val="24"/>
              </w:rPr>
              <w:t>领域，一个是电力厂站端。在信通领域，公司操作系统产品已成功入围国网数字化部操作系统供应商名单。此外，面向电网调度控制领域应用，</w:t>
            </w:r>
            <w:r>
              <w:rPr>
                <w:rFonts w:hint="eastAsia" w:ascii="宋体" w:hAnsi="宋体" w:eastAsia="宋体" w:cs="Times New Roman"/>
                <w:kern w:val="0"/>
                <w:sz w:val="24"/>
                <w:szCs w:val="24"/>
              </w:rPr>
              <w:t>公司已实现</w:t>
            </w:r>
            <w:r>
              <w:rPr>
                <w:rFonts w:ascii="宋体" w:hAnsi="宋体" w:eastAsia="宋体" w:cs="Times New Roman"/>
                <w:kern w:val="0"/>
                <w:sz w:val="24"/>
                <w:szCs w:val="24"/>
              </w:rPr>
              <w:t>从主站端向厂站端拓展，与电力行业的重要平台厂商实现了业务合作，这将对</w:t>
            </w:r>
            <w:r>
              <w:rPr>
                <w:rFonts w:hint="eastAsia" w:ascii="宋体" w:hAnsi="宋体" w:eastAsia="宋体" w:cs="Times New Roman"/>
                <w:kern w:val="0"/>
                <w:sz w:val="24"/>
                <w:szCs w:val="24"/>
              </w:rPr>
              <w:t>公司</w:t>
            </w:r>
            <w:r>
              <w:rPr>
                <w:rFonts w:ascii="宋体" w:hAnsi="宋体" w:eastAsia="宋体" w:cs="Times New Roman"/>
                <w:kern w:val="0"/>
                <w:sz w:val="24"/>
                <w:szCs w:val="24"/>
              </w:rPr>
              <w:t xml:space="preserve">后续操作系统产品的销售起到非常好的支撑。 </w:t>
            </w:r>
          </w:p>
          <w:p>
            <w:pPr>
              <w:spacing w:before="156" w:beforeLines="50" w:after="156" w:afterLines="50"/>
              <w:ind w:firstLine="480" w:firstLineChars="200"/>
              <w:rPr>
                <w:rFonts w:ascii="宋体" w:hAnsi="宋体" w:eastAsia="宋体" w:cs="Times New Roman"/>
                <w:kern w:val="0"/>
                <w:sz w:val="24"/>
                <w:szCs w:val="24"/>
              </w:rPr>
            </w:pPr>
            <w:r>
              <w:rPr>
                <w:rFonts w:ascii="宋体" w:hAnsi="宋体" w:eastAsia="宋体" w:cs="Times New Roman"/>
                <w:kern w:val="0"/>
                <w:sz w:val="24"/>
                <w:szCs w:val="24"/>
              </w:rPr>
              <w:t>另外，公司积极布局电网新一代系统，公司操作系统已入围新一代的调度、配电、变电系统建设。同时，公司在既有风电领域业务基础上，突破了储能、水电、光伏等新能源领域的试点应用</w:t>
            </w:r>
            <w:r>
              <w:rPr>
                <w:rFonts w:hint="eastAsia" w:ascii="宋体" w:hAnsi="宋体" w:eastAsia="宋体" w:cs="Times New Roman"/>
                <w:kern w:val="0"/>
                <w:sz w:val="24"/>
                <w:szCs w:val="24"/>
              </w:rPr>
              <w:t>。</w:t>
            </w:r>
            <w:r>
              <w:rPr>
                <w:rFonts w:ascii="宋体" w:hAnsi="宋体" w:eastAsia="宋体" w:cs="Times New Roman"/>
                <w:kern w:val="0"/>
                <w:sz w:val="24"/>
                <w:szCs w:val="24"/>
              </w:rPr>
              <w:t>公司商用密码产品也完成在电网的相关试点工作。后续，我们将会持续深耕电力行业，不断拓展新的应用领域，不断挖掘客户需求，导入新的产品。</w:t>
            </w:r>
          </w:p>
          <w:p>
            <w:pPr>
              <w:spacing w:before="156" w:beforeLines="50" w:after="156" w:afterLines="50"/>
              <w:ind w:firstLine="480" w:firstLineChars="200"/>
              <w:rPr>
                <w:rFonts w:ascii="宋体" w:hAnsi="宋体" w:eastAsia="宋体" w:cs="Times New Roman"/>
                <w:kern w:val="0"/>
                <w:sz w:val="24"/>
                <w:szCs w:val="24"/>
              </w:rPr>
            </w:pPr>
          </w:p>
          <w:p>
            <w:pPr>
              <w:spacing w:before="156" w:beforeLines="50" w:after="156" w:afterLines="50"/>
              <w:ind w:firstLine="482" w:firstLineChars="200"/>
              <w:rPr>
                <w:rFonts w:ascii="宋体" w:hAnsi="宋体" w:eastAsia="宋体" w:cs="Times New Roman"/>
                <w:b/>
                <w:bCs/>
                <w:kern w:val="0"/>
                <w:sz w:val="24"/>
                <w:szCs w:val="24"/>
              </w:rPr>
            </w:pPr>
            <w:r>
              <w:rPr>
                <w:rFonts w:hint="eastAsia" w:ascii="宋体" w:hAnsi="宋体" w:eastAsia="宋体" w:cs="Times New Roman"/>
                <w:b/>
                <w:bCs/>
                <w:kern w:val="0"/>
                <w:sz w:val="24"/>
                <w:szCs w:val="24"/>
              </w:rPr>
              <w:t xml:space="preserve">Q：信息安全业务去年收入下滑幅度比较大，2024年怎么去展望这块业务？ </w:t>
            </w:r>
          </w:p>
          <w:p>
            <w:pPr>
              <w:spacing w:before="156" w:beforeLines="50" w:after="156" w:afterLines="50"/>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A：公司信息安全产品以数据安全存储为主，创新发展网络安全和终端安全产品线。公司数据安全存储产品主要有两种形态，一是为国防、党政等关键领域数据安全专用设备做配套安全平台；二是商用密码产品。2</w:t>
            </w:r>
            <w:r>
              <w:rPr>
                <w:rFonts w:ascii="宋体" w:hAnsi="宋体" w:eastAsia="宋体" w:cs="Times New Roman"/>
                <w:kern w:val="0"/>
                <w:sz w:val="24"/>
                <w:szCs w:val="24"/>
              </w:rPr>
              <w:t>023</w:t>
            </w:r>
            <w:r>
              <w:rPr>
                <w:rFonts w:hint="eastAsia" w:ascii="宋体" w:hAnsi="宋体" w:eastAsia="宋体" w:cs="Times New Roman"/>
                <w:kern w:val="0"/>
                <w:sz w:val="24"/>
                <w:szCs w:val="24"/>
              </w:rPr>
              <w:t>年收入下滑主要系受到国防行业客户信息化建设采购进度及部分项目的交付、验收进度放缓影响，但用户端对数据安全存储的需求在，我们产品技术的先进性在，这块业务的影响只是阶段性的。</w:t>
            </w:r>
          </w:p>
          <w:p>
            <w:pPr>
              <w:spacing w:before="156" w:beforeLines="50" w:after="156" w:afterLines="50"/>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同时，公司数据安全存储产品在党政、电力等民口领域的应用已迈入实质性的试点或小批量阶段，这为公司信息安全业务开辟了一块新的增长点。国家能源局于2022年底颁布了《电力行业网络安全等级保护管理办法》等相关规定，要求电力企业按照有关法律法规开展商用密码应用安全性评估工作，运用密码技术进行网络安全等级保护建设与整改时，应当采用商用密码检测、认证机构检测认证合格的商用密码产品和服务。公司的商用密码产品存储加密系统已在电网多个省份进行试点。</w:t>
            </w:r>
          </w:p>
          <w:p>
            <w:pPr>
              <w:spacing w:before="156" w:beforeLines="50" w:after="156" w:afterLines="50"/>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公司数据安全存储产品是将操作系统技术与密码服务技术、存取控制技术有机融合，在透明接入、加脱密性能高速，以及适应数据中心/云平台等复杂场景等方面具有业内领先性。此外，公司研制的终端安全管理软件为国产终端安全软件提供了统一集成管理解决方案，2</w:t>
            </w:r>
            <w:r>
              <w:rPr>
                <w:rFonts w:ascii="宋体" w:hAnsi="宋体" w:eastAsia="宋体" w:cs="Times New Roman"/>
                <w:kern w:val="0"/>
                <w:sz w:val="24"/>
                <w:szCs w:val="24"/>
              </w:rPr>
              <w:t>023</w:t>
            </w:r>
            <w:r>
              <w:rPr>
                <w:rFonts w:hint="eastAsia" w:ascii="宋体" w:hAnsi="宋体" w:eastAsia="宋体" w:cs="Times New Roman"/>
                <w:kern w:val="0"/>
                <w:sz w:val="24"/>
                <w:szCs w:val="24"/>
              </w:rPr>
              <w:t>年也已成功应用于多家用户单位并实现营收。</w:t>
            </w:r>
          </w:p>
          <w:p>
            <w:pPr>
              <w:spacing w:before="156" w:beforeLines="50" w:after="156" w:afterLines="50"/>
              <w:ind w:firstLine="480" w:firstLineChars="200"/>
              <w:rPr>
                <w:rFonts w:hint="eastAsia" w:ascii="宋体" w:hAnsi="宋体" w:eastAsia="宋体" w:cs="Times New Roman"/>
                <w:kern w:val="0"/>
                <w:sz w:val="24"/>
                <w:szCs w:val="24"/>
              </w:rPr>
            </w:pPr>
            <w:r>
              <w:rPr>
                <w:rFonts w:hint="eastAsia" w:ascii="宋体" w:hAnsi="宋体" w:eastAsia="宋体" w:cs="Times New Roman"/>
                <w:kern w:val="0"/>
                <w:sz w:val="24"/>
                <w:szCs w:val="24"/>
              </w:rPr>
              <w:t>综上，公司在信息安全业务板块做好了充分储备，随着行业的发展节奏，我们对这块业务的发展还是有信心的。</w:t>
            </w:r>
          </w:p>
          <w:p>
            <w:pPr>
              <w:spacing w:before="156" w:beforeLines="50" w:after="156" w:afterLines="50"/>
              <w:ind w:firstLine="480" w:firstLineChars="200"/>
              <w:rPr>
                <w:rFonts w:hint="eastAsia" w:ascii="宋体" w:hAnsi="宋体" w:eastAsia="宋体" w:cs="Times New Roman"/>
                <w:kern w:val="0"/>
                <w:sz w:val="24"/>
                <w:szCs w:val="24"/>
              </w:rPr>
            </w:pPr>
          </w:p>
          <w:p>
            <w:pPr>
              <w:spacing w:before="156" w:beforeLines="50" w:after="156" w:afterLines="50"/>
              <w:ind w:firstLine="482" w:firstLineChars="200"/>
              <w:rPr>
                <w:rFonts w:ascii="宋体" w:hAnsi="宋体" w:eastAsia="宋体" w:cs="Times New Roman"/>
                <w:b/>
                <w:bCs/>
                <w:kern w:val="0"/>
                <w:sz w:val="24"/>
                <w:szCs w:val="24"/>
              </w:rPr>
            </w:pPr>
            <w:r>
              <w:rPr>
                <w:rFonts w:hint="eastAsia" w:ascii="宋体" w:hAnsi="宋体" w:eastAsia="宋体" w:cs="Times New Roman"/>
                <w:b/>
                <w:bCs/>
                <w:kern w:val="0"/>
                <w:sz w:val="24"/>
                <w:szCs w:val="24"/>
              </w:rPr>
              <w:t>Q：公司军采网暂停事项进展如何？</w:t>
            </w:r>
          </w:p>
          <w:p>
            <w:pPr>
              <w:pStyle w:val="14"/>
              <w:numPr>
                <w:ilvl w:val="255"/>
                <w:numId w:val="0"/>
              </w:numPr>
              <w:spacing w:before="157" w:after="157"/>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A</w:t>
            </w:r>
            <w:r>
              <w:rPr>
                <w:rFonts w:ascii="宋体" w:hAnsi="宋体" w:eastAsia="宋体" w:cs="Times New Roman"/>
                <w:kern w:val="0"/>
                <w:sz w:val="24"/>
                <w:szCs w:val="24"/>
              </w:rPr>
              <w:t>：</w:t>
            </w:r>
            <w:r>
              <w:rPr>
                <w:rFonts w:hint="eastAsia" w:ascii="宋体" w:hAnsi="宋体" w:eastAsia="宋体" w:cs="Times New Roman"/>
                <w:kern w:val="0"/>
                <w:sz w:val="24"/>
                <w:szCs w:val="24"/>
              </w:rPr>
              <w:t>目前公司正在按照规定流程积极沟通，推动尽快恢复，最终结果以军采网公示情况为准。后续公司将会按照相关法律法规，根据该事项的进展情况及时履行信息披露义务。</w:t>
            </w:r>
          </w:p>
          <w:p>
            <w:pPr>
              <w:pStyle w:val="14"/>
              <w:numPr>
                <w:ilvl w:val="255"/>
                <w:numId w:val="0"/>
              </w:numPr>
              <w:spacing w:before="157" w:after="157"/>
              <w:ind w:firstLine="480" w:firstLineChars="200"/>
              <w:rPr>
                <w:rFonts w:hint="eastAsia" w:ascii="宋体" w:hAnsi="宋体" w:eastAsia="宋体" w:cs="Times New Roman"/>
                <w:kern w:val="0"/>
                <w:sz w:val="24"/>
                <w:szCs w:val="24"/>
              </w:rPr>
            </w:pPr>
            <w:r>
              <w:rPr>
                <w:rFonts w:hint="eastAsia" w:ascii="宋体" w:hAnsi="宋体" w:eastAsia="宋体" w:cs="Times New Roman"/>
                <w:kern w:val="0"/>
                <w:sz w:val="24"/>
                <w:szCs w:val="24"/>
              </w:rPr>
              <w:t>目前公司整体经营情况正常，公司在暂停日前已签订的相关合同仍可以正常执行。暂停期间，公司产品仍可供应给军工集团、渠道及行业客户。</w:t>
            </w:r>
          </w:p>
          <w:p>
            <w:pPr>
              <w:pStyle w:val="14"/>
              <w:numPr>
                <w:ilvl w:val="255"/>
                <w:numId w:val="0"/>
              </w:numPr>
              <w:spacing w:before="157" w:after="157"/>
              <w:ind w:firstLine="480" w:firstLineChars="200"/>
              <w:rPr>
                <w:rFonts w:hint="eastAsia" w:ascii="宋体" w:hAnsi="宋体" w:eastAsia="宋体" w:cs="Times New Roman"/>
                <w:kern w:val="0"/>
                <w:sz w:val="24"/>
                <w:szCs w:val="24"/>
              </w:rPr>
            </w:pPr>
          </w:p>
          <w:p>
            <w:pPr>
              <w:pStyle w:val="14"/>
              <w:numPr>
                <w:ilvl w:val="255"/>
                <w:numId w:val="0"/>
              </w:numPr>
              <w:spacing w:before="157" w:after="157"/>
              <w:ind w:firstLine="482" w:firstLineChars="200"/>
              <w:rPr>
                <w:rFonts w:ascii="宋体" w:hAnsi="宋体" w:eastAsia="宋体" w:cs="Times New Roman"/>
                <w:b/>
                <w:bCs/>
                <w:kern w:val="0"/>
                <w:sz w:val="24"/>
                <w:szCs w:val="24"/>
              </w:rPr>
            </w:pPr>
            <w:r>
              <w:rPr>
                <w:rFonts w:hint="eastAsia" w:ascii="宋体" w:hAnsi="宋体" w:eastAsia="宋体" w:cs="Times New Roman"/>
                <w:b/>
                <w:bCs/>
                <w:kern w:val="0"/>
                <w:sz w:val="24"/>
                <w:szCs w:val="24"/>
              </w:rPr>
              <w:t>Q：请问公司什么时候推出新一轮股权激励计划？</w:t>
            </w:r>
          </w:p>
          <w:p>
            <w:pPr>
              <w:pStyle w:val="14"/>
              <w:numPr>
                <w:ilvl w:val="255"/>
                <w:numId w:val="0"/>
              </w:numPr>
              <w:spacing w:before="157" w:after="157"/>
              <w:ind w:firstLine="480" w:firstLineChars="200"/>
              <w:rPr>
                <w:rFonts w:hint="eastAsia" w:ascii="宋体" w:hAnsi="宋体" w:eastAsia="宋体" w:cs="Times New Roman"/>
                <w:kern w:val="0"/>
                <w:sz w:val="24"/>
                <w:szCs w:val="24"/>
              </w:rPr>
            </w:pPr>
            <w:r>
              <w:rPr>
                <w:rFonts w:hint="eastAsia" w:ascii="宋体" w:hAnsi="宋体" w:eastAsia="宋体" w:cs="Times New Roman"/>
                <w:kern w:val="0"/>
                <w:sz w:val="24"/>
                <w:szCs w:val="24"/>
              </w:rPr>
              <w:t>A：根据相关规定，自终止限制性股票激励计划的董事会决议公告之日起3个月内，上市公司不得再审议股权激励计划。为此，公司将根据相关法律法规规定，在充分考虑市场环境并结合公司实际情况的前提下，研究并择机推出更加切实有效的激励方式，健全长效激励机制，促进公司健康、持续发展，实现股东、员工与公司多方共赢。未来，将结合实际情况，在合适的时机也会持续考虑新一轮的股权激励计划，具体请以公司公告为准。</w:t>
            </w:r>
          </w:p>
          <w:p>
            <w:pPr>
              <w:pStyle w:val="14"/>
              <w:numPr>
                <w:ilvl w:val="255"/>
                <w:numId w:val="0"/>
              </w:numPr>
              <w:spacing w:before="157" w:after="157"/>
              <w:ind w:firstLine="480" w:firstLineChars="200"/>
              <w:rPr>
                <w:rFonts w:hint="eastAsia" w:ascii="宋体" w:hAnsi="宋体" w:eastAsia="宋体" w:cs="Times New Roman"/>
                <w:kern w:val="0"/>
                <w:sz w:val="24"/>
                <w:szCs w:val="24"/>
              </w:rPr>
            </w:pPr>
          </w:p>
          <w:p>
            <w:pPr>
              <w:pStyle w:val="14"/>
              <w:numPr>
                <w:ilvl w:val="255"/>
                <w:numId w:val="0"/>
              </w:numPr>
              <w:spacing w:before="157" w:after="157"/>
              <w:ind w:firstLine="482" w:firstLineChars="200"/>
              <w:rPr>
                <w:rFonts w:ascii="宋体" w:hAnsi="宋体" w:eastAsia="宋体" w:cs="Times New Roman"/>
                <w:b/>
                <w:bCs/>
                <w:kern w:val="0"/>
                <w:sz w:val="24"/>
                <w:szCs w:val="24"/>
              </w:rPr>
            </w:pPr>
            <w:r>
              <w:rPr>
                <w:rFonts w:hint="eastAsia" w:ascii="宋体" w:hAnsi="宋体" w:eastAsia="宋体" w:cs="Times New Roman"/>
                <w:b/>
                <w:bCs/>
                <w:kern w:val="0"/>
                <w:sz w:val="24"/>
                <w:szCs w:val="24"/>
              </w:rPr>
              <w:t>Q：据了解公司2023年员工人数增长较多，其中研发费用增加较快，请问公司2024年人员规划如何？是否会加强费控管理？</w:t>
            </w:r>
          </w:p>
          <w:p>
            <w:pPr>
              <w:widowControl/>
              <w:ind w:firstLine="480" w:firstLineChars="200"/>
              <w:jc w:val="left"/>
              <w:rPr>
                <w:rFonts w:hint="eastAsia" w:ascii="宋体" w:hAnsi="宋体" w:eastAsia="宋体" w:cs="Times New Roman"/>
                <w:kern w:val="0"/>
                <w:sz w:val="24"/>
                <w:szCs w:val="24"/>
              </w:rPr>
            </w:pPr>
            <w:r>
              <w:rPr>
                <w:rFonts w:hint="eastAsia" w:ascii="宋体" w:hAnsi="宋体" w:eastAsia="宋体" w:cs="Times New Roman"/>
                <w:kern w:val="0"/>
                <w:sz w:val="24"/>
                <w:szCs w:val="24"/>
              </w:rPr>
              <w:t>A：目前公司仍处于快速发展的阶段，后续公司将持续加大对研发及市场拓展的投入。随着未来业务规模的逐步扩大，公司结合营销网络布局、产品创新升级方面的强烈需求引入了销售和研发技术方面的人才，2023年底公司员工规模达到680人。2024年公司将根据经营需求和市场环境，合理做出人员规划，对人员整体配置进行合理调整、优化，以保障业务的顺利开展。同时公司也会进一步加强运营管理，提质增效，做好预算和费控工作，优化公司运营效率。</w:t>
            </w:r>
          </w:p>
          <w:p>
            <w:pPr>
              <w:widowControl/>
              <w:ind w:firstLine="480" w:firstLineChars="200"/>
              <w:jc w:val="left"/>
              <w:rPr>
                <w:rFonts w:hint="eastAsia" w:ascii="宋体" w:hAnsi="宋体" w:eastAsia="宋体" w:cs="Times New Roman"/>
                <w:kern w:val="0"/>
                <w:sz w:val="24"/>
                <w:szCs w:val="24"/>
              </w:rPr>
            </w:pPr>
          </w:p>
          <w:p>
            <w:pPr>
              <w:pStyle w:val="14"/>
              <w:numPr>
                <w:ilvl w:val="255"/>
                <w:numId w:val="0"/>
              </w:numPr>
              <w:spacing w:before="157" w:after="157"/>
              <w:ind w:firstLine="482" w:firstLineChars="200"/>
              <w:rPr>
                <w:rFonts w:ascii="宋体" w:hAnsi="宋体" w:eastAsia="宋体" w:cs="Times New Roman"/>
                <w:b/>
                <w:bCs/>
                <w:kern w:val="0"/>
                <w:sz w:val="24"/>
                <w:szCs w:val="24"/>
              </w:rPr>
            </w:pPr>
            <w:r>
              <w:rPr>
                <w:rFonts w:hint="eastAsia" w:ascii="宋体" w:hAnsi="宋体" w:eastAsia="宋体" w:cs="Times New Roman"/>
                <w:b/>
                <w:bCs/>
                <w:kern w:val="0"/>
                <w:sz w:val="24"/>
                <w:szCs w:val="24"/>
              </w:rPr>
              <w:t>Q：关注到公司2023年年度不进行利润分配，请问是基于什么考虑，是否符合相关监管规定？</w:t>
            </w:r>
          </w:p>
          <w:p>
            <w:pPr>
              <w:pStyle w:val="14"/>
              <w:numPr>
                <w:ilvl w:val="255"/>
                <w:numId w:val="0"/>
              </w:numPr>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 xml:space="preserve">A：公司2023年度不进行利润分配，是充分考虑现阶段行业发展情况、公司经营业绩、未来主营业务发展规划及资金投入需要等多方面因素综合考虑。由于公司2023年度实现的归属于母公司股东的净利润及经营活动产生的现金流量净额均为负，同时考虑公司目前经营发展的实际情况及未来资金需求，为提高公司长远发展能力和盈利能力，公司拟定2023年度不进行利润分配。 </w:t>
            </w:r>
          </w:p>
          <w:p>
            <w:pPr>
              <w:pStyle w:val="14"/>
              <w:numPr>
                <w:ilvl w:val="255"/>
                <w:numId w:val="0"/>
              </w:numPr>
              <w:ind w:firstLine="480" w:firstLineChars="200"/>
              <w:rPr>
                <w:rFonts w:hint="eastAsia" w:ascii="宋体" w:hAnsi="宋体" w:eastAsia="宋体" w:cs="Times New Roman"/>
                <w:kern w:val="0"/>
                <w:sz w:val="24"/>
                <w:szCs w:val="24"/>
              </w:rPr>
            </w:pPr>
            <w:r>
              <w:rPr>
                <w:rFonts w:hint="eastAsia" w:ascii="宋体" w:hAnsi="宋体" w:eastAsia="宋体" w:cs="Times New Roman"/>
                <w:kern w:val="0"/>
                <w:sz w:val="24"/>
                <w:szCs w:val="24"/>
              </w:rPr>
              <w:t>公司将按照相关法律法规和《公司章程》等规定的要求，并结合公司所处发展阶段、经营情况、现金流等各种因素，从有利于公司长远发展和更好地维护全体股东长远利益角度出发，积极履行公司的利润分配政策，更好地维护全体股东的长远利益。</w:t>
            </w:r>
          </w:p>
          <w:p>
            <w:pPr>
              <w:pStyle w:val="14"/>
              <w:numPr>
                <w:ilvl w:val="255"/>
                <w:numId w:val="0"/>
              </w:numPr>
              <w:ind w:firstLine="480" w:firstLineChars="200"/>
              <w:rPr>
                <w:rFonts w:hint="eastAsia" w:ascii="宋体" w:hAnsi="宋体" w:eastAsia="宋体" w:cs="Times New Roman"/>
                <w:kern w:val="0"/>
                <w:sz w:val="24"/>
                <w:szCs w:val="24"/>
              </w:rPr>
            </w:pPr>
          </w:p>
          <w:p>
            <w:pPr>
              <w:pStyle w:val="14"/>
              <w:numPr>
                <w:ilvl w:val="255"/>
                <w:numId w:val="0"/>
              </w:numPr>
              <w:rPr>
                <w:rFonts w:ascii="宋体" w:hAnsi="宋体" w:eastAsia="宋体" w:cs="Times New Roman"/>
                <w:kern w:val="0"/>
                <w:sz w:val="24"/>
                <w:szCs w:val="24"/>
              </w:rPr>
            </w:pPr>
          </w:p>
          <w:p>
            <w:pPr>
              <w:pStyle w:val="14"/>
              <w:numPr>
                <w:ilvl w:val="255"/>
                <w:numId w:val="0"/>
              </w:numPr>
              <w:ind w:firstLine="482" w:firstLineChars="200"/>
              <w:rPr>
                <w:rFonts w:ascii="宋体" w:hAnsi="宋体" w:eastAsia="宋体" w:cs="Times New Roman"/>
                <w:b/>
                <w:bCs/>
                <w:kern w:val="0"/>
                <w:sz w:val="24"/>
                <w:szCs w:val="24"/>
              </w:rPr>
            </w:pPr>
            <w:r>
              <w:rPr>
                <w:rFonts w:hint="eastAsia" w:ascii="宋体" w:hAnsi="宋体" w:eastAsia="宋体" w:cs="Times New Roman"/>
                <w:b/>
                <w:bCs/>
                <w:kern w:val="0"/>
                <w:sz w:val="24"/>
                <w:szCs w:val="24"/>
              </w:rPr>
              <w:t>Q：关注到公司发布了一个简易程序融资事宜的授权公告，请问公司近期是否有再融资计划，可否介绍下相关规划？</w:t>
            </w:r>
          </w:p>
          <w:p>
            <w:pPr>
              <w:pStyle w:val="14"/>
              <w:numPr>
                <w:ilvl w:val="255"/>
                <w:numId w:val="0"/>
              </w:numPr>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A：公司4月29日披露了《关于提请股东大会授权董事会以简易程序向特定对象发行股票的公告》。根据规则，以简易程序向特定对象发行股票实施前需要通过年度股东大会对董事会进行授权，本次提交审议的议案是一个为期一年的授权事项。截至目前，公司暂未形成明确的再融资方案，后续会根据公司业务拓展等实际情况来履行决策和披露程序。</w:t>
            </w:r>
          </w:p>
          <w:p>
            <w:pPr>
              <w:pStyle w:val="14"/>
              <w:numPr>
                <w:ilvl w:val="255"/>
                <w:numId w:val="0"/>
              </w:numP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snapToGrid w:val="0"/>
              <w:spacing w:before="156" w:beforeLines="50" w:after="156" w:afterLines="50" w:line="240" w:lineRule="atLeast"/>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附件清单（如有）</w:t>
            </w:r>
          </w:p>
        </w:tc>
        <w:tc>
          <w:tcPr>
            <w:tcW w:w="5952" w:type="dxa"/>
            <w:vAlign w:val="center"/>
          </w:tcPr>
          <w:p>
            <w:pPr>
              <w:snapToGrid w:val="0"/>
              <w:spacing w:before="156" w:beforeLines="50" w:after="156" w:afterLines="50" w:line="240" w:lineRule="atLeast"/>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无</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2MThiZmNlMjRjNDkyN2Y1ZjUwZWZjZTIwYThiYjIifQ=="/>
  </w:docVars>
  <w:rsids>
    <w:rsidRoot w:val="00172A27"/>
    <w:rsid w:val="000016C9"/>
    <w:rsid w:val="00065C2B"/>
    <w:rsid w:val="000723D8"/>
    <w:rsid w:val="0009041A"/>
    <w:rsid w:val="000F6E02"/>
    <w:rsid w:val="001074F9"/>
    <w:rsid w:val="00114C4D"/>
    <w:rsid w:val="00123F21"/>
    <w:rsid w:val="00147006"/>
    <w:rsid w:val="00162DF9"/>
    <w:rsid w:val="00172A27"/>
    <w:rsid w:val="00175990"/>
    <w:rsid w:val="00195160"/>
    <w:rsid w:val="001B524B"/>
    <w:rsid w:val="001C710A"/>
    <w:rsid w:val="001F1B93"/>
    <w:rsid w:val="002222C1"/>
    <w:rsid w:val="002969D4"/>
    <w:rsid w:val="002A33C4"/>
    <w:rsid w:val="002C2A25"/>
    <w:rsid w:val="002C486F"/>
    <w:rsid w:val="002C793F"/>
    <w:rsid w:val="003022F0"/>
    <w:rsid w:val="0033797F"/>
    <w:rsid w:val="00355C25"/>
    <w:rsid w:val="00460C0C"/>
    <w:rsid w:val="004636D2"/>
    <w:rsid w:val="00474C10"/>
    <w:rsid w:val="00494118"/>
    <w:rsid w:val="004A3A9E"/>
    <w:rsid w:val="004B2344"/>
    <w:rsid w:val="004F2D34"/>
    <w:rsid w:val="005067CB"/>
    <w:rsid w:val="005326E6"/>
    <w:rsid w:val="00564B7F"/>
    <w:rsid w:val="00576CC5"/>
    <w:rsid w:val="005A0064"/>
    <w:rsid w:val="005A22B9"/>
    <w:rsid w:val="005A5260"/>
    <w:rsid w:val="005E5D21"/>
    <w:rsid w:val="00652D0F"/>
    <w:rsid w:val="006B0139"/>
    <w:rsid w:val="006F66E7"/>
    <w:rsid w:val="007035F6"/>
    <w:rsid w:val="00742157"/>
    <w:rsid w:val="00794108"/>
    <w:rsid w:val="007F5392"/>
    <w:rsid w:val="008049B0"/>
    <w:rsid w:val="008162D1"/>
    <w:rsid w:val="00833CF3"/>
    <w:rsid w:val="00853082"/>
    <w:rsid w:val="008715F0"/>
    <w:rsid w:val="00873A5E"/>
    <w:rsid w:val="008910E9"/>
    <w:rsid w:val="008E7D32"/>
    <w:rsid w:val="008F530F"/>
    <w:rsid w:val="00914A7C"/>
    <w:rsid w:val="00933004"/>
    <w:rsid w:val="00940B61"/>
    <w:rsid w:val="009416E2"/>
    <w:rsid w:val="00965661"/>
    <w:rsid w:val="0098512F"/>
    <w:rsid w:val="009A3241"/>
    <w:rsid w:val="009B0D98"/>
    <w:rsid w:val="009C3A27"/>
    <w:rsid w:val="009E27E7"/>
    <w:rsid w:val="00AA1DFD"/>
    <w:rsid w:val="00AB431F"/>
    <w:rsid w:val="00B12279"/>
    <w:rsid w:val="00B53289"/>
    <w:rsid w:val="00B537F8"/>
    <w:rsid w:val="00B577D1"/>
    <w:rsid w:val="00B64CCC"/>
    <w:rsid w:val="00B718E2"/>
    <w:rsid w:val="00BF12A1"/>
    <w:rsid w:val="00C05695"/>
    <w:rsid w:val="00CA3E0E"/>
    <w:rsid w:val="00CC7F67"/>
    <w:rsid w:val="00CD611F"/>
    <w:rsid w:val="00DB05D0"/>
    <w:rsid w:val="00DC3A7B"/>
    <w:rsid w:val="00DF418F"/>
    <w:rsid w:val="00DF66CA"/>
    <w:rsid w:val="00E871AF"/>
    <w:rsid w:val="00EA7EA7"/>
    <w:rsid w:val="00EC2EED"/>
    <w:rsid w:val="00EC48C6"/>
    <w:rsid w:val="00ED3CFF"/>
    <w:rsid w:val="00EE6CDD"/>
    <w:rsid w:val="00EF42A5"/>
    <w:rsid w:val="00EF7689"/>
    <w:rsid w:val="00F1018E"/>
    <w:rsid w:val="00F10A5C"/>
    <w:rsid w:val="00F15ED4"/>
    <w:rsid w:val="00F17779"/>
    <w:rsid w:val="00F448D5"/>
    <w:rsid w:val="00F566CA"/>
    <w:rsid w:val="00F66A7F"/>
    <w:rsid w:val="00F72A3B"/>
    <w:rsid w:val="00F829A8"/>
    <w:rsid w:val="00FE6192"/>
    <w:rsid w:val="00FF502C"/>
    <w:rsid w:val="01695955"/>
    <w:rsid w:val="0256342F"/>
    <w:rsid w:val="0482288A"/>
    <w:rsid w:val="05B230A6"/>
    <w:rsid w:val="06543306"/>
    <w:rsid w:val="07181AA9"/>
    <w:rsid w:val="084A1910"/>
    <w:rsid w:val="0921263A"/>
    <w:rsid w:val="0ADE04E8"/>
    <w:rsid w:val="0B387630"/>
    <w:rsid w:val="0CCD245A"/>
    <w:rsid w:val="0D98311E"/>
    <w:rsid w:val="0EA10B77"/>
    <w:rsid w:val="11C6025A"/>
    <w:rsid w:val="125F3BB4"/>
    <w:rsid w:val="12CC1EE6"/>
    <w:rsid w:val="15A20FDE"/>
    <w:rsid w:val="15B64A89"/>
    <w:rsid w:val="16266A01"/>
    <w:rsid w:val="169048D7"/>
    <w:rsid w:val="17373294"/>
    <w:rsid w:val="185B0DAA"/>
    <w:rsid w:val="185F66A9"/>
    <w:rsid w:val="190242A9"/>
    <w:rsid w:val="1AC07580"/>
    <w:rsid w:val="1D1771A1"/>
    <w:rsid w:val="1D2C7E6D"/>
    <w:rsid w:val="1D41422C"/>
    <w:rsid w:val="1F7C00FA"/>
    <w:rsid w:val="209854B7"/>
    <w:rsid w:val="217E041E"/>
    <w:rsid w:val="22E53AB1"/>
    <w:rsid w:val="247E2C16"/>
    <w:rsid w:val="250F5786"/>
    <w:rsid w:val="2940493E"/>
    <w:rsid w:val="2B69017C"/>
    <w:rsid w:val="2C723C57"/>
    <w:rsid w:val="2DC96BBE"/>
    <w:rsid w:val="2E8A1C8F"/>
    <w:rsid w:val="2F25085E"/>
    <w:rsid w:val="2FA96D6E"/>
    <w:rsid w:val="334455D4"/>
    <w:rsid w:val="33B10912"/>
    <w:rsid w:val="36D54CB2"/>
    <w:rsid w:val="37427AD3"/>
    <w:rsid w:val="38D77ED5"/>
    <w:rsid w:val="3E7E5271"/>
    <w:rsid w:val="3F7E18C4"/>
    <w:rsid w:val="3F942AA9"/>
    <w:rsid w:val="40A5001C"/>
    <w:rsid w:val="41A27AEC"/>
    <w:rsid w:val="41F7408F"/>
    <w:rsid w:val="424F2536"/>
    <w:rsid w:val="427C19C4"/>
    <w:rsid w:val="463C7AE9"/>
    <w:rsid w:val="48A04659"/>
    <w:rsid w:val="4CC56D84"/>
    <w:rsid w:val="4DE1199C"/>
    <w:rsid w:val="4E092CA1"/>
    <w:rsid w:val="4E6D76D3"/>
    <w:rsid w:val="4FFF574B"/>
    <w:rsid w:val="500B71A4"/>
    <w:rsid w:val="50884351"/>
    <w:rsid w:val="50BC03FE"/>
    <w:rsid w:val="528A7B0A"/>
    <w:rsid w:val="52FB49B4"/>
    <w:rsid w:val="530A54F1"/>
    <w:rsid w:val="53C05B30"/>
    <w:rsid w:val="54005F00"/>
    <w:rsid w:val="547F4953"/>
    <w:rsid w:val="55A8546F"/>
    <w:rsid w:val="568F774F"/>
    <w:rsid w:val="56E434D5"/>
    <w:rsid w:val="58BE696E"/>
    <w:rsid w:val="58BF6D7E"/>
    <w:rsid w:val="5B1C32AC"/>
    <w:rsid w:val="5B2F1F99"/>
    <w:rsid w:val="5BDE751B"/>
    <w:rsid w:val="5C2E4241"/>
    <w:rsid w:val="5EEA42A4"/>
    <w:rsid w:val="600777A1"/>
    <w:rsid w:val="619B0772"/>
    <w:rsid w:val="643E1F5C"/>
    <w:rsid w:val="662A1308"/>
    <w:rsid w:val="66D15EF7"/>
    <w:rsid w:val="670C5884"/>
    <w:rsid w:val="68963FB2"/>
    <w:rsid w:val="69916FBD"/>
    <w:rsid w:val="6AA32E58"/>
    <w:rsid w:val="6C4B4758"/>
    <w:rsid w:val="6F26325B"/>
    <w:rsid w:val="6F532692"/>
    <w:rsid w:val="6FC85B74"/>
    <w:rsid w:val="71E86C65"/>
    <w:rsid w:val="732963E9"/>
    <w:rsid w:val="75411434"/>
    <w:rsid w:val="758C2DC8"/>
    <w:rsid w:val="76B12A76"/>
    <w:rsid w:val="76DC29F7"/>
    <w:rsid w:val="788212D8"/>
    <w:rsid w:val="78A52D7A"/>
    <w:rsid w:val="7935373D"/>
    <w:rsid w:val="7AC724FF"/>
    <w:rsid w:val="7C0E0979"/>
    <w:rsid w:val="7E375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autoRedefine/>
    <w:unhideWhenUsed/>
    <w:qFormat/>
    <w:uiPriority w:val="0"/>
    <w:pPr>
      <w:keepNext/>
      <w:keepLines/>
      <w:spacing w:before="40" w:after="40" w:line="360" w:lineRule="auto"/>
      <w:outlineLvl w:val="2"/>
    </w:pPr>
    <w:rPr>
      <w:b/>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18"/>
    <w:autoRedefine/>
    <w:unhideWhenUsed/>
    <w:qFormat/>
    <w:uiPriority w:val="99"/>
    <w:pPr>
      <w:jc w:val="left"/>
    </w:p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8">
    <w:name w:val="Normal (Web)"/>
    <w:basedOn w:val="1"/>
    <w:autoRedefine/>
    <w:semiHidden/>
    <w:unhideWhenUsed/>
    <w:qFormat/>
    <w:uiPriority w:val="99"/>
    <w:pPr>
      <w:spacing w:beforeAutospacing="1" w:afterAutospacing="1"/>
      <w:jc w:val="left"/>
    </w:pPr>
    <w:rPr>
      <w:rFonts w:cs="Times New Roman"/>
      <w:kern w:val="0"/>
      <w:sz w:val="24"/>
    </w:rPr>
  </w:style>
  <w:style w:type="paragraph" w:styleId="9">
    <w:name w:val="annotation subject"/>
    <w:basedOn w:val="4"/>
    <w:next w:val="4"/>
    <w:link w:val="19"/>
    <w:autoRedefine/>
    <w:semiHidden/>
    <w:unhideWhenUsed/>
    <w:qFormat/>
    <w:uiPriority w:val="99"/>
    <w:rPr>
      <w:b/>
      <w:bCs/>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autoRedefine/>
    <w:semiHidden/>
    <w:unhideWhenUsed/>
    <w:qFormat/>
    <w:uiPriority w:val="99"/>
    <w:rPr>
      <w:sz w:val="21"/>
      <w:szCs w:val="21"/>
    </w:rPr>
  </w:style>
  <w:style w:type="paragraph" w:styleId="14">
    <w:name w:val="List Paragraph"/>
    <w:basedOn w:val="1"/>
    <w:autoRedefine/>
    <w:qFormat/>
    <w:uiPriority w:val="34"/>
    <w:pPr>
      <w:ind w:firstLine="420" w:firstLineChars="200"/>
    </w:pPr>
  </w:style>
  <w:style w:type="character" w:customStyle="1" w:styleId="15">
    <w:name w:val="页眉 字符"/>
    <w:basedOn w:val="12"/>
    <w:link w:val="6"/>
    <w:autoRedefine/>
    <w:qFormat/>
    <w:uiPriority w:val="99"/>
    <w:rPr>
      <w:sz w:val="18"/>
      <w:szCs w:val="18"/>
    </w:rPr>
  </w:style>
  <w:style w:type="character" w:customStyle="1" w:styleId="16">
    <w:name w:val="页脚 字符"/>
    <w:basedOn w:val="12"/>
    <w:link w:val="5"/>
    <w:autoRedefine/>
    <w:qFormat/>
    <w:uiPriority w:val="99"/>
    <w:rPr>
      <w:sz w:val="18"/>
      <w:szCs w:val="18"/>
    </w:rPr>
  </w:style>
  <w:style w:type="paragraph" w:customStyle="1" w:styleId="17">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8">
    <w:name w:val="批注文字 字符"/>
    <w:basedOn w:val="12"/>
    <w:link w:val="4"/>
    <w:autoRedefine/>
    <w:qFormat/>
    <w:uiPriority w:val="99"/>
  </w:style>
  <w:style w:type="character" w:customStyle="1" w:styleId="19">
    <w:name w:val="批注主题 字符"/>
    <w:basedOn w:val="18"/>
    <w:link w:val="9"/>
    <w:autoRedefine/>
    <w:semiHidden/>
    <w:qFormat/>
    <w:uiPriority w:val="99"/>
    <w:rPr>
      <w:b/>
      <w:bCs/>
    </w:rPr>
  </w:style>
  <w:style w:type="paragraph" w:customStyle="1" w:styleId="20">
    <w:name w:val="修订2"/>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469</Words>
  <Characters>2677</Characters>
  <Lines>22</Lines>
  <Paragraphs>6</Paragraphs>
  <TotalTime>96</TotalTime>
  <ScaleCrop>false</ScaleCrop>
  <LinksUpToDate>false</LinksUpToDate>
  <CharactersWithSpaces>3140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2024-04-30T05:18:00Z</dcterms:created>
  <dc:creator>WL</dc:creator>
  <cp:lastModifiedBy>葛婵</cp:lastModifiedBy>
  <cp:lastPrinted>2022-11-28T09:19:00Z</cp:lastPrinted>
  <dcterms:modified xsi:type="dcterms:W3CDTF">2024-04-30T06:34:38Z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8BDB40748A344974B409283119B750DB_13</vt:lpwstr>
  </property>
</Properties>
</file>