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bCs/>
          <w:iCs/>
          <w:color w:val="000000"/>
          <w:sz w:val="24"/>
          <w:szCs w:val="24"/>
        </w:rPr>
      </w:pPr>
      <w:r>
        <w:rPr>
          <w:rFonts w:hint="eastAsia" w:ascii="宋体" w:hAnsi="宋体"/>
          <w:bCs/>
          <w:iCs/>
          <w:color w:val="000000"/>
          <w:sz w:val="24"/>
          <w:szCs w:val="24"/>
        </w:rPr>
        <w:t>证券代码：688663                                         证券简称：新风光</w:t>
      </w:r>
    </w:p>
    <w:p>
      <w:pPr>
        <w:spacing w:line="560" w:lineRule="exact"/>
        <w:jc w:val="center"/>
        <w:rPr>
          <w:rFonts w:ascii="宋体" w:hAnsi="宋体"/>
          <w:b/>
          <w:bCs/>
          <w:iCs/>
          <w:color w:val="C00000"/>
          <w:sz w:val="32"/>
          <w:szCs w:val="32"/>
        </w:rPr>
      </w:pPr>
      <w:r>
        <w:rPr>
          <w:rFonts w:hint="eastAsia" w:ascii="宋体" w:hAnsi="宋体"/>
          <w:b/>
          <w:bCs/>
          <w:iCs/>
          <w:color w:val="C00000"/>
          <w:sz w:val="32"/>
          <w:szCs w:val="32"/>
        </w:rPr>
        <w:t>新风光电子科技股份有限公司</w:t>
      </w:r>
    </w:p>
    <w:p>
      <w:pPr>
        <w:spacing w:line="560" w:lineRule="exact"/>
        <w:jc w:val="center"/>
        <w:rPr>
          <w:rFonts w:ascii="宋体" w:hAnsi="宋体"/>
          <w:b/>
          <w:bCs/>
          <w:iCs/>
          <w:color w:val="C00000"/>
          <w:sz w:val="32"/>
          <w:szCs w:val="32"/>
        </w:rPr>
      </w:pPr>
      <w:r>
        <w:rPr>
          <w:rFonts w:hint="eastAsia" w:ascii="宋体" w:hAnsi="宋体"/>
          <w:b/>
          <w:bCs/>
          <w:iCs/>
          <w:color w:val="C00000"/>
          <w:sz w:val="32"/>
          <w:szCs w:val="32"/>
        </w:rPr>
        <w:t>投资者关系活动记录表</w:t>
      </w:r>
    </w:p>
    <w:p>
      <w:pPr>
        <w:spacing w:line="560" w:lineRule="exact"/>
        <w:rPr>
          <w:rFonts w:hint="eastAsia" w:ascii="宋体" w:hAnsi="宋体" w:eastAsia="宋体"/>
          <w:bCs/>
          <w:iCs/>
          <w:color w:val="000000"/>
          <w:sz w:val="24"/>
          <w:szCs w:val="24"/>
          <w:lang w:val="en-US" w:eastAsia="zh-CN"/>
        </w:rPr>
      </w:pPr>
      <w:r>
        <w:rPr>
          <w:rFonts w:hint="eastAsia" w:ascii="宋体" w:hAnsi="宋体"/>
          <w:bCs/>
          <w:iCs/>
          <w:color w:val="000000"/>
          <w:sz w:val="28"/>
          <w:szCs w:val="28"/>
        </w:rPr>
        <w:t xml:space="preserve">                                                   </w:t>
      </w:r>
      <w:r>
        <w:rPr>
          <w:rFonts w:hint="eastAsia" w:ascii="宋体" w:hAnsi="宋体"/>
          <w:bCs/>
          <w:iCs/>
          <w:color w:val="000000"/>
          <w:sz w:val="24"/>
          <w:szCs w:val="24"/>
        </w:rPr>
        <w:t>编号：202</w:t>
      </w:r>
      <w:r>
        <w:rPr>
          <w:rFonts w:hint="eastAsia" w:ascii="宋体" w:hAnsi="宋体"/>
          <w:bCs/>
          <w:iCs/>
          <w:color w:val="000000"/>
          <w:sz w:val="24"/>
          <w:szCs w:val="24"/>
          <w:lang w:val="en-US" w:eastAsia="zh-CN"/>
        </w:rPr>
        <w:t>4</w:t>
      </w:r>
      <w:r>
        <w:rPr>
          <w:rFonts w:hint="eastAsia" w:ascii="宋体" w:hAnsi="宋体"/>
          <w:bCs/>
          <w:iCs/>
          <w:color w:val="000000"/>
          <w:sz w:val="24"/>
          <w:szCs w:val="24"/>
        </w:rPr>
        <w:t>-00</w:t>
      </w:r>
      <w:r>
        <w:rPr>
          <w:rFonts w:hint="default" w:ascii="宋体" w:hAnsi="宋体"/>
          <w:bCs/>
          <w:iCs/>
          <w:color w:val="000000"/>
          <w:sz w:val="24"/>
          <w:szCs w:val="24"/>
          <w:lang w:val="en-US" w:eastAsia="zh-CN"/>
        </w:rPr>
        <w:t>1</w:t>
      </w:r>
    </w:p>
    <w:tbl>
      <w:tblPr>
        <w:tblStyle w:val="7"/>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投资者关系活动类别</w:t>
            </w:r>
          </w:p>
          <w:p>
            <w:pPr>
              <w:spacing w:line="560" w:lineRule="exact"/>
              <w:rPr>
                <w:rFonts w:hint="eastAsia" w:ascii="宋体" w:hAnsi="宋体" w:eastAsia="宋体" w:cs="宋体"/>
                <w:bCs/>
                <w:iCs/>
                <w:color w:val="000000"/>
                <w:sz w:val="24"/>
                <w:szCs w:val="24"/>
              </w:rPr>
            </w:pPr>
          </w:p>
        </w:tc>
        <w:tc>
          <w:tcPr>
            <w:tcW w:w="3863"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lang w:eastAsia="zh-CN"/>
              </w:rPr>
              <w:t>☑</w:t>
            </w:r>
            <w:r>
              <w:rPr>
                <w:rFonts w:hint="eastAsia" w:ascii="宋体" w:hAnsi="宋体" w:eastAsia="宋体" w:cs="宋体"/>
                <w:color w:val="000000"/>
                <w:sz w:val="24"/>
                <w:szCs w:val="24"/>
              </w:rPr>
              <w:t xml:space="preserve">特定对象调研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分析师会议</w:t>
            </w:r>
          </w:p>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媒体采访            □业绩说明会</w:t>
            </w:r>
          </w:p>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 xml:space="preserve">新闻发布会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路演活动</w:t>
            </w:r>
          </w:p>
          <w:p>
            <w:pPr>
              <w:tabs>
                <w:tab w:val="left" w:pos="3045"/>
                <w:tab w:val="center" w:pos="3199"/>
              </w:tabs>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lang w:eastAsia="zh-CN"/>
              </w:rPr>
              <w:t>□</w:t>
            </w:r>
            <w:r>
              <w:rPr>
                <w:rFonts w:hint="eastAsia" w:ascii="宋体" w:hAnsi="宋体" w:eastAsia="宋体" w:cs="宋体"/>
                <w:color w:val="000000"/>
                <w:sz w:val="24"/>
                <w:szCs w:val="24"/>
              </w:rPr>
              <w:t>现场参观</w:t>
            </w:r>
            <w:r>
              <w:rPr>
                <w:rFonts w:hint="eastAsia" w:ascii="宋体" w:hAnsi="宋体" w:eastAsia="宋体" w:cs="宋体"/>
                <w:bCs/>
                <w:iCs/>
                <w:color w:val="000000"/>
                <w:sz w:val="24"/>
                <w:szCs w:val="24"/>
              </w:rPr>
              <w:tab/>
            </w:r>
          </w:p>
          <w:p>
            <w:pPr>
              <w:tabs>
                <w:tab w:val="center" w:pos="3199"/>
              </w:tabs>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lang w:eastAsia="zh-CN"/>
              </w:rPr>
              <w:t>☑</w:t>
            </w:r>
            <w:r>
              <w:rPr>
                <w:rFonts w:hint="eastAsia" w:ascii="宋体" w:hAnsi="宋体" w:eastAsia="宋体" w:cs="宋体"/>
                <w:color w:val="000000"/>
                <w:sz w:val="24"/>
                <w:szCs w:val="24"/>
              </w:rPr>
              <w:t>其他：线上会议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参与单位名称</w:t>
            </w:r>
          </w:p>
        </w:tc>
        <w:tc>
          <w:tcPr>
            <w:tcW w:w="3863"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一、4月15日</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建信基金、南方基金、平安基金、易方达基金、广发基金</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二、4月16日</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富国基金、圆信永丰基金、兴全基金、华泰柏瑞基金、华夏基金</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三、4月17日</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中信建投、嘉实基金、鹏华基金、博时基金、泰康资产、信达资产</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四、4月18日</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西部利得基金、泰康资产、淳厚基金、华宝基金、富国基金</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五、4月19日</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银华基金、惠生基金</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六、4月28日</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中银基金</w:t>
            </w:r>
          </w:p>
          <w:p>
            <w:pPr>
              <w:spacing w:line="560" w:lineRule="exact"/>
              <w:rPr>
                <w:rFonts w:hint="eastAsia" w:ascii="宋体" w:hAnsi="宋体" w:eastAsia="宋体" w:cs="宋体"/>
                <w:b w:val="0"/>
                <w:bCs/>
                <w:iCs/>
                <w:color w:val="000000"/>
                <w:sz w:val="24"/>
                <w:szCs w:val="24"/>
                <w:lang w:val="en-US" w:eastAsia="zh-CN"/>
              </w:rPr>
            </w:pPr>
            <w:r>
              <w:rPr>
                <w:rFonts w:hint="eastAsia" w:ascii="宋体" w:hAnsi="宋体" w:eastAsia="宋体" w:cs="宋体"/>
                <w:b w:val="0"/>
                <w:bCs/>
                <w:iCs/>
                <w:color w:val="000000"/>
                <w:sz w:val="24"/>
                <w:szCs w:val="24"/>
                <w:lang w:val="en-US" w:eastAsia="zh-CN"/>
              </w:rPr>
              <w:t>七、4月29日</w:t>
            </w:r>
          </w:p>
          <w:p>
            <w:pPr>
              <w:spacing w:line="560" w:lineRule="exact"/>
              <w:rPr>
                <w:rFonts w:hint="eastAsia" w:ascii="宋体" w:hAnsi="宋体" w:eastAsia="宋体" w:cs="宋体"/>
                <w:bCs/>
                <w:iCs/>
                <w:color w:val="000000"/>
                <w:sz w:val="24"/>
                <w:szCs w:val="24"/>
                <w:lang w:val="en-US" w:eastAsia="zh-CN"/>
              </w:rPr>
            </w:pPr>
            <w:r>
              <w:rPr>
                <w:rFonts w:hint="eastAsia" w:ascii="宋体" w:hAnsi="宋体" w:eastAsia="宋体" w:cs="宋体"/>
                <w:b w:val="0"/>
                <w:bCs/>
                <w:iCs/>
                <w:color w:val="000000"/>
                <w:sz w:val="24"/>
                <w:szCs w:val="24"/>
                <w:lang w:val="en-US" w:eastAsia="zh-CN"/>
              </w:rPr>
              <w:t>诺安基金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时间</w:t>
            </w:r>
          </w:p>
        </w:tc>
        <w:tc>
          <w:tcPr>
            <w:tcW w:w="3863"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rPr>
              <w:t>202</w:t>
            </w:r>
            <w:r>
              <w:rPr>
                <w:rFonts w:hint="eastAsia" w:ascii="宋体" w:hAnsi="宋体" w:eastAsia="宋体" w:cs="宋体"/>
                <w:bCs/>
                <w:iCs/>
                <w:color w:val="000000"/>
                <w:sz w:val="24"/>
                <w:szCs w:val="24"/>
                <w:lang w:val="en-US" w:eastAsia="zh-CN"/>
              </w:rPr>
              <w:t>4</w:t>
            </w:r>
            <w:r>
              <w:rPr>
                <w:rFonts w:hint="eastAsia" w:ascii="宋体" w:hAnsi="宋体" w:eastAsia="宋体" w:cs="宋体"/>
                <w:bCs/>
                <w:iCs/>
                <w:color w:val="000000"/>
                <w:sz w:val="24"/>
                <w:szCs w:val="24"/>
              </w:rPr>
              <w:t>年</w:t>
            </w:r>
            <w:r>
              <w:rPr>
                <w:rFonts w:hint="eastAsia" w:ascii="宋体" w:hAnsi="宋体" w:eastAsia="宋体" w:cs="宋体"/>
                <w:bCs/>
                <w:iCs/>
                <w:color w:val="000000"/>
                <w:sz w:val="24"/>
                <w:szCs w:val="24"/>
                <w:lang w:val="en-US" w:eastAsia="zh-CN"/>
              </w:rPr>
              <w:t>4</w:t>
            </w:r>
            <w:r>
              <w:rPr>
                <w:rFonts w:hint="eastAsia" w:ascii="宋体" w:hAnsi="宋体" w:eastAsia="宋体" w:cs="宋体"/>
                <w:bCs/>
                <w:iCs/>
                <w:color w:val="000000"/>
                <w:sz w:val="24"/>
                <w:szCs w:val="24"/>
              </w:rPr>
              <w:t>月</w:t>
            </w:r>
            <w:r>
              <w:rPr>
                <w:rFonts w:hint="eastAsia" w:ascii="宋体" w:hAnsi="宋体" w:eastAsia="宋体" w:cs="宋体"/>
                <w:bCs/>
                <w:iCs/>
                <w:color w:val="000000"/>
                <w:sz w:val="24"/>
                <w:szCs w:val="24"/>
                <w:lang w:val="en-US" w:eastAsia="zh-CN"/>
              </w:rPr>
              <w:t>15</w:t>
            </w:r>
            <w:r>
              <w:rPr>
                <w:rFonts w:hint="eastAsia" w:ascii="宋体" w:hAnsi="宋体" w:eastAsia="宋体" w:cs="宋体"/>
                <w:bCs/>
                <w:iCs/>
                <w:color w:val="000000"/>
                <w:sz w:val="24"/>
                <w:szCs w:val="24"/>
              </w:rPr>
              <w:t>日</w:t>
            </w:r>
            <w:r>
              <w:rPr>
                <w:rFonts w:hint="eastAsia" w:ascii="宋体" w:hAnsi="宋体" w:eastAsia="宋体" w:cs="宋体"/>
                <w:bCs/>
                <w:iCs/>
                <w:color w:val="000000"/>
                <w:sz w:val="24"/>
                <w:szCs w:val="24"/>
                <w:lang w:eastAsia="zh-CN"/>
              </w:rPr>
              <w:t>—</w:t>
            </w:r>
            <w:r>
              <w:rPr>
                <w:rFonts w:hint="eastAsia" w:ascii="宋体" w:hAnsi="宋体" w:eastAsia="宋体" w:cs="宋体"/>
                <w:bCs/>
                <w:iCs/>
                <w:color w:val="000000"/>
                <w:sz w:val="24"/>
                <w:szCs w:val="24"/>
                <w:lang w:val="en-US" w:eastAsia="zh-CN"/>
              </w:rPr>
              <w:t>2024年4月29日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地点</w:t>
            </w:r>
          </w:p>
        </w:tc>
        <w:tc>
          <w:tcPr>
            <w:tcW w:w="3863"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上市公司接待人员姓名</w:t>
            </w:r>
          </w:p>
        </w:tc>
        <w:tc>
          <w:tcPr>
            <w:tcW w:w="3863"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
                <w:bCs w:val="0"/>
                <w:iCs/>
                <w:color w:val="000000"/>
                <w:sz w:val="24"/>
                <w:szCs w:val="24"/>
              </w:rPr>
              <w:t>董事会秘书：</w:t>
            </w:r>
            <w:r>
              <w:rPr>
                <w:rFonts w:hint="eastAsia" w:ascii="宋体" w:hAnsi="宋体" w:eastAsia="宋体" w:cs="宋体"/>
                <w:bCs/>
                <w:iCs/>
                <w:color w:val="000000"/>
                <w:sz w:val="24"/>
                <w:szCs w:val="24"/>
              </w:rPr>
              <w:t xml:space="preserve">侯磊 </w:t>
            </w:r>
          </w:p>
          <w:p>
            <w:pPr>
              <w:spacing w:line="560" w:lineRule="exact"/>
              <w:rPr>
                <w:rFonts w:hint="eastAsia" w:ascii="宋体" w:hAnsi="宋体" w:eastAsia="宋体" w:cs="宋体"/>
                <w:bCs/>
                <w:iCs/>
                <w:color w:val="000000"/>
                <w:sz w:val="24"/>
                <w:szCs w:val="24"/>
              </w:rPr>
            </w:pPr>
            <w:r>
              <w:rPr>
                <w:rFonts w:hint="eastAsia" w:ascii="宋体" w:hAnsi="宋体" w:eastAsia="宋体" w:cs="宋体"/>
                <w:b/>
                <w:bCs w:val="0"/>
                <w:iCs/>
                <w:color w:val="000000"/>
                <w:sz w:val="24"/>
                <w:szCs w:val="24"/>
              </w:rPr>
              <w:t>副总经理兼营销总监：</w:t>
            </w:r>
            <w:r>
              <w:rPr>
                <w:rFonts w:hint="eastAsia" w:ascii="宋体" w:hAnsi="宋体" w:eastAsia="宋体" w:cs="宋体"/>
                <w:bCs/>
                <w:iCs/>
                <w:color w:val="000000"/>
                <w:sz w:val="24"/>
                <w:szCs w:val="24"/>
              </w:rPr>
              <w:t>秦显盛</w:t>
            </w:r>
          </w:p>
          <w:p>
            <w:pPr>
              <w:spacing w:line="560" w:lineRule="exact"/>
              <w:rPr>
                <w:rFonts w:hint="eastAsia" w:ascii="宋体" w:hAnsi="宋体" w:eastAsia="宋体" w:cs="宋体"/>
                <w:bCs/>
                <w:iCs/>
                <w:color w:val="000000"/>
                <w:sz w:val="24"/>
                <w:szCs w:val="24"/>
                <w:lang w:val="en-US" w:eastAsia="zh-CN"/>
              </w:rPr>
            </w:pPr>
            <w:r>
              <w:rPr>
                <w:rFonts w:hint="eastAsia" w:ascii="宋体" w:hAnsi="宋体" w:eastAsia="宋体" w:cs="宋体"/>
                <w:b/>
                <w:bCs w:val="0"/>
                <w:iCs/>
                <w:color w:val="000000"/>
                <w:sz w:val="24"/>
                <w:szCs w:val="24"/>
                <w:lang w:val="en-US" w:eastAsia="zh-CN"/>
              </w:rPr>
              <w:t>副总经理兼财务总监：</w:t>
            </w:r>
            <w:r>
              <w:rPr>
                <w:rFonts w:hint="eastAsia" w:ascii="宋体" w:hAnsi="宋体" w:eastAsia="宋体" w:cs="宋体"/>
                <w:bCs/>
                <w:iCs/>
                <w:color w:val="000000"/>
                <w:sz w:val="24"/>
                <w:szCs w:val="24"/>
                <w:lang w:val="en-US" w:eastAsia="zh-CN"/>
              </w:rPr>
              <w:t>邵亮</w:t>
            </w:r>
          </w:p>
          <w:p>
            <w:pPr>
              <w:spacing w:line="560" w:lineRule="exact"/>
              <w:rPr>
                <w:rFonts w:hint="eastAsia" w:ascii="宋体" w:hAnsi="宋体" w:eastAsia="宋体" w:cs="宋体"/>
                <w:bCs/>
                <w:iCs/>
                <w:color w:val="000000"/>
                <w:sz w:val="24"/>
                <w:szCs w:val="24"/>
                <w:lang w:val="en-US" w:eastAsia="zh-CN"/>
              </w:rPr>
            </w:pPr>
            <w:r>
              <w:rPr>
                <w:rFonts w:hint="eastAsia" w:ascii="宋体" w:hAnsi="宋体" w:eastAsia="宋体" w:cs="宋体"/>
                <w:b/>
                <w:bCs w:val="0"/>
                <w:iCs/>
                <w:color w:val="000000"/>
                <w:sz w:val="24"/>
                <w:szCs w:val="24"/>
                <w:lang w:val="en-US" w:eastAsia="zh-CN"/>
              </w:rPr>
              <w:t>营销副总监：</w:t>
            </w:r>
            <w:r>
              <w:rPr>
                <w:rFonts w:hint="eastAsia" w:ascii="宋体" w:hAnsi="宋体" w:eastAsia="宋体" w:cs="宋体"/>
                <w:bCs/>
                <w:iCs/>
                <w:color w:val="000000"/>
                <w:sz w:val="24"/>
                <w:szCs w:val="24"/>
                <w:lang w:val="en-US" w:eastAsia="zh-CN"/>
              </w:rPr>
              <w:t>刘德田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投资者关系活动主要内容介绍</w:t>
            </w:r>
          </w:p>
          <w:p>
            <w:pPr>
              <w:spacing w:line="560" w:lineRule="exact"/>
              <w:rPr>
                <w:rFonts w:hint="eastAsia" w:ascii="宋体" w:hAnsi="宋体" w:eastAsia="宋体" w:cs="宋体"/>
                <w:bCs/>
                <w:iCs/>
                <w:color w:val="000000"/>
                <w:sz w:val="24"/>
                <w:szCs w:val="24"/>
              </w:rPr>
            </w:pPr>
          </w:p>
        </w:tc>
        <w:tc>
          <w:tcPr>
            <w:tcW w:w="3863"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问题1：公司2023年度经营业绩情况？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答：</w:t>
            </w:r>
            <w:r>
              <w:rPr>
                <w:rFonts w:hint="eastAsia" w:ascii="宋体" w:hAnsi="宋体" w:eastAsia="宋体" w:cs="宋体"/>
                <w:b w:val="0"/>
                <w:bCs w:val="0"/>
                <w:color w:val="auto"/>
                <w:sz w:val="24"/>
                <w:szCs w:val="24"/>
                <w:lang w:val="en-US" w:eastAsia="zh-CN"/>
              </w:rPr>
              <w:t>2023年度实现</w:t>
            </w:r>
            <w:r>
              <w:rPr>
                <w:rFonts w:hint="eastAsia" w:ascii="宋体" w:hAnsi="宋体" w:eastAsia="宋体" w:cs="宋体"/>
                <w:color w:val="auto"/>
                <w:sz w:val="24"/>
                <w:szCs w:val="24"/>
                <w:lang w:val="en-US" w:eastAsia="zh-CN"/>
              </w:rPr>
              <w:t>营业收入17.01亿元，同比增长30.5%；净利润1.66亿元，同比增长28.70%；每股收益1.18元，同比增长28.26%；经营活动产生的现金流量净额1.88亿元，净现比1.13；全年签单21亿元，同比增长8%，其中SVG产品签单12亿元，同比增长40%，轨道交通高端装备签单1.5亿元，同比增长50%。</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问题2：公司2023年毛利率情况？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答：2023年综合毛利率27.65%，同比增长1.37个百分点。其中：变频器产品毛利率34.48%，同比增长5.49个百分点；SVG产品毛利率22.67%，同比增长0.26个百分点；储能产品毛利率20.61%，同比增长1.73个百分点。</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问题3：公司2024年一季度经营情况？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答：2024年一季度实现</w:t>
            </w:r>
            <w:r>
              <w:rPr>
                <w:rFonts w:hint="eastAsia" w:ascii="宋体" w:hAnsi="宋体" w:eastAsia="宋体" w:cs="宋体"/>
                <w:color w:val="auto"/>
                <w:sz w:val="24"/>
                <w:szCs w:val="24"/>
                <w:lang w:val="en-US" w:eastAsia="zh-CN"/>
              </w:rPr>
              <w:t>营业收入2.93亿元，同比增长36.63%；净利润3,947万元，同比增长91.58%；综合毛利率31.73%，同比增加1.39个百分点。一季度签单4.32亿，同比增长29%，其中SVG产品签单2.36亿元，同比增长42%；储能产品签单8,080万元，同比增长近六倍。</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问题4</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2024年一季度业绩快速增长的原因</w:t>
            </w:r>
            <w:r>
              <w:rPr>
                <w:rFonts w:hint="eastAsia" w:ascii="宋体" w:hAnsi="宋体" w:eastAsia="宋体" w:cs="宋体"/>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答：主要源于SVG产品营业收入快速增长。SVG产品营收增长的主要原因：①一季度营收一部分来自去年四季度订单的确认收入，去年地面电站需求好，加上一些项目推迟到一季度进行并网，收入确认顺延到今年一季度；②销售结构调整。今年一季度小功率SVG需求明显，比上年同期增长一倍多，小功率SVG盈利能力强于大功率机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问题5：SVG产品一季度毛利率上升的原因，全年市场预期情况？</w:t>
            </w:r>
          </w:p>
          <w:p>
            <w:pPr>
              <w:keepNext w:val="0"/>
              <w:keepLines w:val="0"/>
              <w:pageBreakBefore w:val="0"/>
              <w:widowControl w:val="0"/>
              <w:kinsoku/>
              <w:wordWrap/>
              <w:overflowPunct/>
              <w:topLinePunct w:val="0"/>
              <w:autoSpaceDE/>
              <w:autoSpaceDN/>
              <w:bidi w:val="0"/>
              <w:adjustRightInd/>
              <w:snapToGrid/>
              <w:spacing w:line="480" w:lineRule="exact"/>
              <w:ind w:firstLine="442"/>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答：</w:t>
            </w:r>
            <w:r>
              <w:rPr>
                <w:rFonts w:hint="eastAsia" w:ascii="宋体" w:hAnsi="宋体" w:eastAsia="宋体" w:cs="宋体"/>
                <w:b/>
                <w:bCs/>
                <w:color w:val="auto"/>
                <w:sz w:val="24"/>
                <w:szCs w:val="24"/>
                <w:lang w:eastAsia="zh-CN"/>
              </w:rPr>
              <w:t>一季度</w:t>
            </w:r>
            <w:r>
              <w:rPr>
                <w:rFonts w:hint="eastAsia" w:ascii="宋体" w:hAnsi="宋体" w:eastAsia="宋体" w:cs="宋体"/>
                <w:b/>
                <w:bCs/>
                <w:color w:val="auto"/>
                <w:sz w:val="24"/>
                <w:szCs w:val="24"/>
              </w:rPr>
              <w:t>毛利率提升的原因：</w:t>
            </w:r>
            <w:r>
              <w:rPr>
                <w:rFonts w:hint="eastAsia" w:ascii="宋体" w:hAnsi="宋体" w:eastAsia="宋体" w:cs="宋体"/>
                <w:color w:val="auto"/>
                <w:sz w:val="24"/>
                <w:szCs w:val="24"/>
              </w:rPr>
              <w:t>①</w:t>
            </w:r>
            <w:r>
              <w:rPr>
                <w:rFonts w:hint="eastAsia" w:ascii="宋体" w:hAnsi="宋体" w:eastAsia="宋体" w:cs="宋体"/>
                <w:color w:val="auto"/>
                <w:sz w:val="24"/>
                <w:szCs w:val="24"/>
                <w:lang w:val="en-US" w:eastAsia="zh-CN"/>
              </w:rPr>
              <w:t>销售结构调整，</w:t>
            </w:r>
            <w:r>
              <w:rPr>
                <w:rFonts w:hint="eastAsia" w:ascii="宋体" w:hAnsi="宋体" w:eastAsia="宋体" w:cs="宋体"/>
                <w:color w:val="auto"/>
                <w:sz w:val="24"/>
                <w:szCs w:val="24"/>
              </w:rPr>
              <w:t>配套分布式的小功率机型占比提升，盈利能力相对较强；②技术</w:t>
            </w:r>
            <w:r>
              <w:rPr>
                <w:rFonts w:hint="eastAsia" w:ascii="宋体" w:hAnsi="宋体" w:eastAsia="宋体" w:cs="宋体"/>
                <w:color w:val="auto"/>
                <w:sz w:val="24"/>
                <w:szCs w:val="24"/>
                <w:lang w:val="en-US" w:eastAsia="zh-CN"/>
              </w:rPr>
              <w:t>研发</w:t>
            </w:r>
            <w:r>
              <w:rPr>
                <w:rFonts w:hint="eastAsia" w:ascii="宋体" w:hAnsi="宋体" w:eastAsia="宋体" w:cs="宋体"/>
                <w:color w:val="auto"/>
                <w:sz w:val="24"/>
                <w:szCs w:val="24"/>
              </w:rPr>
              <w:t>，推出了新机型；③降本</w:t>
            </w:r>
            <w:r>
              <w:rPr>
                <w:rFonts w:hint="eastAsia" w:ascii="宋体" w:hAnsi="宋体" w:eastAsia="宋体" w:cs="宋体"/>
                <w:color w:val="auto"/>
                <w:sz w:val="24"/>
                <w:szCs w:val="24"/>
                <w:lang w:val="en-US" w:eastAsia="zh-CN"/>
              </w:rPr>
              <w:t>增效</w:t>
            </w:r>
            <w:r>
              <w:rPr>
                <w:rFonts w:hint="eastAsia" w:ascii="宋体" w:hAnsi="宋体" w:eastAsia="宋体" w:cs="宋体"/>
                <w:color w:val="auto"/>
                <w:sz w:val="24"/>
                <w:szCs w:val="24"/>
              </w:rPr>
              <w:t>，从产品尺寸</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方面做了</w:t>
            </w:r>
            <w:r>
              <w:rPr>
                <w:rFonts w:hint="eastAsia" w:ascii="宋体" w:hAnsi="宋体" w:eastAsia="宋体" w:cs="宋体"/>
                <w:color w:val="auto"/>
                <w:sz w:val="24"/>
                <w:szCs w:val="24"/>
                <w:lang w:val="en-US" w:eastAsia="zh-CN"/>
              </w:rPr>
              <w:t>改进</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42"/>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市场预期：</w:t>
            </w:r>
            <w:r>
              <w:rPr>
                <w:rFonts w:hint="eastAsia" w:ascii="宋体" w:hAnsi="宋体" w:eastAsia="宋体" w:cs="宋体"/>
                <w:b w:val="0"/>
                <w:bCs w:val="0"/>
                <w:color w:val="auto"/>
                <w:sz w:val="24"/>
                <w:szCs w:val="24"/>
                <w:lang w:val="en-US" w:eastAsia="zh-CN"/>
              </w:rPr>
              <w:t>SVG产品预计保持稳定增长。</w:t>
            </w:r>
          </w:p>
          <w:p>
            <w:pPr>
              <w:keepNext w:val="0"/>
              <w:keepLines w:val="0"/>
              <w:pageBreakBefore w:val="0"/>
              <w:widowControl w:val="0"/>
              <w:kinsoku/>
              <w:wordWrap/>
              <w:overflowPunct/>
              <w:topLinePunct w:val="0"/>
              <w:autoSpaceDE/>
              <w:autoSpaceDN/>
              <w:bidi w:val="0"/>
              <w:adjustRightInd/>
              <w:snapToGrid/>
              <w:spacing w:line="480" w:lineRule="exact"/>
              <w:ind w:firstLine="44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市场策略</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lang w:val="en-US" w:eastAsia="zh-CN"/>
              </w:rPr>
              <w:t>保持新能源领域优势的同时，</w:t>
            </w:r>
            <w:r>
              <w:rPr>
                <w:rFonts w:hint="eastAsia" w:ascii="宋体" w:hAnsi="宋体" w:eastAsia="宋体" w:cs="宋体"/>
                <w:color w:val="auto"/>
                <w:sz w:val="24"/>
                <w:szCs w:val="24"/>
              </w:rPr>
              <w:t>提高传统产业占比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①</w:t>
            </w:r>
            <w:r>
              <w:rPr>
                <w:rFonts w:hint="eastAsia" w:ascii="宋体" w:hAnsi="宋体" w:eastAsia="宋体" w:cs="宋体"/>
                <w:color w:val="auto"/>
                <w:sz w:val="24"/>
                <w:szCs w:val="24"/>
                <w:lang w:val="en-US" w:eastAsia="zh-CN"/>
              </w:rPr>
              <w:t>SVG在电网中的应用有增加的趋势，招标数量在不断增加，</w:t>
            </w:r>
            <w:r>
              <w:rPr>
                <w:rFonts w:hint="eastAsia" w:ascii="宋体" w:hAnsi="宋体" w:eastAsia="宋体" w:cs="宋体"/>
                <w:color w:val="auto"/>
                <w:sz w:val="24"/>
                <w:szCs w:val="24"/>
              </w:rPr>
              <w:t>预计未来会越来越明显，如果能够全</w:t>
            </w:r>
            <w:r>
              <w:rPr>
                <w:rFonts w:hint="eastAsia" w:ascii="宋体" w:hAnsi="宋体" w:cs="宋体"/>
                <w:color w:val="auto"/>
                <w:sz w:val="24"/>
                <w:szCs w:val="24"/>
                <w:lang w:val="en-US" w:eastAsia="zh-CN"/>
              </w:rPr>
              <w:t>部</w:t>
            </w:r>
            <w:r>
              <w:rPr>
                <w:rFonts w:hint="eastAsia" w:ascii="宋体" w:hAnsi="宋体" w:eastAsia="宋体" w:cs="宋体"/>
                <w:color w:val="auto"/>
                <w:sz w:val="24"/>
                <w:szCs w:val="24"/>
              </w:rPr>
              <w:t>替代的话会是巨大的潜在需求</w:t>
            </w:r>
            <w:r>
              <w:rPr>
                <w:rFonts w:hint="eastAsia" w:ascii="宋体" w:hAnsi="宋体" w:cs="宋体"/>
                <w:color w:val="auto"/>
                <w:sz w:val="24"/>
                <w:szCs w:val="24"/>
                <w:lang w:val="en-US" w:eastAsia="zh-CN"/>
              </w:rPr>
              <w:t>市场</w:t>
            </w:r>
            <w:r>
              <w:rPr>
                <w:rFonts w:hint="eastAsia" w:ascii="宋体" w:hAnsi="宋体" w:eastAsia="宋体" w:cs="宋体"/>
                <w:b w:val="0"/>
                <w:bCs w:val="0"/>
                <w:color w:val="auto"/>
                <w:sz w:val="24"/>
                <w:szCs w:val="24"/>
              </w:rPr>
              <w:t>；②</w:t>
            </w:r>
            <w:r>
              <w:rPr>
                <w:rFonts w:hint="eastAsia" w:ascii="宋体" w:hAnsi="宋体" w:eastAsia="宋体" w:cs="宋体"/>
                <w:color w:val="auto"/>
                <w:sz w:val="24"/>
                <w:szCs w:val="24"/>
              </w:rPr>
              <w:t>把工作前移，从工厂前期设计阶段提供SVG整体解决方案，从</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单机变为</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通过销售调整，</w:t>
            </w:r>
            <w:r>
              <w:rPr>
                <w:rFonts w:hint="eastAsia" w:ascii="宋体" w:hAnsi="宋体" w:eastAsia="宋体" w:cs="宋体"/>
                <w:color w:val="auto"/>
                <w:sz w:val="24"/>
                <w:szCs w:val="24"/>
              </w:rPr>
              <w:t>结构更加优化，对新能源的依赖度更小。</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问题6</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变频器2024年一季度经营业绩情况及市场预期？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答：</w:t>
            </w:r>
            <w:r>
              <w:rPr>
                <w:rFonts w:hint="eastAsia" w:ascii="宋体" w:hAnsi="宋体" w:eastAsia="宋体" w:cs="宋体"/>
                <w:color w:val="auto"/>
                <w:sz w:val="24"/>
                <w:szCs w:val="24"/>
                <w:lang w:val="en-US" w:eastAsia="zh-CN"/>
              </w:rPr>
              <w:t>2024年一季度变频器销售收入比去年同期有所下降，4月份之后市场回暖。</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市场预期：</w:t>
            </w:r>
            <w:r>
              <w:rPr>
                <w:rFonts w:hint="eastAsia" w:ascii="宋体" w:hAnsi="宋体" w:eastAsia="宋体" w:cs="宋体"/>
                <w:color w:val="auto"/>
                <w:sz w:val="24"/>
                <w:szCs w:val="24"/>
              </w:rPr>
              <w:t>变频器产品</w:t>
            </w:r>
            <w:r>
              <w:rPr>
                <w:rFonts w:hint="eastAsia" w:ascii="宋体" w:hAnsi="宋体" w:eastAsia="宋体" w:cs="宋体"/>
                <w:color w:val="auto"/>
                <w:sz w:val="24"/>
                <w:szCs w:val="24"/>
                <w:lang w:val="en-US" w:eastAsia="zh-CN"/>
              </w:rPr>
              <w:t>预计保持稳定增长</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市场策略：</w:t>
            </w:r>
            <w:r>
              <w:rPr>
                <w:rFonts w:hint="eastAsia" w:ascii="宋体" w:hAnsi="宋体" w:eastAsia="宋体" w:cs="宋体"/>
                <w:b w:val="0"/>
                <w:bCs w:val="0"/>
                <w:color w:val="auto"/>
                <w:sz w:val="24"/>
                <w:szCs w:val="24"/>
                <w:lang w:val="en-US" w:eastAsia="zh-CN"/>
              </w:rPr>
              <w:t>为避免传统下游行业市场不景气带来的业绩下降，</w:t>
            </w:r>
            <w:r>
              <w:rPr>
                <w:rFonts w:hint="eastAsia" w:ascii="宋体" w:hAnsi="宋体" w:eastAsia="宋体" w:cs="宋体"/>
                <w:color w:val="auto"/>
                <w:sz w:val="24"/>
                <w:szCs w:val="24"/>
                <w:lang w:val="en-US" w:eastAsia="zh-CN"/>
              </w:rPr>
              <w:t>2024年变频器产品策略主要是调整传统下游行业市场，开拓新市场，聚焦高端市场、国产设备的改造和替代、永磁同步电机的改造等一系列增量市场，以实现变频器产品的增量增利，变频器增速未来可期。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问题7：储能业务经营业绩情况及市场预期？</w:t>
            </w:r>
          </w:p>
          <w:p>
            <w:pPr>
              <w:keepNext w:val="0"/>
              <w:keepLines w:val="0"/>
              <w:pageBreakBefore w:val="0"/>
              <w:widowControl w:val="0"/>
              <w:kinsoku/>
              <w:wordWrap/>
              <w:overflowPunct/>
              <w:topLinePunct w:val="0"/>
              <w:autoSpaceDE/>
              <w:autoSpaceDN/>
              <w:bidi w:val="0"/>
              <w:adjustRightInd/>
              <w:snapToGrid/>
              <w:spacing w:line="480" w:lineRule="exact"/>
              <w:ind w:firstLine="4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答：</w:t>
            </w:r>
            <w:r>
              <w:rPr>
                <w:rFonts w:hint="eastAsia" w:ascii="宋体" w:hAnsi="宋体" w:eastAsia="宋体" w:cs="宋体"/>
                <w:color w:val="auto"/>
                <w:sz w:val="24"/>
                <w:szCs w:val="24"/>
              </w:rPr>
              <w:t>储能产品，公司主要以自研PCS、BMS、EMS为主，并提供系统集成解决方案</w:t>
            </w:r>
            <w:r>
              <w:rPr>
                <w:rFonts w:hint="eastAsia" w:ascii="宋体" w:hAnsi="宋体" w:eastAsia="宋体" w:cs="宋体"/>
                <w:color w:val="auto"/>
                <w:sz w:val="24"/>
                <w:szCs w:val="24"/>
                <w:lang w:eastAsia="zh-CN"/>
              </w:rPr>
              <w:t>，同时拥有低压升压技术和高压级联技术两种技术</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其中，级联储能产品具有转换效率高、占地面积小、维护成本低等特点，已在煤矿应急电源领域得到广泛应用。此外，公司还提供工商业储能方案（如风冷和液冷方案）、EMS、BMS和P</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S等产品。</w:t>
            </w:r>
          </w:p>
          <w:p>
            <w:pPr>
              <w:keepNext w:val="0"/>
              <w:keepLines w:val="0"/>
              <w:pageBreakBefore w:val="0"/>
              <w:widowControl w:val="0"/>
              <w:kinsoku/>
              <w:wordWrap/>
              <w:overflowPunct/>
              <w:topLinePunct w:val="0"/>
              <w:autoSpaceDE/>
              <w:autoSpaceDN/>
              <w:bidi w:val="0"/>
              <w:adjustRightInd/>
              <w:snapToGrid/>
              <w:spacing w:line="480" w:lineRule="exact"/>
              <w:ind w:firstLine="44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市场预期：</w:t>
            </w:r>
            <w:r>
              <w:rPr>
                <w:rFonts w:hint="eastAsia" w:ascii="宋体" w:hAnsi="宋体" w:eastAsia="宋体" w:cs="宋体"/>
                <w:b w:val="0"/>
                <w:bCs w:val="0"/>
                <w:color w:val="auto"/>
                <w:sz w:val="24"/>
                <w:szCs w:val="24"/>
                <w:lang w:val="en-US" w:eastAsia="zh-CN"/>
              </w:rPr>
              <w:t>2023年储能营收相对较低，今年</w:t>
            </w:r>
            <w:r>
              <w:rPr>
                <w:rFonts w:hint="eastAsia" w:ascii="宋体" w:hAnsi="宋体" w:cs="宋体"/>
                <w:b w:val="0"/>
                <w:bCs w:val="0"/>
                <w:color w:val="auto"/>
                <w:sz w:val="24"/>
                <w:szCs w:val="24"/>
                <w:lang w:val="en-US" w:eastAsia="zh-CN"/>
              </w:rPr>
              <w:t>预计</w:t>
            </w:r>
            <w:r>
              <w:rPr>
                <w:rFonts w:hint="eastAsia" w:ascii="宋体" w:hAnsi="宋体" w:eastAsia="宋体" w:cs="宋体"/>
                <w:color w:val="auto"/>
                <w:sz w:val="24"/>
                <w:szCs w:val="24"/>
                <w:lang w:val="en-US" w:eastAsia="zh-CN"/>
              </w:rPr>
              <w:t>比2023年大幅提高。</w:t>
            </w:r>
          </w:p>
          <w:p>
            <w:pPr>
              <w:keepNext w:val="0"/>
              <w:keepLines w:val="0"/>
              <w:pageBreakBefore w:val="0"/>
              <w:widowControl w:val="0"/>
              <w:kinsoku/>
              <w:wordWrap/>
              <w:overflowPunct/>
              <w:topLinePunct w:val="0"/>
              <w:autoSpaceDE/>
              <w:autoSpaceDN/>
              <w:bidi w:val="0"/>
              <w:adjustRightInd/>
              <w:snapToGrid/>
              <w:spacing w:line="480" w:lineRule="exact"/>
              <w:ind w:firstLine="44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市场策略：</w:t>
            </w:r>
            <w:r>
              <w:rPr>
                <w:rFonts w:hint="eastAsia" w:ascii="宋体" w:hAnsi="宋体" w:eastAsia="宋体" w:cs="宋体"/>
                <w:color w:val="auto"/>
                <w:sz w:val="24"/>
                <w:szCs w:val="24"/>
              </w:rPr>
              <w:t>确定大储、工商</w:t>
            </w:r>
            <w:r>
              <w:rPr>
                <w:rFonts w:hint="eastAsia" w:ascii="宋体" w:hAnsi="宋体" w:eastAsia="宋体" w:cs="宋体"/>
                <w:color w:val="auto"/>
                <w:sz w:val="24"/>
                <w:szCs w:val="24"/>
                <w:lang w:val="en-US" w:eastAsia="zh-CN"/>
              </w:rPr>
              <w:t>业</w:t>
            </w:r>
            <w:r>
              <w:rPr>
                <w:rFonts w:hint="eastAsia" w:ascii="宋体" w:hAnsi="宋体" w:eastAsia="宋体" w:cs="宋体"/>
                <w:color w:val="auto"/>
                <w:sz w:val="24"/>
                <w:szCs w:val="24"/>
              </w:rPr>
              <w:t>储</w:t>
            </w:r>
            <w:r>
              <w:rPr>
                <w:rFonts w:hint="eastAsia" w:ascii="宋体" w:hAnsi="宋体" w:eastAsia="宋体" w:cs="宋体"/>
                <w:color w:val="auto"/>
                <w:sz w:val="24"/>
                <w:szCs w:val="24"/>
                <w:lang w:val="en-US" w:eastAsia="zh-CN"/>
              </w:rPr>
              <w:t>能</w:t>
            </w:r>
            <w:r>
              <w:rPr>
                <w:rFonts w:hint="eastAsia" w:ascii="宋体" w:hAnsi="宋体" w:eastAsia="宋体" w:cs="宋体"/>
                <w:color w:val="auto"/>
                <w:sz w:val="24"/>
                <w:szCs w:val="24"/>
              </w:rPr>
              <w:t>、PCS</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作为战略产品培育，</w:t>
            </w:r>
            <w:r>
              <w:rPr>
                <w:rFonts w:hint="eastAsia" w:ascii="宋体" w:hAnsi="宋体" w:eastAsia="宋体" w:cs="宋体"/>
                <w:color w:val="auto"/>
                <w:sz w:val="24"/>
                <w:szCs w:val="24"/>
                <w:lang w:val="en-US" w:eastAsia="zh-CN"/>
              </w:rPr>
              <w:t>力争做到</w:t>
            </w:r>
            <w:r>
              <w:rPr>
                <w:rFonts w:hint="eastAsia" w:ascii="宋体" w:hAnsi="宋体" w:eastAsia="宋体" w:cs="宋体"/>
                <w:color w:val="auto"/>
                <w:sz w:val="24"/>
                <w:szCs w:val="24"/>
              </w:rPr>
              <w:t>大储有业绩，细分领域储能（矿山应急电源）有特色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PCS放量增长</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公司的优势在于有核心技术，通过提升PCS占比，争取保持合理的毛利率。</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问题8：煤矿业务经营业绩情况及市场预期？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答：</w:t>
            </w:r>
            <w:r>
              <w:rPr>
                <w:rFonts w:hint="eastAsia" w:ascii="宋体" w:hAnsi="宋体" w:eastAsia="宋体" w:cs="宋体"/>
                <w:sz w:val="24"/>
                <w:szCs w:val="24"/>
              </w:rPr>
              <w:t>市场预期将稳定增长。随着煤矿智能化</w:t>
            </w:r>
            <w:r>
              <w:rPr>
                <w:rFonts w:hint="eastAsia" w:ascii="宋体" w:hAnsi="宋体" w:eastAsia="宋体" w:cs="宋体"/>
                <w:sz w:val="24"/>
                <w:szCs w:val="24"/>
                <w:lang w:eastAsia="zh-CN"/>
              </w:rPr>
              <w:t>、</w:t>
            </w:r>
            <w:r>
              <w:rPr>
                <w:rFonts w:hint="eastAsia" w:ascii="宋体" w:hAnsi="宋体" w:eastAsia="宋体" w:cs="宋体"/>
                <w:sz w:val="24"/>
                <w:szCs w:val="24"/>
              </w:rPr>
              <w:t>信息化</w:t>
            </w:r>
            <w:r>
              <w:rPr>
                <w:rFonts w:hint="eastAsia" w:ascii="宋体" w:hAnsi="宋体" w:eastAsia="宋体" w:cs="宋体"/>
                <w:sz w:val="24"/>
                <w:szCs w:val="24"/>
                <w:lang w:eastAsia="zh-CN"/>
              </w:rPr>
              <w:t>、</w:t>
            </w:r>
            <w:r>
              <w:rPr>
                <w:rFonts w:hint="eastAsia" w:ascii="宋体" w:hAnsi="宋体" w:eastAsia="宋体" w:cs="宋体"/>
                <w:sz w:val="24"/>
                <w:szCs w:val="24"/>
              </w:rPr>
              <w:t>高端化投入，矿用产品市场需求会稳步增长，加之集团</w:t>
            </w:r>
            <w:r>
              <w:rPr>
                <w:rFonts w:hint="eastAsia" w:ascii="宋体" w:hAnsi="宋体" w:eastAsia="宋体" w:cs="宋体"/>
                <w:sz w:val="24"/>
                <w:szCs w:val="24"/>
                <w:lang w:val="en-US" w:eastAsia="zh-CN"/>
              </w:rPr>
              <w:t>公司</w:t>
            </w:r>
            <w:r>
              <w:rPr>
                <w:rFonts w:hint="eastAsia" w:ascii="宋体" w:hAnsi="宋体" w:eastAsia="宋体" w:cs="宋体"/>
                <w:sz w:val="24"/>
                <w:szCs w:val="24"/>
              </w:rPr>
              <w:t>内部协同，可以维持现有毛利率水平，不会有大变化。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问题9：海外市场经营业绩情况及市场预期？</w:t>
            </w:r>
          </w:p>
          <w:p>
            <w:pPr>
              <w:keepNext w:val="0"/>
              <w:keepLines w:val="0"/>
              <w:pageBreakBefore w:val="0"/>
              <w:widowControl w:val="0"/>
              <w:kinsoku/>
              <w:wordWrap/>
              <w:overflowPunct/>
              <w:topLinePunct w:val="0"/>
              <w:autoSpaceDE/>
              <w:autoSpaceDN/>
              <w:bidi w:val="0"/>
              <w:adjustRightInd/>
              <w:snapToGrid/>
              <w:spacing w:line="480" w:lineRule="exact"/>
              <w:ind w:firstLine="440"/>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答：</w:t>
            </w:r>
            <w:r>
              <w:rPr>
                <w:rFonts w:hint="eastAsia" w:ascii="宋体" w:hAnsi="宋体" w:eastAsia="宋体" w:cs="宋体"/>
                <w:b w:val="0"/>
                <w:bCs w:val="0"/>
                <w:color w:val="auto"/>
                <w:sz w:val="24"/>
                <w:szCs w:val="24"/>
                <w:lang w:val="en-US" w:eastAsia="zh-CN"/>
              </w:rPr>
              <w:t>2023年是公司海外业务元年，2024年预期</w:t>
            </w:r>
            <w:r>
              <w:rPr>
                <w:rFonts w:hint="eastAsia" w:ascii="宋体" w:hAnsi="宋体" w:eastAsia="宋体" w:cs="宋体"/>
                <w:color w:val="auto"/>
                <w:sz w:val="24"/>
                <w:szCs w:val="24"/>
                <w:lang w:val="en-US" w:eastAsia="zh-CN"/>
              </w:rPr>
              <w:t>比2023年将有较快增长。经调研，SVG海外市场需求较大，业务预期增长好。公司通过</w:t>
            </w:r>
            <w:r>
              <w:rPr>
                <w:rFonts w:hint="eastAsia" w:ascii="宋体" w:hAnsi="宋体" w:eastAsia="宋体" w:cs="宋体"/>
                <w:color w:val="auto"/>
                <w:sz w:val="24"/>
                <w:szCs w:val="24"/>
              </w:rPr>
              <w:t>不断增加海外人员、建立可靠合作伙伴，</w:t>
            </w:r>
            <w:r>
              <w:rPr>
                <w:rFonts w:hint="eastAsia" w:ascii="宋体" w:hAnsi="宋体" w:eastAsia="宋体" w:cs="宋体"/>
                <w:color w:val="auto"/>
                <w:sz w:val="24"/>
                <w:szCs w:val="24"/>
                <w:lang w:val="en-US" w:eastAsia="zh-CN"/>
              </w:rPr>
              <w:t>公司已与包括南亚、东南亚、中亚、南美、欧洲等10多个国家建立合作关系，出口产品主要是SVG、变频器、防爆产品、储能。</w:t>
            </w:r>
          </w:p>
          <w:p>
            <w:pPr>
              <w:spacing w:line="480" w:lineRule="exact"/>
              <w:ind w:firstLine="480" w:firstLineChars="200"/>
              <w:rPr>
                <w:rFonts w:ascii="宋体" w:hAnsi="宋体" w:cs="宋体"/>
                <w:sz w:val="24"/>
                <w:szCs w:val="24"/>
              </w:rPr>
            </w:pPr>
            <w:r>
              <w:rPr>
                <w:rFonts w:hint="eastAsia" w:ascii="宋体" w:hAnsi="宋体" w:cs="宋体"/>
                <w:sz w:val="24"/>
                <w:szCs w:val="24"/>
              </w:rPr>
              <w:t>目前销售模式主要是通过和代理方、总包方合作、直销等销售方式。发展规划：为发展海外业务，公司已建立了短中长期发展规划，今年海外业务预计签单2亿元，短期目标5个亿，长期目标海外市场支撑公司1/3的业绩。</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问题10</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公司如何看待股价表现及市场对其估值较低的问题</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公司是否有分红计划</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股权激励计划？</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答：</w:t>
            </w:r>
            <w:r>
              <w:rPr>
                <w:rFonts w:hint="eastAsia" w:ascii="宋体" w:hAnsi="宋体" w:eastAsia="宋体" w:cs="宋体"/>
                <w:color w:val="auto"/>
                <w:sz w:val="24"/>
                <w:szCs w:val="24"/>
              </w:rPr>
              <w:t>公司注意到当前市场环境和新能源行业的低估值对公司造成了估值严重偏离内在价值的情况。为此，公司积极响应国资委的要求，正在制定价值管理方案，力求更好地体现公司的内在价值。</w:t>
            </w:r>
            <w:r>
              <w:rPr>
                <w:rFonts w:hint="eastAsia" w:ascii="宋体" w:hAnsi="宋体" w:eastAsia="宋体" w:cs="宋体"/>
                <w:color w:val="auto"/>
                <w:sz w:val="24"/>
                <w:szCs w:val="24"/>
                <w:lang w:val="en-US" w:eastAsia="zh-CN"/>
              </w:rPr>
              <w:t>近年来，公司每年分红比例均不低于当年净利润的40%。为积极回报投资者，未来公司将进一步提高分红比例，确保每年分红不低于当年净利润的50%。为进一步健全公司长效激励机制，充分调动员工的积极性，公司拟实施</w:t>
            </w:r>
            <w:r>
              <w:rPr>
                <w:rFonts w:hint="eastAsia" w:ascii="宋体" w:hAnsi="宋体" w:cs="宋体"/>
                <w:color w:val="auto"/>
                <w:sz w:val="24"/>
                <w:szCs w:val="24"/>
                <w:lang w:val="en-US" w:eastAsia="zh-CN"/>
              </w:rPr>
              <w:t>第二期（</w:t>
            </w:r>
            <w:r>
              <w:rPr>
                <w:rFonts w:hint="eastAsia" w:ascii="宋体" w:hAnsi="宋体" w:eastAsia="宋体" w:cs="宋体"/>
                <w:color w:val="auto"/>
                <w:sz w:val="24"/>
                <w:szCs w:val="24"/>
                <w:lang w:val="en-US" w:eastAsia="zh-CN"/>
              </w:rPr>
              <w:t>2025年—2027年</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股权激励计划。</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问题11：公司提请股东大会授权的简易程序定增，主要用于什么项目，是否有具体时间安排？</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答：根据《上市公司证券发行注册管理办法》“上市公司年度股东大会可以根据公司章程的规定，授权董事会决定向特定对象发行融资总额不超过人民币三亿元且不超过最近一年末净资产百分之二十的股票，该项授权在下一年度股东大会召开日失效。”本次审议不超过3个亿的简易程序定增事项符合法律法规的要求，且目前仅为取得股东大会授权，暂无具体的时间安排，简易程序定增所募集资金将主要用于公司主营业务相关的项目。本次取得简易程序定增授权主要是考虑到公司的战略发展布局，在公司保持内生增长的同时，需要不断推动公司产业链上下游延伸，以外延式的发展来提高公司的行业地位和核心竞争力，增厚公司收益。后续如果实施需公司董事会进一步制定方案并进行审议，公司将严格按照法律法规的要求，及时履行必要的审议程序及信息披露义务。</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问题12：作为国有控股企业，公司今年是否披露ESG报告？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hd w:val="clear" w:color="auto" w:fill="FFFFFF"/>
                <w:lang w:bidi="ar"/>
              </w:rPr>
            </w:pPr>
            <w:r>
              <w:rPr>
                <w:rFonts w:hint="eastAsia" w:ascii="宋体" w:hAnsi="宋体" w:eastAsia="宋体" w:cs="宋体"/>
                <w:b w:val="0"/>
                <w:bCs w:val="0"/>
                <w:color w:val="auto"/>
                <w:sz w:val="24"/>
                <w:szCs w:val="24"/>
                <w:lang w:val="en-US" w:eastAsia="zh-CN"/>
              </w:rPr>
              <w:t>答：</w:t>
            </w:r>
            <w:r>
              <w:rPr>
                <w:rFonts w:hint="eastAsia" w:ascii="宋体" w:hAnsi="宋体" w:eastAsia="宋体" w:cs="宋体"/>
                <w:bCs/>
                <w:sz w:val="24"/>
                <w:szCs w:val="22"/>
              </w:rPr>
              <w:t>为响应国家政策，助力完成“双碳”总体目标，突出环境、社会责任、公司治理绩效的价值理念，公司董事会编制了《2023</w:t>
            </w:r>
            <w:r>
              <w:rPr>
                <w:rFonts w:hint="eastAsia" w:ascii="宋体" w:hAnsi="宋体" w:eastAsia="宋体" w:cs="宋体"/>
                <w:bCs/>
                <w:sz w:val="24"/>
                <w:szCs w:val="22"/>
                <w:lang w:val="en-US" w:eastAsia="zh-CN"/>
              </w:rPr>
              <w:t>年</w:t>
            </w:r>
            <w:r>
              <w:rPr>
                <w:rFonts w:hint="eastAsia" w:ascii="宋体" w:hAnsi="宋体" w:eastAsia="宋体" w:cs="宋体"/>
                <w:bCs/>
                <w:sz w:val="24"/>
                <w:szCs w:val="22"/>
              </w:rPr>
              <w:t>ESG报告》，</w:t>
            </w:r>
            <w:bookmarkStart w:id="0" w:name="_GoBack"/>
            <w:bookmarkEnd w:id="0"/>
            <w:r>
              <w:rPr>
                <w:rFonts w:hint="eastAsia" w:ascii="宋体" w:hAnsi="宋体" w:eastAsia="宋体" w:cs="宋体"/>
                <w:bCs/>
                <w:sz w:val="24"/>
                <w:szCs w:val="22"/>
                <w:lang w:val="en-US" w:eastAsia="zh-CN"/>
              </w:rPr>
              <w:t>并于4月26日在上海证券交易所网站披露。</w:t>
            </w:r>
            <w:r>
              <w:rPr>
                <w:rFonts w:hint="eastAsia" w:ascii="宋体" w:hAnsi="宋体" w:eastAsia="宋体" w:cs="宋体"/>
                <w:bCs/>
                <w:sz w:val="24"/>
                <w:szCs w:val="22"/>
              </w:rPr>
              <w:t>报告对公司202</w:t>
            </w:r>
            <w:r>
              <w:rPr>
                <w:rFonts w:hint="eastAsia" w:ascii="宋体" w:hAnsi="宋体" w:eastAsia="宋体" w:cs="宋体"/>
                <w:bCs/>
                <w:sz w:val="24"/>
                <w:szCs w:val="22"/>
                <w:lang w:val="en-US" w:eastAsia="zh-CN"/>
              </w:rPr>
              <w:t>3</w:t>
            </w:r>
            <w:r>
              <w:rPr>
                <w:rFonts w:hint="eastAsia" w:ascii="宋体" w:hAnsi="宋体" w:eastAsia="宋体" w:cs="宋体"/>
                <w:bCs/>
                <w:sz w:val="24"/>
                <w:szCs w:val="22"/>
              </w:rPr>
              <w:t>年度在股东、职工、供应商、客户监管层等利益相关方权益保护、环境保护、节能减排、社会公益等方面所做工作进行了详细阐述。</w:t>
            </w:r>
            <w:r>
              <w:rPr>
                <w:rFonts w:hint="eastAsia" w:ascii="宋体" w:hAnsi="宋体" w:eastAsia="宋体" w:cs="宋体"/>
                <w:bCs/>
                <w:sz w:val="24"/>
                <w:szCs w:val="22"/>
                <w:lang w:val="en-US" w:eastAsia="zh-CN"/>
              </w:rPr>
              <w:t>公司</w:t>
            </w:r>
            <w:r>
              <w:rPr>
                <w:rFonts w:hint="eastAsia" w:ascii="宋体" w:hAnsi="宋体" w:eastAsia="宋体" w:cs="宋体"/>
                <w:kern w:val="0"/>
                <w:sz w:val="24"/>
                <w:shd w:val="clear" w:color="auto" w:fill="FFFFFF"/>
                <w:lang w:val="en-US" w:eastAsia="zh-CN" w:bidi="ar"/>
              </w:rPr>
              <w:t>将</w:t>
            </w:r>
            <w:r>
              <w:rPr>
                <w:rFonts w:hint="eastAsia" w:ascii="宋体" w:hAnsi="宋体" w:eastAsia="宋体" w:cs="宋体"/>
                <w:kern w:val="0"/>
                <w:sz w:val="24"/>
                <w:shd w:val="clear" w:color="auto" w:fill="FFFFFF"/>
                <w:lang w:bidi="ar"/>
              </w:rPr>
              <w:t>ESG理念融入公司治理实践，全面考量环境、社会和治理因素，并积极采取实际措施，推动企业走向更加绿色、和谐、可持续的未来。</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kern w:val="0"/>
                <w:sz w:val="24"/>
                <w:shd w:val="clear" w:color="auto" w:fill="FFFFFF"/>
                <w:lang w:val="en-US" w:eastAsia="zh-CN" w:bidi="ar"/>
              </w:rPr>
            </w:pPr>
            <w:r>
              <w:rPr>
                <w:rFonts w:hint="eastAsia" w:ascii="宋体" w:hAnsi="宋体" w:eastAsia="宋体" w:cs="宋体"/>
                <w:b/>
                <w:bCs/>
                <w:kern w:val="0"/>
                <w:sz w:val="24"/>
                <w:shd w:val="clear" w:color="auto" w:fill="FFFFFF"/>
                <w:lang w:val="en-US" w:eastAsia="zh-CN" w:bidi="ar"/>
              </w:rPr>
              <w:t>问题13：2023年公司管理层推行了哪些业务变革？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hd w:val="clear" w:color="auto" w:fill="FFFFFF"/>
                <w:lang w:val="en-US" w:eastAsia="zh-CN" w:bidi="ar"/>
              </w:rPr>
            </w:pPr>
            <w:r>
              <w:rPr>
                <w:rFonts w:hint="eastAsia" w:ascii="宋体" w:hAnsi="宋体" w:eastAsia="宋体" w:cs="宋体"/>
                <w:b w:val="0"/>
                <w:bCs w:val="0"/>
                <w:kern w:val="0"/>
                <w:sz w:val="24"/>
                <w:shd w:val="clear" w:color="auto" w:fill="FFFFFF"/>
                <w:lang w:val="en-US" w:eastAsia="zh-CN" w:bidi="ar"/>
              </w:rPr>
              <w:t>答：2023年，公司强力推进业务变革，持续提高组织业务绩效，增强组织发展活力。</w:t>
            </w:r>
            <w:r>
              <w:rPr>
                <w:rFonts w:hint="eastAsia" w:ascii="宋体" w:hAnsi="宋体" w:eastAsia="宋体" w:cs="宋体"/>
                <w:b/>
                <w:bCs/>
                <w:kern w:val="0"/>
                <w:sz w:val="24"/>
                <w:shd w:val="clear" w:color="auto" w:fill="FFFFFF"/>
                <w:lang w:val="en-US" w:eastAsia="zh-CN" w:bidi="ar"/>
              </w:rPr>
              <w:t>一是</w:t>
            </w:r>
            <w:r>
              <w:rPr>
                <w:rFonts w:hint="eastAsia" w:ascii="宋体" w:hAnsi="宋体" w:eastAsia="宋体" w:cs="宋体"/>
                <w:b w:val="0"/>
                <w:bCs w:val="0"/>
                <w:kern w:val="0"/>
                <w:sz w:val="24"/>
                <w:shd w:val="clear" w:color="auto" w:fill="FFFFFF"/>
                <w:lang w:val="en-US" w:eastAsia="zh-CN" w:bidi="ar"/>
              </w:rPr>
              <w:t>推进供应链S&amp;OP变革。成立供应链、市场、技术研发的业务一体化协同设计、流程再造变革专项，打造流程型组织，构建高效柔性供应链。通过业务变革，供应链实现产值和交付能力新突破。</w:t>
            </w:r>
            <w:r>
              <w:rPr>
                <w:rFonts w:hint="eastAsia" w:ascii="宋体" w:hAnsi="宋体" w:eastAsia="宋体" w:cs="宋体"/>
                <w:b/>
                <w:bCs/>
                <w:kern w:val="0"/>
                <w:sz w:val="24"/>
                <w:shd w:val="clear" w:color="auto" w:fill="FFFFFF"/>
                <w:lang w:val="en-US" w:eastAsia="zh-CN" w:bidi="ar"/>
              </w:rPr>
              <w:t>二是</w:t>
            </w:r>
            <w:r>
              <w:rPr>
                <w:rFonts w:hint="eastAsia" w:ascii="宋体" w:hAnsi="宋体" w:eastAsia="宋体" w:cs="宋体"/>
                <w:b w:val="0"/>
                <w:bCs w:val="0"/>
                <w:kern w:val="0"/>
                <w:sz w:val="24"/>
                <w:shd w:val="clear" w:color="auto" w:fill="FFFFFF"/>
                <w:lang w:val="en-US" w:eastAsia="zh-CN" w:bidi="ar"/>
              </w:rPr>
              <w:t>推进产品IPD变革。以客户需求为导向，规范开发流程和步骤，实施跨部门协同开发，缩短了产品开发周期，保证产品高质量大规模交付。</w:t>
            </w:r>
            <w:r>
              <w:rPr>
                <w:rFonts w:hint="eastAsia" w:ascii="宋体" w:hAnsi="宋体" w:eastAsia="宋体" w:cs="宋体"/>
                <w:b/>
                <w:bCs/>
                <w:kern w:val="0"/>
                <w:sz w:val="24"/>
                <w:shd w:val="clear" w:color="auto" w:fill="FFFFFF"/>
                <w:lang w:val="en-US" w:eastAsia="zh-CN" w:bidi="ar"/>
              </w:rPr>
              <w:t>三是</w:t>
            </w:r>
            <w:r>
              <w:rPr>
                <w:rFonts w:hint="eastAsia" w:ascii="宋体" w:hAnsi="宋体" w:eastAsia="宋体" w:cs="宋体"/>
                <w:b w:val="0"/>
                <w:bCs w:val="0"/>
                <w:kern w:val="0"/>
                <w:sz w:val="24"/>
                <w:shd w:val="clear" w:color="auto" w:fill="FFFFFF"/>
                <w:lang w:val="en-US" w:eastAsia="zh-CN" w:bidi="ar"/>
              </w:rPr>
              <w:t>推进营销LTC变革。梳理并再造销售流程，并且把合适的销售方法、销售理念等嵌入到流程当中，推动整个销售体系升级。</w:t>
            </w:r>
            <w:r>
              <w:rPr>
                <w:rFonts w:hint="eastAsia" w:ascii="宋体" w:hAnsi="宋体" w:eastAsia="宋体" w:cs="宋体"/>
                <w:b/>
                <w:bCs/>
                <w:kern w:val="0"/>
                <w:sz w:val="24"/>
                <w:shd w:val="clear" w:color="auto" w:fill="FFFFFF"/>
                <w:lang w:val="en-US" w:eastAsia="zh-CN" w:bidi="ar"/>
              </w:rPr>
              <w:t>四是</w:t>
            </w:r>
            <w:r>
              <w:rPr>
                <w:rFonts w:hint="eastAsia" w:ascii="宋体" w:hAnsi="宋体" w:eastAsia="宋体" w:cs="宋体"/>
                <w:b w:val="0"/>
                <w:bCs w:val="0"/>
                <w:kern w:val="0"/>
                <w:sz w:val="24"/>
                <w:shd w:val="clear" w:color="auto" w:fill="FFFFFF"/>
                <w:lang w:val="en-US" w:eastAsia="zh-CN" w:bidi="ar"/>
              </w:rPr>
              <w:t>推进服务ITR变革。以客户问题为中心，围绕着快速高效解决问题，提升客户满意度，推进服务的全面变革与转型，使得服务更清晰、更高效。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关于本次活动是否涉及应当披露重大信息的说明</w:t>
            </w:r>
          </w:p>
        </w:tc>
        <w:tc>
          <w:tcPr>
            <w:tcW w:w="3863"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本次活动不涉及应当披露重大信息。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附件清单（如有）</w:t>
            </w:r>
          </w:p>
        </w:tc>
        <w:tc>
          <w:tcPr>
            <w:tcW w:w="3863"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日期</w:t>
            </w:r>
          </w:p>
        </w:tc>
        <w:tc>
          <w:tcPr>
            <w:tcW w:w="3863" w:type="pct"/>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202</w:t>
            </w:r>
            <w:r>
              <w:rPr>
                <w:rFonts w:hint="eastAsia" w:ascii="宋体" w:hAnsi="宋体" w:eastAsia="宋体" w:cs="宋体"/>
                <w:bCs/>
                <w:iCs/>
                <w:color w:val="000000"/>
                <w:sz w:val="24"/>
                <w:szCs w:val="24"/>
                <w:lang w:val="en-US" w:eastAsia="zh-CN"/>
              </w:rPr>
              <w:t>4</w:t>
            </w:r>
            <w:r>
              <w:rPr>
                <w:rFonts w:hint="eastAsia" w:ascii="宋体" w:hAnsi="宋体" w:eastAsia="宋体" w:cs="宋体"/>
                <w:bCs/>
                <w:iCs/>
                <w:color w:val="000000"/>
                <w:sz w:val="24"/>
                <w:szCs w:val="24"/>
              </w:rPr>
              <w:t>年</w:t>
            </w:r>
            <w:r>
              <w:rPr>
                <w:rFonts w:hint="eastAsia" w:ascii="宋体" w:hAnsi="宋体" w:eastAsia="宋体" w:cs="宋体"/>
                <w:bCs/>
                <w:iCs/>
                <w:color w:val="000000"/>
                <w:sz w:val="24"/>
                <w:szCs w:val="24"/>
                <w:lang w:val="en-US" w:eastAsia="zh-CN"/>
              </w:rPr>
              <w:t>4</w:t>
            </w:r>
            <w:r>
              <w:rPr>
                <w:rFonts w:hint="eastAsia" w:ascii="宋体" w:hAnsi="宋体" w:eastAsia="宋体" w:cs="宋体"/>
                <w:bCs/>
                <w:iCs/>
                <w:color w:val="000000"/>
                <w:sz w:val="24"/>
                <w:szCs w:val="24"/>
              </w:rPr>
              <w:t>月</w:t>
            </w:r>
            <w:r>
              <w:rPr>
                <w:rFonts w:hint="eastAsia" w:ascii="宋体" w:hAnsi="宋体" w:eastAsia="宋体" w:cs="宋体"/>
                <w:bCs/>
                <w:iCs/>
                <w:color w:val="000000"/>
                <w:sz w:val="24"/>
                <w:szCs w:val="24"/>
                <w:lang w:val="en-US" w:eastAsia="zh-CN"/>
              </w:rPr>
              <w:t>30</w:t>
            </w:r>
            <w:r>
              <w:rPr>
                <w:rFonts w:hint="eastAsia" w:ascii="宋体" w:hAnsi="宋体" w:eastAsia="宋体" w:cs="宋体"/>
                <w:bCs/>
                <w:iCs/>
                <w:color w:val="000000"/>
                <w:sz w:val="24"/>
                <w:szCs w:val="24"/>
              </w:rPr>
              <w:t>日</w:t>
            </w:r>
          </w:p>
        </w:tc>
      </w:tr>
    </w:tbl>
    <w:p>
      <w:pPr>
        <w:rPr>
          <w:rFonts w:ascii="宋体" w:hAnsi="宋体"/>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ZmM1YWY1NmIyMzczYzcwNjEzN2ZjMTExMTUyNTIifQ=="/>
  </w:docVars>
  <w:rsids>
    <w:rsidRoot w:val="00182BFA"/>
    <w:rsid w:val="0003348C"/>
    <w:rsid w:val="00042ACC"/>
    <w:rsid w:val="00066122"/>
    <w:rsid w:val="000717AF"/>
    <w:rsid w:val="00076B12"/>
    <w:rsid w:val="00086590"/>
    <w:rsid w:val="000B2794"/>
    <w:rsid w:val="000B5782"/>
    <w:rsid w:val="000D1541"/>
    <w:rsid w:val="00100C69"/>
    <w:rsid w:val="001012D7"/>
    <w:rsid w:val="001227F1"/>
    <w:rsid w:val="001356FE"/>
    <w:rsid w:val="001624F1"/>
    <w:rsid w:val="00171E70"/>
    <w:rsid w:val="00182BFA"/>
    <w:rsid w:val="00183A2F"/>
    <w:rsid w:val="001A3A52"/>
    <w:rsid w:val="001A7871"/>
    <w:rsid w:val="001B0E55"/>
    <w:rsid w:val="001C310A"/>
    <w:rsid w:val="001F641E"/>
    <w:rsid w:val="0020245B"/>
    <w:rsid w:val="00205C85"/>
    <w:rsid w:val="00217D55"/>
    <w:rsid w:val="00226040"/>
    <w:rsid w:val="0022734C"/>
    <w:rsid w:val="00235611"/>
    <w:rsid w:val="00256615"/>
    <w:rsid w:val="0026676B"/>
    <w:rsid w:val="002A5CCE"/>
    <w:rsid w:val="002C2B8C"/>
    <w:rsid w:val="002D7513"/>
    <w:rsid w:val="002E43A4"/>
    <w:rsid w:val="00304F66"/>
    <w:rsid w:val="00306C11"/>
    <w:rsid w:val="003114D0"/>
    <w:rsid w:val="00317F1E"/>
    <w:rsid w:val="00322224"/>
    <w:rsid w:val="00334813"/>
    <w:rsid w:val="003871FC"/>
    <w:rsid w:val="003A3ED4"/>
    <w:rsid w:val="003A754B"/>
    <w:rsid w:val="003D79B7"/>
    <w:rsid w:val="004034F7"/>
    <w:rsid w:val="0045101D"/>
    <w:rsid w:val="00456ECA"/>
    <w:rsid w:val="00461980"/>
    <w:rsid w:val="00477ED1"/>
    <w:rsid w:val="00493A26"/>
    <w:rsid w:val="00497917"/>
    <w:rsid w:val="004C3591"/>
    <w:rsid w:val="004E4CDD"/>
    <w:rsid w:val="004E6995"/>
    <w:rsid w:val="004F7EB8"/>
    <w:rsid w:val="0050638A"/>
    <w:rsid w:val="00506BEB"/>
    <w:rsid w:val="00512A4C"/>
    <w:rsid w:val="00522CF3"/>
    <w:rsid w:val="00524DF0"/>
    <w:rsid w:val="00536C2E"/>
    <w:rsid w:val="00540F9A"/>
    <w:rsid w:val="005869C6"/>
    <w:rsid w:val="00592D75"/>
    <w:rsid w:val="005B0726"/>
    <w:rsid w:val="005C3743"/>
    <w:rsid w:val="005D3C5B"/>
    <w:rsid w:val="005E6BC2"/>
    <w:rsid w:val="005F006E"/>
    <w:rsid w:val="005F3570"/>
    <w:rsid w:val="00600CAB"/>
    <w:rsid w:val="00600FF6"/>
    <w:rsid w:val="00605AC9"/>
    <w:rsid w:val="00611B67"/>
    <w:rsid w:val="00611D4B"/>
    <w:rsid w:val="00643773"/>
    <w:rsid w:val="00656F51"/>
    <w:rsid w:val="006644CD"/>
    <w:rsid w:val="00665A94"/>
    <w:rsid w:val="006663B8"/>
    <w:rsid w:val="006810A8"/>
    <w:rsid w:val="00681EF4"/>
    <w:rsid w:val="006939AE"/>
    <w:rsid w:val="0069689A"/>
    <w:rsid w:val="006B50FC"/>
    <w:rsid w:val="006C4BB6"/>
    <w:rsid w:val="006D4004"/>
    <w:rsid w:val="006E2C2B"/>
    <w:rsid w:val="006E3AF5"/>
    <w:rsid w:val="006E3E9A"/>
    <w:rsid w:val="0072633E"/>
    <w:rsid w:val="00737031"/>
    <w:rsid w:val="007407C1"/>
    <w:rsid w:val="007513B1"/>
    <w:rsid w:val="00790C94"/>
    <w:rsid w:val="00792B27"/>
    <w:rsid w:val="007B3A16"/>
    <w:rsid w:val="007C3BEC"/>
    <w:rsid w:val="007C512D"/>
    <w:rsid w:val="007D02CD"/>
    <w:rsid w:val="00815DCB"/>
    <w:rsid w:val="00836CC3"/>
    <w:rsid w:val="00852DF7"/>
    <w:rsid w:val="008654E9"/>
    <w:rsid w:val="008706C8"/>
    <w:rsid w:val="00871D07"/>
    <w:rsid w:val="008A7CDD"/>
    <w:rsid w:val="008B0AA9"/>
    <w:rsid w:val="008B45BC"/>
    <w:rsid w:val="00945CDC"/>
    <w:rsid w:val="00946770"/>
    <w:rsid w:val="00974E1C"/>
    <w:rsid w:val="00977587"/>
    <w:rsid w:val="00986D54"/>
    <w:rsid w:val="009944FC"/>
    <w:rsid w:val="009B6DF7"/>
    <w:rsid w:val="009E022A"/>
    <w:rsid w:val="009E3240"/>
    <w:rsid w:val="00A22679"/>
    <w:rsid w:val="00A25F8E"/>
    <w:rsid w:val="00A37EB0"/>
    <w:rsid w:val="00A417CB"/>
    <w:rsid w:val="00A630E4"/>
    <w:rsid w:val="00A80301"/>
    <w:rsid w:val="00AB5369"/>
    <w:rsid w:val="00AC150E"/>
    <w:rsid w:val="00AC26E2"/>
    <w:rsid w:val="00AC2DBC"/>
    <w:rsid w:val="00AD15E4"/>
    <w:rsid w:val="00AD22F6"/>
    <w:rsid w:val="00B033F0"/>
    <w:rsid w:val="00B11D80"/>
    <w:rsid w:val="00B14032"/>
    <w:rsid w:val="00B56F5C"/>
    <w:rsid w:val="00B67A2F"/>
    <w:rsid w:val="00B94414"/>
    <w:rsid w:val="00BE08ED"/>
    <w:rsid w:val="00BE2B60"/>
    <w:rsid w:val="00C031A2"/>
    <w:rsid w:val="00C21825"/>
    <w:rsid w:val="00C44C2C"/>
    <w:rsid w:val="00C525E7"/>
    <w:rsid w:val="00C54BD7"/>
    <w:rsid w:val="00C665AE"/>
    <w:rsid w:val="00C66F0E"/>
    <w:rsid w:val="00C97EA1"/>
    <w:rsid w:val="00CB1718"/>
    <w:rsid w:val="00CB28C5"/>
    <w:rsid w:val="00CB6706"/>
    <w:rsid w:val="00CD233B"/>
    <w:rsid w:val="00CF3548"/>
    <w:rsid w:val="00CF76EE"/>
    <w:rsid w:val="00D02AAC"/>
    <w:rsid w:val="00D02D0B"/>
    <w:rsid w:val="00D03C54"/>
    <w:rsid w:val="00D4300A"/>
    <w:rsid w:val="00D52AD4"/>
    <w:rsid w:val="00D5771B"/>
    <w:rsid w:val="00D64233"/>
    <w:rsid w:val="00D868C0"/>
    <w:rsid w:val="00DA2257"/>
    <w:rsid w:val="00DD1EAE"/>
    <w:rsid w:val="00DD57FD"/>
    <w:rsid w:val="00DD7D97"/>
    <w:rsid w:val="00DE737F"/>
    <w:rsid w:val="00DF26D6"/>
    <w:rsid w:val="00E12E82"/>
    <w:rsid w:val="00E27DD4"/>
    <w:rsid w:val="00E405FA"/>
    <w:rsid w:val="00E40E0A"/>
    <w:rsid w:val="00E613D6"/>
    <w:rsid w:val="00E769E5"/>
    <w:rsid w:val="00E844F1"/>
    <w:rsid w:val="00E84814"/>
    <w:rsid w:val="00E85CCA"/>
    <w:rsid w:val="00E9421F"/>
    <w:rsid w:val="00EA118C"/>
    <w:rsid w:val="00EA1417"/>
    <w:rsid w:val="00EA3E61"/>
    <w:rsid w:val="00ED08F3"/>
    <w:rsid w:val="00ED6FC0"/>
    <w:rsid w:val="00F02A20"/>
    <w:rsid w:val="00F04564"/>
    <w:rsid w:val="00F11F74"/>
    <w:rsid w:val="00F12A98"/>
    <w:rsid w:val="00F23426"/>
    <w:rsid w:val="00F423B1"/>
    <w:rsid w:val="00F46927"/>
    <w:rsid w:val="00F539B0"/>
    <w:rsid w:val="00FA2635"/>
    <w:rsid w:val="00FB4019"/>
    <w:rsid w:val="00FC1009"/>
    <w:rsid w:val="00FC7536"/>
    <w:rsid w:val="00FD7F72"/>
    <w:rsid w:val="00FE0CFF"/>
    <w:rsid w:val="01514167"/>
    <w:rsid w:val="016A6CA4"/>
    <w:rsid w:val="02300221"/>
    <w:rsid w:val="023A2E4D"/>
    <w:rsid w:val="02F76F90"/>
    <w:rsid w:val="037979A5"/>
    <w:rsid w:val="03FE4C3A"/>
    <w:rsid w:val="046706CE"/>
    <w:rsid w:val="04D035F5"/>
    <w:rsid w:val="05092FAB"/>
    <w:rsid w:val="052878D5"/>
    <w:rsid w:val="05353DA0"/>
    <w:rsid w:val="053B7608"/>
    <w:rsid w:val="05A30D20"/>
    <w:rsid w:val="064578CD"/>
    <w:rsid w:val="06557B75"/>
    <w:rsid w:val="06602727"/>
    <w:rsid w:val="066F5090"/>
    <w:rsid w:val="06FA704F"/>
    <w:rsid w:val="0753050D"/>
    <w:rsid w:val="07750484"/>
    <w:rsid w:val="078828AD"/>
    <w:rsid w:val="08B8352A"/>
    <w:rsid w:val="08C01BD2"/>
    <w:rsid w:val="08F55D20"/>
    <w:rsid w:val="09032566"/>
    <w:rsid w:val="094D790A"/>
    <w:rsid w:val="099217C1"/>
    <w:rsid w:val="0A40746F"/>
    <w:rsid w:val="0A7E1515"/>
    <w:rsid w:val="0ABE495C"/>
    <w:rsid w:val="0B7F3FC7"/>
    <w:rsid w:val="0C5A4558"/>
    <w:rsid w:val="0C71390F"/>
    <w:rsid w:val="0C9E401A"/>
    <w:rsid w:val="0CBA3508"/>
    <w:rsid w:val="0D224C0A"/>
    <w:rsid w:val="0D731909"/>
    <w:rsid w:val="0DAB0DF4"/>
    <w:rsid w:val="0DD028B8"/>
    <w:rsid w:val="0DF742E8"/>
    <w:rsid w:val="0E5D61BC"/>
    <w:rsid w:val="0EB60846"/>
    <w:rsid w:val="0F032819"/>
    <w:rsid w:val="104135F9"/>
    <w:rsid w:val="105D7F76"/>
    <w:rsid w:val="111C19B9"/>
    <w:rsid w:val="112E0021"/>
    <w:rsid w:val="116B48D8"/>
    <w:rsid w:val="11B12A00"/>
    <w:rsid w:val="11D0732A"/>
    <w:rsid w:val="122A6AD8"/>
    <w:rsid w:val="12C549B5"/>
    <w:rsid w:val="133752AE"/>
    <w:rsid w:val="13710699"/>
    <w:rsid w:val="14186D67"/>
    <w:rsid w:val="14C559AC"/>
    <w:rsid w:val="154055FA"/>
    <w:rsid w:val="155710D8"/>
    <w:rsid w:val="15657D89"/>
    <w:rsid w:val="15B66837"/>
    <w:rsid w:val="15BC3D32"/>
    <w:rsid w:val="15DE2153"/>
    <w:rsid w:val="16061BE5"/>
    <w:rsid w:val="164C2CF7"/>
    <w:rsid w:val="16C94461"/>
    <w:rsid w:val="16D52CED"/>
    <w:rsid w:val="16F45869"/>
    <w:rsid w:val="170A6E3A"/>
    <w:rsid w:val="17873DF8"/>
    <w:rsid w:val="18083490"/>
    <w:rsid w:val="18115FA7"/>
    <w:rsid w:val="184F57C9"/>
    <w:rsid w:val="189E4B5C"/>
    <w:rsid w:val="18C6006D"/>
    <w:rsid w:val="192E52B5"/>
    <w:rsid w:val="193A2057"/>
    <w:rsid w:val="194D3671"/>
    <w:rsid w:val="1A1324AA"/>
    <w:rsid w:val="1A1D6E85"/>
    <w:rsid w:val="1A4662CF"/>
    <w:rsid w:val="1A676352"/>
    <w:rsid w:val="1AD11A1D"/>
    <w:rsid w:val="1B551131"/>
    <w:rsid w:val="1B8836D0"/>
    <w:rsid w:val="1BBB4BA7"/>
    <w:rsid w:val="1C0740F2"/>
    <w:rsid w:val="1C0D2426"/>
    <w:rsid w:val="1CC161ED"/>
    <w:rsid w:val="1D4330A6"/>
    <w:rsid w:val="1D4B5AB7"/>
    <w:rsid w:val="1E537319"/>
    <w:rsid w:val="1E592455"/>
    <w:rsid w:val="1ED0096A"/>
    <w:rsid w:val="1FAD0CAB"/>
    <w:rsid w:val="1FEC3AE3"/>
    <w:rsid w:val="206E043A"/>
    <w:rsid w:val="20765541"/>
    <w:rsid w:val="20F8542D"/>
    <w:rsid w:val="21425423"/>
    <w:rsid w:val="219C4B33"/>
    <w:rsid w:val="219F0AC7"/>
    <w:rsid w:val="21F66939"/>
    <w:rsid w:val="22462A8A"/>
    <w:rsid w:val="22645969"/>
    <w:rsid w:val="22AF4D3A"/>
    <w:rsid w:val="22D2401F"/>
    <w:rsid w:val="23757D31"/>
    <w:rsid w:val="2398757C"/>
    <w:rsid w:val="24184D27"/>
    <w:rsid w:val="24B93C4E"/>
    <w:rsid w:val="24FB4266"/>
    <w:rsid w:val="25227A45"/>
    <w:rsid w:val="256242E5"/>
    <w:rsid w:val="25937774"/>
    <w:rsid w:val="25D30D3F"/>
    <w:rsid w:val="26013AFE"/>
    <w:rsid w:val="26A74146"/>
    <w:rsid w:val="27A217C1"/>
    <w:rsid w:val="27A53069"/>
    <w:rsid w:val="28013942"/>
    <w:rsid w:val="282721A1"/>
    <w:rsid w:val="284E28FF"/>
    <w:rsid w:val="287C746C"/>
    <w:rsid w:val="28A644E9"/>
    <w:rsid w:val="28F75D5F"/>
    <w:rsid w:val="290370AF"/>
    <w:rsid w:val="2A07545B"/>
    <w:rsid w:val="2A475858"/>
    <w:rsid w:val="2A8B7E3A"/>
    <w:rsid w:val="2ADD17FC"/>
    <w:rsid w:val="2B243569"/>
    <w:rsid w:val="2B4245F3"/>
    <w:rsid w:val="2B620B9B"/>
    <w:rsid w:val="2B8B045B"/>
    <w:rsid w:val="2BBD04C8"/>
    <w:rsid w:val="2BE5357A"/>
    <w:rsid w:val="2BF35C97"/>
    <w:rsid w:val="2C632266"/>
    <w:rsid w:val="2C6B1CD2"/>
    <w:rsid w:val="2C932FD6"/>
    <w:rsid w:val="2D66144E"/>
    <w:rsid w:val="2DEC0BF0"/>
    <w:rsid w:val="2EF97FCA"/>
    <w:rsid w:val="2F3A598B"/>
    <w:rsid w:val="2F520F27"/>
    <w:rsid w:val="2F562335"/>
    <w:rsid w:val="2F6649D2"/>
    <w:rsid w:val="2F80061F"/>
    <w:rsid w:val="2F9B0B20"/>
    <w:rsid w:val="2FAC4ADB"/>
    <w:rsid w:val="2FAD43AF"/>
    <w:rsid w:val="2FE83639"/>
    <w:rsid w:val="30F009F7"/>
    <w:rsid w:val="31186405"/>
    <w:rsid w:val="31456F95"/>
    <w:rsid w:val="31627A5A"/>
    <w:rsid w:val="31853836"/>
    <w:rsid w:val="318F38D7"/>
    <w:rsid w:val="31BD37A1"/>
    <w:rsid w:val="326276D3"/>
    <w:rsid w:val="327A2C6E"/>
    <w:rsid w:val="331309CD"/>
    <w:rsid w:val="33387E26"/>
    <w:rsid w:val="33A574FC"/>
    <w:rsid w:val="344233AC"/>
    <w:rsid w:val="346534AA"/>
    <w:rsid w:val="34BF5391"/>
    <w:rsid w:val="355D23D3"/>
    <w:rsid w:val="35980CEA"/>
    <w:rsid w:val="35BE2E72"/>
    <w:rsid w:val="35FC1151"/>
    <w:rsid w:val="366D6646"/>
    <w:rsid w:val="36873BAC"/>
    <w:rsid w:val="36A06C35"/>
    <w:rsid w:val="36E0506A"/>
    <w:rsid w:val="37425456"/>
    <w:rsid w:val="374B2E2B"/>
    <w:rsid w:val="37647620"/>
    <w:rsid w:val="37BC1633"/>
    <w:rsid w:val="385775AE"/>
    <w:rsid w:val="38A92F86"/>
    <w:rsid w:val="391732C5"/>
    <w:rsid w:val="395D76E4"/>
    <w:rsid w:val="39A13645"/>
    <w:rsid w:val="39AC2C55"/>
    <w:rsid w:val="39B61056"/>
    <w:rsid w:val="39EE5CF0"/>
    <w:rsid w:val="3A490DA6"/>
    <w:rsid w:val="3AE3337B"/>
    <w:rsid w:val="3BC9431F"/>
    <w:rsid w:val="3BE41159"/>
    <w:rsid w:val="3C2F632F"/>
    <w:rsid w:val="3C6329C5"/>
    <w:rsid w:val="3C7A1DFD"/>
    <w:rsid w:val="3CC571DC"/>
    <w:rsid w:val="3CF8135F"/>
    <w:rsid w:val="3D5642D8"/>
    <w:rsid w:val="3D8175A7"/>
    <w:rsid w:val="3D86121B"/>
    <w:rsid w:val="3DD35929"/>
    <w:rsid w:val="3EB25C12"/>
    <w:rsid w:val="3EE871B2"/>
    <w:rsid w:val="3FFD5592"/>
    <w:rsid w:val="40580367"/>
    <w:rsid w:val="40E90FBF"/>
    <w:rsid w:val="417B2021"/>
    <w:rsid w:val="417B255F"/>
    <w:rsid w:val="41CB31B9"/>
    <w:rsid w:val="41CF6407"/>
    <w:rsid w:val="41E77756"/>
    <w:rsid w:val="42442951"/>
    <w:rsid w:val="427F4597"/>
    <w:rsid w:val="42EE7E48"/>
    <w:rsid w:val="42EF4FB3"/>
    <w:rsid w:val="43AB55FC"/>
    <w:rsid w:val="43AE09CA"/>
    <w:rsid w:val="43B65AD0"/>
    <w:rsid w:val="43DF18CE"/>
    <w:rsid w:val="442F13DF"/>
    <w:rsid w:val="44D426B2"/>
    <w:rsid w:val="45401AF6"/>
    <w:rsid w:val="45554E75"/>
    <w:rsid w:val="45567A68"/>
    <w:rsid w:val="45D97854"/>
    <w:rsid w:val="45DB0FB4"/>
    <w:rsid w:val="466435C2"/>
    <w:rsid w:val="46855E27"/>
    <w:rsid w:val="47CA2B70"/>
    <w:rsid w:val="47FC375B"/>
    <w:rsid w:val="492E7EB7"/>
    <w:rsid w:val="4B1A6945"/>
    <w:rsid w:val="4B313C8F"/>
    <w:rsid w:val="4B412124"/>
    <w:rsid w:val="4B944949"/>
    <w:rsid w:val="4C4E557B"/>
    <w:rsid w:val="4C53598B"/>
    <w:rsid w:val="4C6562E6"/>
    <w:rsid w:val="4C7E3353"/>
    <w:rsid w:val="4C804ECE"/>
    <w:rsid w:val="4CB51BF3"/>
    <w:rsid w:val="4D106251"/>
    <w:rsid w:val="4DD21759"/>
    <w:rsid w:val="4DD3727F"/>
    <w:rsid w:val="4DF040E6"/>
    <w:rsid w:val="4DF27705"/>
    <w:rsid w:val="4E473EF5"/>
    <w:rsid w:val="4E564138"/>
    <w:rsid w:val="4E772300"/>
    <w:rsid w:val="4EE72818"/>
    <w:rsid w:val="4F447042"/>
    <w:rsid w:val="4F6E3D2C"/>
    <w:rsid w:val="4F822D0B"/>
    <w:rsid w:val="5073179C"/>
    <w:rsid w:val="50905620"/>
    <w:rsid w:val="513149E8"/>
    <w:rsid w:val="51385D77"/>
    <w:rsid w:val="5147420C"/>
    <w:rsid w:val="519707E9"/>
    <w:rsid w:val="51A34104"/>
    <w:rsid w:val="522B2F13"/>
    <w:rsid w:val="526D1A50"/>
    <w:rsid w:val="526F65B0"/>
    <w:rsid w:val="52BC56FA"/>
    <w:rsid w:val="52ED383F"/>
    <w:rsid w:val="537B1F4B"/>
    <w:rsid w:val="544B5DC1"/>
    <w:rsid w:val="54C57369"/>
    <w:rsid w:val="556E620B"/>
    <w:rsid w:val="55C830BB"/>
    <w:rsid w:val="56AD7851"/>
    <w:rsid w:val="57212E09"/>
    <w:rsid w:val="57284198"/>
    <w:rsid w:val="576F626A"/>
    <w:rsid w:val="57C542B7"/>
    <w:rsid w:val="583077A8"/>
    <w:rsid w:val="5853793A"/>
    <w:rsid w:val="58B32187"/>
    <w:rsid w:val="59374B66"/>
    <w:rsid w:val="599214BC"/>
    <w:rsid w:val="59B03B40"/>
    <w:rsid w:val="59C56616"/>
    <w:rsid w:val="5A094754"/>
    <w:rsid w:val="5A62018B"/>
    <w:rsid w:val="5A6A4AC7"/>
    <w:rsid w:val="5A7E3E82"/>
    <w:rsid w:val="5AEE74A6"/>
    <w:rsid w:val="5B547C51"/>
    <w:rsid w:val="5BFC2075"/>
    <w:rsid w:val="5C7E799F"/>
    <w:rsid w:val="5CF76AE6"/>
    <w:rsid w:val="5D616655"/>
    <w:rsid w:val="5EC724E8"/>
    <w:rsid w:val="5ED35331"/>
    <w:rsid w:val="5F0B4827"/>
    <w:rsid w:val="5F6611F9"/>
    <w:rsid w:val="5F824661"/>
    <w:rsid w:val="60A972E3"/>
    <w:rsid w:val="612C6F7A"/>
    <w:rsid w:val="613964C0"/>
    <w:rsid w:val="62013F63"/>
    <w:rsid w:val="62481B92"/>
    <w:rsid w:val="624C11E5"/>
    <w:rsid w:val="62F12229"/>
    <w:rsid w:val="63C45248"/>
    <w:rsid w:val="64664551"/>
    <w:rsid w:val="64CD519D"/>
    <w:rsid w:val="651E6BDA"/>
    <w:rsid w:val="652A6061"/>
    <w:rsid w:val="654D1DE4"/>
    <w:rsid w:val="65657575"/>
    <w:rsid w:val="65D91456"/>
    <w:rsid w:val="65DF0A5F"/>
    <w:rsid w:val="65E42E6D"/>
    <w:rsid w:val="674B3333"/>
    <w:rsid w:val="67DA0035"/>
    <w:rsid w:val="68C9702B"/>
    <w:rsid w:val="68CB7079"/>
    <w:rsid w:val="6976209D"/>
    <w:rsid w:val="69B97150"/>
    <w:rsid w:val="69EC54F9"/>
    <w:rsid w:val="6A9D7E72"/>
    <w:rsid w:val="6AAF0A00"/>
    <w:rsid w:val="6ABA2914"/>
    <w:rsid w:val="6AEE42E8"/>
    <w:rsid w:val="6B2105A5"/>
    <w:rsid w:val="6B5E41D4"/>
    <w:rsid w:val="6B60619E"/>
    <w:rsid w:val="6B6B5133"/>
    <w:rsid w:val="6B7A6236"/>
    <w:rsid w:val="6C2C42D2"/>
    <w:rsid w:val="6C693D87"/>
    <w:rsid w:val="6C6E48EB"/>
    <w:rsid w:val="6D150466"/>
    <w:rsid w:val="6DE4762E"/>
    <w:rsid w:val="6DEE7A09"/>
    <w:rsid w:val="6EC14EDE"/>
    <w:rsid w:val="6F0926A9"/>
    <w:rsid w:val="6F2F65B3"/>
    <w:rsid w:val="6F563B40"/>
    <w:rsid w:val="6FD1766A"/>
    <w:rsid w:val="70820FD9"/>
    <w:rsid w:val="70CA1F37"/>
    <w:rsid w:val="711A6DEF"/>
    <w:rsid w:val="71800EF6"/>
    <w:rsid w:val="71C254BD"/>
    <w:rsid w:val="71E73175"/>
    <w:rsid w:val="726516BF"/>
    <w:rsid w:val="72AE5A41"/>
    <w:rsid w:val="730F2712"/>
    <w:rsid w:val="73AE4B46"/>
    <w:rsid w:val="73E86D31"/>
    <w:rsid w:val="75116A18"/>
    <w:rsid w:val="753A62F8"/>
    <w:rsid w:val="764919A9"/>
    <w:rsid w:val="76C70E7F"/>
    <w:rsid w:val="76E557A9"/>
    <w:rsid w:val="77035102"/>
    <w:rsid w:val="77136F1C"/>
    <w:rsid w:val="7798281C"/>
    <w:rsid w:val="77E048EF"/>
    <w:rsid w:val="78251700"/>
    <w:rsid w:val="78680440"/>
    <w:rsid w:val="78CF4963"/>
    <w:rsid w:val="78D01B80"/>
    <w:rsid w:val="79295E21"/>
    <w:rsid w:val="79627585"/>
    <w:rsid w:val="79951709"/>
    <w:rsid w:val="79960FDD"/>
    <w:rsid w:val="79A436FA"/>
    <w:rsid w:val="79AC0800"/>
    <w:rsid w:val="7A4F7B0A"/>
    <w:rsid w:val="7AA240DD"/>
    <w:rsid w:val="7AA634A2"/>
    <w:rsid w:val="7AC027B5"/>
    <w:rsid w:val="7ADB75EF"/>
    <w:rsid w:val="7BCE0F02"/>
    <w:rsid w:val="7C6C37A9"/>
    <w:rsid w:val="7CC83BA3"/>
    <w:rsid w:val="7D512198"/>
    <w:rsid w:val="7DCC7E3B"/>
    <w:rsid w:val="7DD86068"/>
    <w:rsid w:val="7E235535"/>
    <w:rsid w:val="7E34313F"/>
    <w:rsid w:val="7E725AD0"/>
    <w:rsid w:val="7E9569D8"/>
    <w:rsid w:val="7ECB797B"/>
    <w:rsid w:val="7ECF1219"/>
    <w:rsid w:val="7F362490"/>
    <w:rsid w:val="7F922414"/>
    <w:rsid w:val="7F9B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paragraph" w:customStyle="1" w:styleId="12">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13">
    <w:name w:val="批注文字 Char"/>
    <w:basedOn w:val="8"/>
    <w:link w:val="2"/>
    <w:autoRedefine/>
    <w:semiHidden/>
    <w:qFormat/>
    <w:uiPriority w:val="99"/>
    <w:rPr>
      <w:rFonts w:ascii="Times New Roman" w:hAnsi="Times New Roman" w:eastAsia="宋体" w:cs="Times New Roman"/>
      <w:szCs w:val="20"/>
    </w:rPr>
  </w:style>
  <w:style w:type="character" w:customStyle="1" w:styleId="14">
    <w:name w:val="批注主题 Char"/>
    <w:basedOn w:val="13"/>
    <w:link w:val="6"/>
    <w:autoRedefine/>
    <w:semiHidden/>
    <w:qFormat/>
    <w:uiPriority w:val="99"/>
    <w:rPr>
      <w:rFonts w:ascii="Times New Roman" w:hAnsi="Times New Roman" w:eastAsia="宋体" w:cs="Times New Roman"/>
      <w:b/>
      <w:bCs/>
      <w:szCs w:val="20"/>
    </w:rPr>
  </w:style>
  <w:style w:type="character" w:customStyle="1" w:styleId="15">
    <w:name w:val="批注框文本 Char"/>
    <w:basedOn w:val="8"/>
    <w:link w:val="3"/>
    <w:autoRedefine/>
    <w:semiHidden/>
    <w:qFormat/>
    <w:uiPriority w:val="99"/>
    <w:rPr>
      <w:rFonts w:ascii="Times New Roman" w:hAnsi="Times New Roman" w:eastAsia="宋体" w:cs="Times New Roman"/>
      <w:kern w:val="2"/>
      <w:sz w:val="18"/>
      <w:szCs w:val="18"/>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741</Words>
  <Characters>4230</Characters>
  <Lines>35</Lines>
  <Paragraphs>9</Paragraphs>
  <TotalTime>37</TotalTime>
  <ScaleCrop>false</ScaleCrop>
  <LinksUpToDate>false</LinksUpToDate>
  <CharactersWithSpaces>4962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2023-10-30T09:05:00Z</dcterms:created>
  <dc:creator>杨凤</dc:creator>
  <cp:lastModifiedBy>孙鲁迁</cp:lastModifiedBy>
  <dcterms:modified xsi:type="dcterms:W3CDTF">2024-04-30T08:27:03Z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0713FD07446D4E429BEC15B87941AD95_13</vt:lpwstr>
  </property>
</Properties>
</file>