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30A59" w:rsidRDefault="007613FB">
      <w:pPr>
        <w:spacing w:line="288" w:lineRule="auto"/>
        <w:rPr>
          <w:rFonts w:ascii="宋体" w:eastAsia="宋体" w:hAnsi="宋体" w:cs="宋体"/>
          <w:sz w:val="24"/>
        </w:rPr>
      </w:pPr>
      <w:r>
        <w:rPr>
          <w:rFonts w:ascii="宋体" w:eastAsia="宋体" w:hAnsi="宋体" w:cs="宋体" w:hint="eastAsia"/>
          <w:sz w:val="24"/>
        </w:rPr>
        <w:t>证券代码：688146                                   证券简称：中船特气</w:t>
      </w:r>
    </w:p>
    <w:p w:rsidR="00E30A59" w:rsidRDefault="007613FB">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中船（邯郸）派瑞特种气体股份有限公司</w:t>
      </w:r>
    </w:p>
    <w:p w:rsidR="00E30A59" w:rsidRDefault="007613FB">
      <w:pPr>
        <w:spacing w:beforeLines="50" w:before="156" w:afterLines="50" w:after="156"/>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投资者关系活动记录表</w:t>
      </w:r>
    </w:p>
    <w:p w:rsidR="00E30A59" w:rsidRDefault="007613FB">
      <w:pPr>
        <w:spacing w:line="288" w:lineRule="auto"/>
        <w:jc w:val="right"/>
        <w:rPr>
          <w:rFonts w:ascii="宋体" w:eastAsia="宋体" w:hAnsi="宋体" w:cs="宋体" w:hint="eastAsia"/>
          <w:sz w:val="24"/>
        </w:rPr>
      </w:pPr>
      <w:r>
        <w:rPr>
          <w:rFonts w:ascii="宋体" w:eastAsia="宋体" w:hAnsi="宋体" w:cs="宋体"/>
          <w:sz w:val="24"/>
        </w:rPr>
        <w:t>编号：202</w:t>
      </w:r>
      <w:r w:rsidR="004A1C8D">
        <w:rPr>
          <w:rFonts w:ascii="宋体" w:eastAsia="宋体" w:hAnsi="宋体" w:cs="宋体"/>
          <w:sz w:val="24"/>
        </w:rPr>
        <w:t>4</w:t>
      </w:r>
      <w:r>
        <w:rPr>
          <w:rFonts w:ascii="宋体" w:eastAsia="宋体" w:hAnsi="宋体" w:cs="宋体" w:hint="eastAsia"/>
          <w:sz w:val="24"/>
        </w:rPr>
        <w:t>-</w:t>
      </w:r>
      <w:r w:rsidR="004A1C8D">
        <w:rPr>
          <w:rFonts w:ascii="宋体" w:eastAsia="宋体" w:hAnsi="宋体" w:cs="宋体" w:hint="eastAsia"/>
          <w:sz w:val="24"/>
        </w:rPr>
        <w:t>0</w:t>
      </w:r>
      <w:r w:rsidR="004A1C8D">
        <w:rPr>
          <w:rFonts w:ascii="宋体" w:eastAsia="宋体" w:hAnsi="宋体" w:cs="宋体"/>
          <w:sz w:val="24"/>
        </w:rPr>
        <w:t>0</w:t>
      </w:r>
      <w:r w:rsidR="00722376">
        <w:rPr>
          <w:rFonts w:ascii="宋体" w:eastAsia="宋体" w:hAnsi="宋体" w:cs="宋体" w:hint="eastAsia"/>
          <w:sz w:val="24"/>
        </w:rPr>
        <w:t>2</w:t>
      </w:r>
    </w:p>
    <w:tbl>
      <w:tblPr>
        <w:tblStyle w:val="a7"/>
        <w:tblW w:w="0" w:type="auto"/>
        <w:tblLook w:val="04A0" w:firstRow="1" w:lastRow="0" w:firstColumn="1" w:lastColumn="0" w:noHBand="0" w:noVBand="1"/>
      </w:tblPr>
      <w:tblGrid>
        <w:gridCol w:w="2330"/>
        <w:gridCol w:w="5966"/>
      </w:tblGrid>
      <w:tr w:rsidR="00352AAB">
        <w:trPr>
          <w:trHeight w:val="2223"/>
        </w:trPr>
        <w:tc>
          <w:tcPr>
            <w:tcW w:w="2361" w:type="dxa"/>
            <w:vAlign w:val="center"/>
          </w:tcPr>
          <w:p w:rsidR="00E30A59" w:rsidRDefault="007613FB">
            <w:pPr>
              <w:spacing w:line="360" w:lineRule="auto"/>
              <w:rPr>
                <w:rFonts w:ascii="宋体" w:eastAsia="宋体" w:hAnsi="宋体" w:cs="宋体"/>
                <w:b/>
                <w:bCs/>
                <w:sz w:val="24"/>
              </w:rPr>
            </w:pPr>
            <w:r>
              <w:rPr>
                <w:rFonts w:ascii="宋体" w:eastAsia="宋体" w:hAnsi="宋体" w:cs="宋体"/>
                <w:b/>
                <w:bCs/>
                <w:sz w:val="24"/>
              </w:rPr>
              <w:t>投资者关系</w:t>
            </w:r>
          </w:p>
          <w:p w:rsidR="00E30A59" w:rsidRDefault="007613FB">
            <w:pPr>
              <w:spacing w:line="360" w:lineRule="auto"/>
              <w:rPr>
                <w:rFonts w:ascii="宋体" w:eastAsia="宋体" w:hAnsi="宋体" w:cs="宋体"/>
                <w:sz w:val="24"/>
              </w:rPr>
            </w:pPr>
            <w:r>
              <w:rPr>
                <w:rFonts w:ascii="宋体" w:eastAsia="宋体" w:hAnsi="宋体" w:cs="宋体"/>
                <w:b/>
                <w:bCs/>
                <w:sz w:val="24"/>
              </w:rPr>
              <w:t>活动类别</w:t>
            </w:r>
          </w:p>
        </w:tc>
        <w:tc>
          <w:tcPr>
            <w:tcW w:w="6058" w:type="dxa"/>
            <w:vAlign w:val="center"/>
          </w:tcPr>
          <w:p w:rsidR="00E30A59" w:rsidRDefault="00AF22B9">
            <w:pPr>
              <w:spacing w:line="360" w:lineRule="auto"/>
              <w:rPr>
                <w:rFonts w:ascii="宋体" w:eastAsia="宋体" w:hAnsi="宋体" w:cs="宋体"/>
                <w:sz w:val="24"/>
              </w:rPr>
            </w:pPr>
            <w:r>
              <w:rPr>
                <w:rFonts w:ascii="宋体" w:eastAsia="宋体" w:hAnsi="宋体" w:cs="宋体" w:hint="eastAsia"/>
                <w:sz w:val="24"/>
              </w:rPr>
              <w:sym w:font="Wingdings 2" w:char="F052"/>
            </w:r>
            <w:r w:rsidR="007613FB">
              <w:rPr>
                <w:rFonts w:ascii="宋体" w:eastAsia="宋体" w:hAnsi="宋体" w:cs="宋体"/>
                <w:sz w:val="24"/>
              </w:rPr>
              <w:t xml:space="preserve">特定对象调研 </w:t>
            </w:r>
            <w:r w:rsidR="007613FB">
              <w:rPr>
                <w:rFonts w:ascii="宋体" w:eastAsia="宋体" w:hAnsi="宋体" w:cs="宋体" w:hint="eastAsia"/>
                <w:sz w:val="24"/>
              </w:rPr>
              <w:t xml:space="preserve">  </w:t>
            </w:r>
            <w:r w:rsidRPr="00AF22B9">
              <w:rPr>
                <w:rFonts w:ascii="宋体" w:eastAsia="宋体" w:hAnsi="宋体" w:cs="宋体" w:hint="eastAsia"/>
                <w:sz w:val="24"/>
              </w:rPr>
              <w:t>□</w:t>
            </w:r>
            <w:r w:rsidR="007613FB">
              <w:rPr>
                <w:rFonts w:ascii="宋体" w:eastAsia="宋体" w:hAnsi="宋体" w:cs="宋体"/>
                <w:sz w:val="24"/>
              </w:rPr>
              <w:t>分析师会议</w:t>
            </w:r>
          </w:p>
          <w:p w:rsidR="00E30A59" w:rsidRDefault="007613FB">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媒体采访 </w:t>
            </w:r>
            <w:r>
              <w:rPr>
                <w:rFonts w:ascii="宋体" w:eastAsia="宋体" w:hAnsi="宋体" w:cs="宋体" w:hint="eastAsia"/>
                <w:sz w:val="24"/>
              </w:rPr>
              <w:t xml:space="preserve">      </w:t>
            </w:r>
            <w:r>
              <w:rPr>
                <w:rFonts w:ascii="宋体" w:eastAsia="宋体" w:hAnsi="宋体" w:cs="宋体"/>
                <w:sz w:val="24"/>
              </w:rPr>
              <w:t>□业绩说明会</w:t>
            </w:r>
          </w:p>
          <w:p w:rsidR="00E30A59" w:rsidRDefault="007613FB">
            <w:pPr>
              <w:spacing w:line="360" w:lineRule="auto"/>
              <w:rPr>
                <w:rFonts w:ascii="宋体" w:eastAsia="宋体" w:hAnsi="宋体" w:cs="宋体"/>
                <w:sz w:val="24"/>
              </w:rPr>
            </w:pPr>
            <w:r>
              <w:rPr>
                <w:rFonts w:ascii="宋体" w:eastAsia="宋体" w:hAnsi="宋体" w:cs="宋体"/>
                <w:sz w:val="24"/>
              </w:rPr>
              <w:t xml:space="preserve">□新闻发布会 </w:t>
            </w:r>
            <w:r>
              <w:rPr>
                <w:rFonts w:ascii="宋体" w:eastAsia="宋体" w:hAnsi="宋体" w:cs="宋体" w:hint="eastAsia"/>
                <w:sz w:val="24"/>
              </w:rPr>
              <w:t xml:space="preserve">    □</w:t>
            </w:r>
            <w:r>
              <w:rPr>
                <w:rFonts w:ascii="宋体" w:eastAsia="宋体" w:hAnsi="宋体" w:cs="宋体"/>
                <w:sz w:val="24"/>
              </w:rPr>
              <w:t>路演活动</w:t>
            </w:r>
          </w:p>
          <w:p w:rsidR="00E30A59" w:rsidRDefault="007613FB">
            <w:pPr>
              <w:spacing w:line="360" w:lineRule="auto"/>
              <w:rPr>
                <w:rFonts w:ascii="宋体" w:eastAsia="宋体" w:hAnsi="宋体" w:cs="宋体"/>
                <w:sz w:val="24"/>
              </w:rPr>
            </w:pPr>
            <w:r>
              <w:rPr>
                <w:rFonts w:ascii="宋体" w:eastAsia="宋体" w:hAnsi="宋体" w:cs="宋体"/>
                <w:sz w:val="24"/>
              </w:rPr>
              <w:t xml:space="preserve">□现场参观 </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电话会议</w:t>
            </w:r>
          </w:p>
          <w:p w:rsidR="00E30A59" w:rsidRDefault="007613FB" w:rsidP="00EF07D4">
            <w:pPr>
              <w:spacing w:line="360" w:lineRule="auto"/>
              <w:rPr>
                <w:rFonts w:ascii="宋体" w:eastAsia="宋体" w:hAnsi="宋体" w:cs="宋体"/>
                <w:sz w:val="24"/>
              </w:rPr>
            </w:pPr>
            <w:r>
              <w:rPr>
                <w:rFonts w:ascii="宋体" w:eastAsia="宋体" w:hAnsi="宋体" w:cs="宋体"/>
                <w:sz w:val="24"/>
              </w:rPr>
              <w:t xml:space="preserve">□其他 </w:t>
            </w:r>
          </w:p>
        </w:tc>
      </w:tr>
      <w:tr w:rsidR="00352AAB">
        <w:trPr>
          <w:trHeight w:val="1132"/>
        </w:trPr>
        <w:tc>
          <w:tcPr>
            <w:tcW w:w="2361" w:type="dxa"/>
            <w:vAlign w:val="center"/>
          </w:tcPr>
          <w:p w:rsidR="00E30A59" w:rsidRDefault="007613FB">
            <w:pPr>
              <w:spacing w:line="360" w:lineRule="auto"/>
              <w:rPr>
                <w:rFonts w:ascii="宋体" w:eastAsia="宋体" w:hAnsi="宋体" w:cs="宋体"/>
                <w:sz w:val="24"/>
              </w:rPr>
            </w:pPr>
            <w:r>
              <w:rPr>
                <w:rFonts w:ascii="宋体" w:eastAsia="宋体" w:hAnsi="宋体" w:cs="宋体"/>
                <w:b/>
                <w:bCs/>
                <w:sz w:val="24"/>
              </w:rPr>
              <w:t>参与单位名称</w:t>
            </w:r>
          </w:p>
          <w:p w:rsidR="00E30A59" w:rsidRDefault="007613FB">
            <w:pPr>
              <w:spacing w:line="360" w:lineRule="auto"/>
              <w:rPr>
                <w:rFonts w:ascii="宋体" w:eastAsia="宋体" w:hAnsi="宋体" w:cs="宋体"/>
                <w:sz w:val="24"/>
              </w:rPr>
            </w:pPr>
            <w:r>
              <w:rPr>
                <w:rFonts w:ascii="宋体" w:eastAsia="宋体" w:hAnsi="宋体" w:cs="宋体" w:hint="eastAsia"/>
                <w:sz w:val="24"/>
              </w:rPr>
              <w:t>（排名不分先后）</w:t>
            </w:r>
            <w:r>
              <w:rPr>
                <w:rFonts w:ascii="宋体" w:eastAsia="宋体" w:hAnsi="宋体" w:cs="宋体"/>
                <w:sz w:val="24"/>
              </w:rPr>
              <w:t>：</w:t>
            </w:r>
          </w:p>
        </w:tc>
        <w:tc>
          <w:tcPr>
            <w:tcW w:w="6058" w:type="dxa"/>
            <w:vAlign w:val="center"/>
          </w:tcPr>
          <w:p w:rsidR="00352AAB" w:rsidRDefault="00352AAB" w:rsidP="00352AAB">
            <w:pPr>
              <w:spacing w:line="360" w:lineRule="auto"/>
              <w:jc w:val="left"/>
              <w:rPr>
                <w:rFonts w:ascii="宋体" w:eastAsia="宋体" w:hAnsi="宋体" w:cs="宋体"/>
                <w:sz w:val="24"/>
              </w:rPr>
            </w:pPr>
            <w:r>
              <w:rPr>
                <w:rFonts w:ascii="宋体" w:eastAsia="宋体" w:hAnsi="宋体" w:cs="宋体" w:hint="eastAsia"/>
                <w:sz w:val="24"/>
              </w:rPr>
              <w:t>惠升基金</w:t>
            </w:r>
            <w:r w:rsidR="007613FB">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中金公司 </w:t>
            </w:r>
            <w:r>
              <w:rPr>
                <w:rFonts w:ascii="宋体" w:eastAsia="宋体" w:hAnsi="宋体" w:cs="宋体"/>
                <w:sz w:val="24"/>
              </w:rPr>
              <w:t xml:space="preserve">    </w:t>
            </w:r>
            <w:r>
              <w:rPr>
                <w:rFonts w:ascii="宋体" w:eastAsia="宋体" w:hAnsi="宋体" w:cs="宋体" w:hint="eastAsia"/>
                <w:sz w:val="24"/>
              </w:rPr>
              <w:t xml:space="preserve">谢诺辰阳 </w:t>
            </w:r>
            <w:r>
              <w:rPr>
                <w:rFonts w:ascii="宋体" w:eastAsia="宋体" w:hAnsi="宋体" w:cs="宋体"/>
                <w:sz w:val="24"/>
              </w:rPr>
              <w:t xml:space="preserve"> </w:t>
            </w:r>
            <w:r>
              <w:rPr>
                <w:rFonts w:ascii="宋体" w:eastAsia="宋体" w:hAnsi="宋体" w:cs="宋体" w:hint="eastAsia"/>
                <w:sz w:val="24"/>
              </w:rPr>
              <w:t xml:space="preserve">东吴证券 </w:t>
            </w:r>
          </w:p>
          <w:p w:rsidR="00AF22B9" w:rsidRPr="00352AAB" w:rsidRDefault="00352AAB" w:rsidP="00352AAB">
            <w:pPr>
              <w:spacing w:line="360" w:lineRule="auto"/>
              <w:jc w:val="left"/>
              <w:rPr>
                <w:rFonts w:ascii="宋体" w:eastAsia="仿宋_GB2312" w:hAnsi="宋体" w:cs="宋体"/>
                <w:sz w:val="24"/>
              </w:rPr>
            </w:pPr>
            <w:r>
              <w:rPr>
                <w:rFonts w:ascii="宋体" w:eastAsia="宋体" w:hAnsi="宋体" w:cs="宋体" w:hint="eastAsia"/>
                <w:sz w:val="24"/>
              </w:rPr>
              <w:t xml:space="preserve">中信证券 </w:t>
            </w:r>
            <w:r>
              <w:rPr>
                <w:rFonts w:ascii="宋体" w:eastAsia="宋体" w:hAnsi="宋体" w:cs="宋体"/>
                <w:sz w:val="24"/>
              </w:rPr>
              <w:t xml:space="preserve"> </w:t>
            </w:r>
            <w:r>
              <w:rPr>
                <w:rFonts w:ascii="宋体" w:eastAsia="宋体" w:hAnsi="宋体" w:cs="宋体" w:hint="eastAsia"/>
                <w:sz w:val="24"/>
              </w:rPr>
              <w:t xml:space="preserve">申万宏源证券 中泰证券 </w:t>
            </w:r>
            <w:r>
              <w:rPr>
                <w:rFonts w:ascii="宋体" w:eastAsia="宋体" w:hAnsi="宋体" w:cs="宋体"/>
                <w:sz w:val="24"/>
              </w:rPr>
              <w:t xml:space="preserve"> </w:t>
            </w:r>
            <w:r>
              <w:rPr>
                <w:rFonts w:ascii="宋体" w:eastAsia="宋体" w:hAnsi="宋体" w:cs="宋体" w:hint="eastAsia"/>
                <w:sz w:val="24"/>
              </w:rPr>
              <w:t>天风证券</w:t>
            </w:r>
          </w:p>
        </w:tc>
      </w:tr>
      <w:tr w:rsidR="00352AAB">
        <w:trPr>
          <w:trHeight w:val="599"/>
        </w:trPr>
        <w:tc>
          <w:tcPr>
            <w:tcW w:w="2361" w:type="dxa"/>
            <w:vAlign w:val="center"/>
          </w:tcPr>
          <w:p w:rsidR="00E30A59" w:rsidRDefault="007613FB">
            <w:pPr>
              <w:spacing w:line="360" w:lineRule="auto"/>
              <w:rPr>
                <w:rFonts w:ascii="宋体" w:eastAsia="宋体" w:hAnsi="宋体" w:cs="宋体"/>
                <w:b/>
                <w:bCs/>
                <w:sz w:val="24"/>
              </w:rPr>
            </w:pPr>
            <w:r>
              <w:rPr>
                <w:rFonts w:ascii="宋体" w:eastAsia="宋体" w:hAnsi="宋体" w:cs="宋体" w:hint="eastAsia"/>
                <w:b/>
                <w:bCs/>
                <w:sz w:val="24"/>
              </w:rPr>
              <w:t>时间</w:t>
            </w:r>
          </w:p>
        </w:tc>
        <w:tc>
          <w:tcPr>
            <w:tcW w:w="6058" w:type="dxa"/>
            <w:vAlign w:val="center"/>
          </w:tcPr>
          <w:p w:rsidR="00E30A59" w:rsidRDefault="007613FB" w:rsidP="00AF22B9">
            <w:pPr>
              <w:spacing w:line="360" w:lineRule="auto"/>
              <w:rPr>
                <w:rFonts w:ascii="宋体" w:eastAsia="宋体" w:hAnsi="宋体" w:cs="宋体"/>
                <w:sz w:val="24"/>
              </w:rPr>
            </w:pPr>
            <w:r>
              <w:rPr>
                <w:rFonts w:ascii="宋体" w:eastAsia="宋体" w:hAnsi="宋体" w:cs="宋体" w:hint="eastAsia"/>
                <w:sz w:val="24"/>
              </w:rPr>
              <w:t>202</w:t>
            </w:r>
            <w:r w:rsidR="00352AAB">
              <w:rPr>
                <w:rFonts w:ascii="宋体" w:eastAsia="宋体" w:hAnsi="宋体" w:cs="宋体" w:hint="eastAsia"/>
                <w:sz w:val="24"/>
              </w:rPr>
              <w:t>4</w:t>
            </w:r>
            <w:r>
              <w:rPr>
                <w:rFonts w:ascii="宋体" w:eastAsia="宋体" w:hAnsi="宋体" w:cs="宋体" w:hint="eastAsia"/>
                <w:sz w:val="24"/>
              </w:rPr>
              <w:t>年</w:t>
            </w:r>
            <w:r w:rsidR="00352AAB">
              <w:rPr>
                <w:rFonts w:ascii="宋体" w:eastAsia="宋体" w:hAnsi="宋体" w:cs="宋体"/>
                <w:sz w:val="24"/>
              </w:rPr>
              <w:t>4</w:t>
            </w:r>
            <w:r>
              <w:rPr>
                <w:rFonts w:ascii="宋体" w:eastAsia="宋体" w:hAnsi="宋体" w:cs="宋体" w:hint="eastAsia"/>
                <w:sz w:val="24"/>
              </w:rPr>
              <w:t>月</w:t>
            </w:r>
            <w:r w:rsidR="00352AAB">
              <w:rPr>
                <w:rFonts w:ascii="宋体" w:eastAsia="宋体" w:hAnsi="宋体" w:cs="宋体"/>
                <w:sz w:val="24"/>
              </w:rPr>
              <w:t>29</w:t>
            </w:r>
            <w:r>
              <w:rPr>
                <w:rFonts w:ascii="宋体" w:eastAsia="宋体" w:hAnsi="宋体" w:cs="宋体" w:hint="eastAsia"/>
                <w:sz w:val="24"/>
              </w:rPr>
              <w:t>日</w:t>
            </w:r>
            <w:r w:rsidR="00352AAB">
              <w:rPr>
                <w:rFonts w:ascii="宋体" w:eastAsia="宋体" w:hAnsi="宋体" w:cs="宋体" w:hint="eastAsia"/>
                <w:sz w:val="24"/>
              </w:rPr>
              <w:t>9</w:t>
            </w:r>
            <w:r>
              <w:rPr>
                <w:rFonts w:ascii="宋体" w:eastAsia="宋体" w:hAnsi="宋体" w:cs="宋体" w:hint="eastAsia"/>
                <w:sz w:val="24"/>
              </w:rPr>
              <w:t>时00分</w:t>
            </w:r>
          </w:p>
        </w:tc>
      </w:tr>
      <w:tr w:rsidR="00352AAB">
        <w:trPr>
          <w:trHeight w:val="604"/>
        </w:trPr>
        <w:tc>
          <w:tcPr>
            <w:tcW w:w="2361" w:type="dxa"/>
            <w:vAlign w:val="center"/>
          </w:tcPr>
          <w:p w:rsidR="00E30A59" w:rsidRDefault="007613FB">
            <w:pPr>
              <w:spacing w:line="360" w:lineRule="auto"/>
              <w:rPr>
                <w:rFonts w:ascii="宋体" w:eastAsia="宋体" w:hAnsi="宋体" w:cs="宋体"/>
                <w:b/>
                <w:bCs/>
                <w:sz w:val="24"/>
              </w:rPr>
            </w:pPr>
            <w:r>
              <w:rPr>
                <w:rFonts w:ascii="宋体" w:eastAsia="宋体" w:hAnsi="宋体" w:cs="宋体" w:hint="eastAsia"/>
                <w:b/>
                <w:bCs/>
                <w:sz w:val="24"/>
              </w:rPr>
              <w:t>地点</w:t>
            </w:r>
          </w:p>
        </w:tc>
        <w:tc>
          <w:tcPr>
            <w:tcW w:w="6058" w:type="dxa"/>
            <w:vAlign w:val="center"/>
          </w:tcPr>
          <w:p w:rsidR="00E30A59" w:rsidRDefault="007613FB">
            <w:pPr>
              <w:spacing w:line="360" w:lineRule="auto"/>
              <w:rPr>
                <w:rFonts w:ascii="宋体" w:eastAsia="宋体" w:hAnsi="宋体" w:cs="宋体"/>
                <w:sz w:val="24"/>
              </w:rPr>
            </w:pPr>
            <w:r>
              <w:rPr>
                <w:rFonts w:ascii="宋体" w:eastAsia="宋体" w:hAnsi="宋体" w:cs="宋体" w:hint="eastAsia"/>
                <w:sz w:val="24"/>
              </w:rPr>
              <w:t>河北省邯郸市</w:t>
            </w:r>
            <w:r w:rsidR="00AF22B9">
              <w:rPr>
                <w:rFonts w:ascii="宋体" w:eastAsia="宋体" w:hAnsi="宋体" w:cs="宋体" w:hint="eastAsia"/>
                <w:sz w:val="24"/>
              </w:rPr>
              <w:t>世纪大街6号派瑞科技产业园</w:t>
            </w:r>
          </w:p>
        </w:tc>
      </w:tr>
      <w:tr w:rsidR="00352AAB">
        <w:trPr>
          <w:trHeight w:val="1061"/>
        </w:trPr>
        <w:tc>
          <w:tcPr>
            <w:tcW w:w="2361" w:type="dxa"/>
            <w:vAlign w:val="center"/>
          </w:tcPr>
          <w:p w:rsidR="00E30A59" w:rsidRDefault="007613FB">
            <w:pPr>
              <w:spacing w:line="360" w:lineRule="auto"/>
              <w:rPr>
                <w:rFonts w:ascii="宋体" w:eastAsia="宋体" w:hAnsi="宋体" w:cs="宋体"/>
                <w:b/>
                <w:bCs/>
                <w:sz w:val="24"/>
              </w:rPr>
            </w:pPr>
            <w:r>
              <w:rPr>
                <w:rFonts w:ascii="宋体" w:eastAsia="宋体" w:hAnsi="宋体" w:cs="宋体" w:hint="eastAsia"/>
                <w:b/>
                <w:bCs/>
                <w:sz w:val="24"/>
              </w:rPr>
              <w:t>上市公司接待人员</w:t>
            </w:r>
          </w:p>
        </w:tc>
        <w:tc>
          <w:tcPr>
            <w:tcW w:w="6058" w:type="dxa"/>
            <w:vAlign w:val="center"/>
          </w:tcPr>
          <w:p w:rsidR="00352AAB" w:rsidRDefault="00352AAB">
            <w:pPr>
              <w:spacing w:line="360" w:lineRule="auto"/>
              <w:rPr>
                <w:rFonts w:ascii="宋体" w:eastAsia="宋体" w:hAnsi="宋体" w:cs="宋体"/>
                <w:sz w:val="24"/>
              </w:rPr>
            </w:pPr>
            <w:r w:rsidRPr="00352AAB">
              <w:rPr>
                <w:rFonts w:ascii="宋体" w:eastAsia="宋体" w:hAnsi="宋体" w:cs="宋体" w:hint="eastAsia"/>
                <w:sz w:val="24"/>
              </w:rPr>
              <w:t>总经理</w:t>
            </w:r>
            <w:r>
              <w:rPr>
                <w:rFonts w:ascii="宋体" w:eastAsia="宋体" w:hAnsi="宋体" w:cs="宋体" w:hint="eastAsia"/>
                <w:sz w:val="24"/>
              </w:rPr>
              <w:t xml:space="preserve">                孟祥军</w:t>
            </w:r>
          </w:p>
          <w:p w:rsidR="00E30A59" w:rsidRDefault="007613FB">
            <w:pPr>
              <w:spacing w:line="360" w:lineRule="auto"/>
              <w:rPr>
                <w:rFonts w:ascii="宋体" w:eastAsia="宋体" w:hAnsi="宋体" w:cs="宋体"/>
                <w:sz w:val="24"/>
              </w:rPr>
            </w:pPr>
            <w:r>
              <w:rPr>
                <w:rFonts w:ascii="宋体" w:eastAsia="宋体" w:hAnsi="宋体" w:cs="宋体" w:hint="eastAsia"/>
                <w:sz w:val="24"/>
              </w:rPr>
              <w:t>副总经理、董事会秘书  许</w:t>
            </w:r>
            <w:r w:rsidR="00AF22B9">
              <w:rPr>
                <w:rFonts w:ascii="宋体" w:eastAsia="宋体" w:hAnsi="宋体" w:cs="宋体" w:hint="eastAsia"/>
                <w:sz w:val="24"/>
              </w:rPr>
              <w:t xml:space="preserve">  </w:t>
            </w:r>
            <w:r>
              <w:rPr>
                <w:rFonts w:ascii="宋体" w:eastAsia="宋体" w:hAnsi="宋体" w:cs="宋体" w:hint="eastAsia"/>
                <w:sz w:val="24"/>
              </w:rPr>
              <w:t>晖</w:t>
            </w:r>
          </w:p>
          <w:p w:rsidR="00AF22B9" w:rsidRDefault="007613FB">
            <w:pPr>
              <w:spacing w:line="360" w:lineRule="auto"/>
              <w:rPr>
                <w:rFonts w:ascii="宋体" w:eastAsia="宋体" w:hAnsi="宋体" w:cs="宋体"/>
                <w:sz w:val="24"/>
              </w:rPr>
            </w:pPr>
            <w:r>
              <w:rPr>
                <w:rFonts w:ascii="宋体" w:eastAsia="宋体" w:hAnsi="宋体" w:cs="宋体" w:hint="eastAsia"/>
                <w:sz w:val="24"/>
              </w:rPr>
              <w:t xml:space="preserve">财务总监  </w:t>
            </w:r>
            <w:r w:rsidR="00AF22B9">
              <w:rPr>
                <w:rFonts w:ascii="宋体" w:eastAsia="宋体" w:hAnsi="宋体" w:cs="宋体"/>
                <w:sz w:val="24"/>
              </w:rPr>
              <w:t xml:space="preserve">            </w:t>
            </w:r>
            <w:r>
              <w:rPr>
                <w:rFonts w:ascii="宋体" w:eastAsia="宋体" w:hAnsi="宋体" w:cs="宋体" w:hint="eastAsia"/>
                <w:sz w:val="24"/>
              </w:rPr>
              <w:t>李</w:t>
            </w:r>
            <w:r w:rsidR="00AF22B9">
              <w:rPr>
                <w:rFonts w:ascii="宋体" w:eastAsia="宋体" w:hAnsi="宋体" w:cs="宋体" w:hint="eastAsia"/>
                <w:sz w:val="24"/>
              </w:rPr>
              <w:t xml:space="preserve">  </w:t>
            </w:r>
            <w:r>
              <w:rPr>
                <w:rFonts w:ascii="宋体" w:eastAsia="宋体" w:hAnsi="宋体" w:cs="宋体" w:hint="eastAsia"/>
                <w:sz w:val="24"/>
              </w:rPr>
              <w:t>军</w:t>
            </w:r>
          </w:p>
          <w:p w:rsidR="00352AAB" w:rsidRDefault="00352AAB">
            <w:pPr>
              <w:spacing w:line="360" w:lineRule="auto"/>
              <w:rPr>
                <w:rFonts w:ascii="宋体" w:eastAsia="宋体" w:hAnsi="宋体" w:cs="宋体"/>
                <w:sz w:val="24"/>
              </w:rPr>
            </w:pPr>
            <w:r>
              <w:rPr>
                <w:rFonts w:ascii="宋体" w:eastAsia="宋体" w:hAnsi="宋体" w:cs="宋体" w:hint="eastAsia"/>
                <w:sz w:val="24"/>
              </w:rPr>
              <w:t>副总经理              张长金</w:t>
            </w:r>
          </w:p>
        </w:tc>
      </w:tr>
      <w:tr w:rsidR="00352AAB">
        <w:trPr>
          <w:trHeight w:val="1884"/>
        </w:trPr>
        <w:tc>
          <w:tcPr>
            <w:tcW w:w="2361" w:type="dxa"/>
            <w:vAlign w:val="center"/>
          </w:tcPr>
          <w:p w:rsidR="00E30A59" w:rsidRDefault="007613FB">
            <w:pPr>
              <w:spacing w:line="360" w:lineRule="auto"/>
              <w:rPr>
                <w:rFonts w:ascii="宋体" w:eastAsia="宋体" w:hAnsi="宋体" w:cs="宋体"/>
                <w:b/>
                <w:bCs/>
                <w:sz w:val="24"/>
              </w:rPr>
            </w:pPr>
            <w:r>
              <w:rPr>
                <w:rFonts w:ascii="宋体" w:eastAsia="宋体" w:hAnsi="宋体" w:cs="宋体"/>
                <w:b/>
                <w:bCs/>
                <w:sz w:val="24"/>
              </w:rPr>
              <w:t>投资者关系活动</w:t>
            </w:r>
          </w:p>
          <w:p w:rsidR="00E30A59" w:rsidRDefault="007613FB">
            <w:pPr>
              <w:spacing w:line="360" w:lineRule="auto"/>
              <w:rPr>
                <w:rFonts w:ascii="宋体" w:eastAsia="宋体" w:hAnsi="宋体" w:cs="宋体"/>
                <w:sz w:val="24"/>
              </w:rPr>
            </w:pPr>
            <w:r>
              <w:rPr>
                <w:rFonts w:ascii="宋体" w:eastAsia="宋体" w:hAnsi="宋体" w:cs="宋体"/>
                <w:b/>
                <w:bCs/>
                <w:sz w:val="24"/>
              </w:rPr>
              <w:t>主要内容</w:t>
            </w:r>
          </w:p>
        </w:tc>
        <w:tc>
          <w:tcPr>
            <w:tcW w:w="6058" w:type="dxa"/>
            <w:vAlign w:val="center"/>
          </w:tcPr>
          <w:p w:rsidR="00E30A59" w:rsidRPr="00596575" w:rsidRDefault="00352AAB" w:rsidP="00596575">
            <w:pPr>
              <w:numPr>
                <w:ilvl w:val="0"/>
                <w:numId w:val="1"/>
              </w:numPr>
              <w:spacing w:line="360" w:lineRule="auto"/>
              <w:ind w:firstLineChars="200" w:firstLine="482"/>
              <w:rPr>
                <w:rFonts w:ascii="宋体" w:eastAsia="宋体" w:hAnsi="宋体" w:cs="宋体"/>
                <w:b/>
                <w:bCs/>
                <w:sz w:val="24"/>
              </w:rPr>
            </w:pPr>
            <w:r>
              <w:rPr>
                <w:rFonts w:ascii="宋体" w:eastAsia="宋体" w:hAnsi="宋体" w:cs="宋体" w:hint="eastAsia"/>
                <w:b/>
                <w:bCs/>
                <w:sz w:val="24"/>
              </w:rPr>
              <w:t>根据公司2023年度报告显示，公司在2023年营业收入和利润出现波动，请简要介绍下原因</w:t>
            </w:r>
            <w:r w:rsidR="00AF22B9" w:rsidRPr="00596575">
              <w:rPr>
                <w:rFonts w:ascii="宋体" w:eastAsia="宋体" w:hAnsi="宋体" w:cs="宋体" w:hint="eastAsia"/>
                <w:b/>
                <w:bCs/>
                <w:sz w:val="24"/>
              </w:rPr>
              <w:t>。</w:t>
            </w:r>
          </w:p>
          <w:p w:rsidR="004A1C8D" w:rsidRDefault="007613FB" w:rsidP="00352AAB">
            <w:pPr>
              <w:spacing w:line="360" w:lineRule="auto"/>
              <w:ind w:firstLineChars="200" w:firstLine="480"/>
              <w:rPr>
                <w:rFonts w:ascii="宋体" w:eastAsia="宋体" w:hAnsi="宋体" w:cs="宋体"/>
                <w:sz w:val="24"/>
              </w:rPr>
            </w:pPr>
            <w:r w:rsidRPr="00596575">
              <w:rPr>
                <w:rFonts w:ascii="宋体" w:eastAsia="宋体" w:hAnsi="宋体" w:cs="宋体" w:hint="eastAsia"/>
                <w:sz w:val="24"/>
              </w:rPr>
              <w:t>答：</w:t>
            </w:r>
            <w:r w:rsidR="004A1C8D">
              <w:rPr>
                <w:rFonts w:ascii="宋体" w:eastAsia="宋体" w:hAnsi="宋体" w:cs="宋体" w:hint="eastAsia"/>
                <w:sz w:val="24"/>
              </w:rPr>
              <w:t>公司</w:t>
            </w:r>
            <w:r w:rsidR="00352AAB">
              <w:rPr>
                <w:rFonts w:ascii="宋体" w:eastAsia="宋体" w:hAnsi="宋体" w:cs="宋体" w:hint="eastAsia"/>
                <w:sz w:val="24"/>
              </w:rPr>
              <w:t>主要从事</w:t>
            </w:r>
            <w:r w:rsidR="004A1C8D">
              <w:rPr>
                <w:rFonts w:ascii="宋体" w:eastAsia="宋体" w:hAnsi="宋体" w:cs="宋体" w:hint="eastAsia"/>
                <w:sz w:val="24"/>
              </w:rPr>
              <w:t>电子特种气体</w:t>
            </w:r>
            <w:r w:rsidR="00352AAB">
              <w:rPr>
                <w:rFonts w:ascii="宋体" w:eastAsia="宋体" w:hAnsi="宋体" w:cs="宋体" w:hint="eastAsia"/>
                <w:sz w:val="24"/>
              </w:rPr>
              <w:t>及三氟甲磺酸系列产品的生产、研发和销售</w:t>
            </w:r>
            <w:r w:rsidR="004A1C8D">
              <w:rPr>
                <w:rFonts w:ascii="宋体" w:eastAsia="宋体" w:hAnsi="宋体" w:cs="宋体" w:hint="eastAsia"/>
                <w:sz w:val="24"/>
              </w:rPr>
              <w:t>，</w:t>
            </w:r>
            <w:r w:rsidR="00352AAB">
              <w:rPr>
                <w:rFonts w:ascii="宋体" w:eastAsia="宋体" w:hAnsi="宋体" w:cs="宋体" w:hint="eastAsia"/>
                <w:sz w:val="24"/>
              </w:rPr>
              <w:t>主要产品三氟化氮、六氟化钨等</w:t>
            </w:r>
            <w:r w:rsidR="004A1C8D">
              <w:rPr>
                <w:rFonts w:ascii="宋体" w:eastAsia="宋体" w:hAnsi="宋体" w:cs="宋体" w:hint="eastAsia"/>
                <w:sz w:val="24"/>
              </w:rPr>
              <w:t>电子特种气体</w:t>
            </w:r>
            <w:r w:rsidR="00352AAB">
              <w:rPr>
                <w:rFonts w:ascii="宋体" w:eastAsia="宋体" w:hAnsi="宋体" w:cs="宋体" w:hint="eastAsia"/>
                <w:sz w:val="24"/>
              </w:rPr>
              <w:t>用于集成电路、显示面板等业务领域。</w:t>
            </w:r>
          </w:p>
          <w:p w:rsidR="00352AAB" w:rsidRDefault="00352AAB" w:rsidP="00352AAB">
            <w:pPr>
              <w:spacing w:line="360" w:lineRule="auto"/>
              <w:ind w:firstLineChars="200" w:firstLine="480"/>
              <w:rPr>
                <w:rFonts w:ascii="宋体" w:eastAsia="宋体" w:hAnsi="宋体" w:cs="宋体"/>
                <w:sz w:val="24"/>
              </w:rPr>
            </w:pPr>
            <w:r w:rsidRPr="00352AAB">
              <w:rPr>
                <w:rFonts w:ascii="宋体" w:eastAsia="宋体" w:hAnsi="宋体" w:cs="宋体" w:hint="eastAsia"/>
                <w:sz w:val="24"/>
              </w:rPr>
              <w:t>受国际形势和宏观经济环境等因素的影响，公司主要产品电子特种气体下游集成电路、液晶显示行业景气度下滑，市场需求疲软，</w:t>
            </w:r>
            <w:r>
              <w:rPr>
                <w:rFonts w:ascii="宋体" w:eastAsia="宋体" w:hAnsi="宋体" w:cs="宋体" w:hint="eastAsia"/>
                <w:sz w:val="24"/>
              </w:rPr>
              <w:t>为提升产品竞争力，</w:t>
            </w:r>
            <w:r w:rsidRPr="00352AAB">
              <w:rPr>
                <w:rFonts w:ascii="宋体" w:eastAsia="宋体" w:hAnsi="宋体" w:cs="宋体" w:hint="eastAsia"/>
                <w:sz w:val="24"/>
              </w:rPr>
              <w:t>公司</w:t>
            </w:r>
            <w:r>
              <w:rPr>
                <w:rFonts w:ascii="宋体" w:eastAsia="宋体" w:hAnsi="宋体" w:cs="宋体" w:hint="eastAsia"/>
                <w:sz w:val="24"/>
              </w:rPr>
              <w:t>对部分</w:t>
            </w:r>
            <w:r w:rsidRPr="00352AAB">
              <w:rPr>
                <w:rFonts w:ascii="宋体" w:eastAsia="宋体" w:hAnsi="宋体" w:cs="宋体" w:hint="eastAsia"/>
                <w:sz w:val="24"/>
              </w:rPr>
              <w:t>产品价格</w:t>
            </w:r>
            <w:r>
              <w:rPr>
                <w:rFonts w:ascii="宋体" w:eastAsia="宋体" w:hAnsi="宋体" w:cs="宋体" w:hint="eastAsia"/>
                <w:sz w:val="24"/>
              </w:rPr>
              <w:t>进行了</w:t>
            </w:r>
            <w:r w:rsidRPr="00352AAB">
              <w:rPr>
                <w:rFonts w:ascii="宋体" w:eastAsia="宋体" w:hAnsi="宋体" w:cs="宋体" w:hint="eastAsia"/>
                <w:sz w:val="24"/>
              </w:rPr>
              <w:t>调整，公司</w:t>
            </w:r>
            <w:r>
              <w:rPr>
                <w:rFonts w:ascii="宋体" w:eastAsia="宋体" w:hAnsi="宋体" w:cs="宋体" w:hint="eastAsia"/>
                <w:sz w:val="24"/>
              </w:rPr>
              <w:t>2</w:t>
            </w:r>
            <w:r>
              <w:rPr>
                <w:rFonts w:ascii="宋体" w:eastAsia="宋体" w:hAnsi="宋体" w:cs="宋体"/>
                <w:sz w:val="24"/>
              </w:rPr>
              <w:t>023年</w:t>
            </w:r>
            <w:r w:rsidRPr="00352AAB">
              <w:rPr>
                <w:rFonts w:ascii="宋体" w:eastAsia="宋体" w:hAnsi="宋体" w:cs="宋体" w:hint="eastAsia"/>
                <w:sz w:val="24"/>
              </w:rPr>
              <w:t>营业收入较上年</w:t>
            </w:r>
            <w:r w:rsidRPr="00352AAB">
              <w:rPr>
                <w:rFonts w:ascii="宋体" w:eastAsia="宋体" w:hAnsi="宋体" w:cs="宋体" w:hint="eastAsia"/>
                <w:sz w:val="24"/>
              </w:rPr>
              <w:lastRenderedPageBreak/>
              <w:t>同期下降</w:t>
            </w:r>
            <w:r w:rsidR="004A1C8D">
              <w:rPr>
                <w:rFonts w:ascii="宋体" w:eastAsia="宋体" w:hAnsi="宋体" w:cs="宋体" w:hint="eastAsia"/>
                <w:sz w:val="24"/>
              </w:rPr>
              <w:t>17.39%</w:t>
            </w:r>
            <w:r w:rsidRPr="00352AAB">
              <w:rPr>
                <w:rFonts w:ascii="宋体" w:eastAsia="宋体" w:hAnsi="宋体" w:cs="宋体" w:hint="eastAsia"/>
                <w:sz w:val="24"/>
              </w:rPr>
              <w:t>。</w:t>
            </w:r>
          </w:p>
          <w:p w:rsidR="00AF22B9" w:rsidRPr="00596575" w:rsidRDefault="00352AAB" w:rsidP="00352AAB">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023年</w:t>
            </w:r>
            <w:r>
              <w:rPr>
                <w:rFonts w:ascii="宋体" w:eastAsia="宋体" w:hAnsi="宋体" w:cs="宋体" w:hint="eastAsia"/>
                <w:sz w:val="24"/>
              </w:rPr>
              <w:t>，</w:t>
            </w:r>
            <w:r w:rsidRPr="00352AAB">
              <w:rPr>
                <w:rFonts w:ascii="宋体" w:eastAsia="宋体" w:hAnsi="宋体" w:cs="宋体" w:hint="eastAsia"/>
                <w:sz w:val="24"/>
              </w:rPr>
              <w:t>公司归属于上市公司股东的扣除非经常性损益的净利润较上年同期下降30.24%，主要系市场需求疲软及公司产品价格调整，营业收入减少；同时公司为长远发展，持续增加研发投入，研发费用增加，利润有所下降。</w:t>
            </w:r>
          </w:p>
          <w:p w:rsidR="00AF22B9" w:rsidRPr="00596575" w:rsidRDefault="00AF22B9" w:rsidP="00596575">
            <w:pPr>
              <w:spacing w:line="360" w:lineRule="auto"/>
              <w:ind w:firstLineChars="200" w:firstLine="482"/>
              <w:rPr>
                <w:rFonts w:ascii="宋体" w:eastAsia="宋体" w:hAnsi="宋体" w:cs="宋体"/>
                <w:b/>
                <w:bCs/>
                <w:sz w:val="24"/>
              </w:rPr>
            </w:pPr>
            <w:r w:rsidRPr="00596575">
              <w:rPr>
                <w:rFonts w:ascii="宋体" w:eastAsia="宋体" w:hAnsi="宋体" w:cs="宋体" w:hint="eastAsia"/>
                <w:b/>
                <w:bCs/>
                <w:sz w:val="24"/>
              </w:rPr>
              <w:t>2.</w:t>
            </w:r>
            <w:r w:rsidR="00352AAB">
              <w:rPr>
                <w:rFonts w:ascii="宋体" w:eastAsia="宋体" w:hAnsi="宋体" w:cs="宋体" w:hint="eastAsia"/>
                <w:b/>
                <w:bCs/>
                <w:sz w:val="24"/>
              </w:rPr>
              <w:t>请简要介绍公司2024年一季度收入和利润情况</w:t>
            </w:r>
            <w:r w:rsidRPr="00596575">
              <w:rPr>
                <w:rFonts w:ascii="宋体" w:eastAsia="宋体" w:hAnsi="宋体" w:cs="宋体" w:hint="eastAsia"/>
                <w:b/>
                <w:bCs/>
                <w:sz w:val="24"/>
              </w:rPr>
              <w:t>。</w:t>
            </w:r>
          </w:p>
          <w:p w:rsidR="00352AAB" w:rsidRPr="00596575" w:rsidRDefault="00352AAB" w:rsidP="00352AAB">
            <w:pPr>
              <w:spacing w:line="360" w:lineRule="auto"/>
              <w:ind w:firstLineChars="200" w:firstLine="480"/>
              <w:rPr>
                <w:rFonts w:ascii="宋体" w:eastAsia="宋体" w:hAnsi="宋体" w:cs="宋体"/>
                <w:sz w:val="24"/>
              </w:rPr>
            </w:pPr>
            <w:r>
              <w:rPr>
                <w:rFonts w:ascii="宋体" w:eastAsia="宋体" w:hAnsi="宋体" w:cs="宋体" w:hint="eastAsia"/>
                <w:sz w:val="24"/>
              </w:rPr>
              <w:t>答：2024年一季度公司实现营业收入</w:t>
            </w:r>
            <w:r w:rsidRPr="00352AAB">
              <w:rPr>
                <w:rFonts w:ascii="宋体" w:eastAsia="宋体" w:hAnsi="宋体" w:cs="宋体"/>
                <w:sz w:val="24"/>
              </w:rPr>
              <w:t>435,273,546.90</w:t>
            </w:r>
            <w:r>
              <w:rPr>
                <w:rFonts w:ascii="宋体" w:eastAsia="宋体" w:hAnsi="宋体" w:cs="宋体"/>
                <w:sz w:val="24"/>
              </w:rPr>
              <w:t>元</w:t>
            </w:r>
            <w:r>
              <w:rPr>
                <w:rFonts w:ascii="宋体" w:eastAsia="宋体" w:hAnsi="宋体" w:cs="宋体" w:hint="eastAsia"/>
                <w:sz w:val="24"/>
              </w:rPr>
              <w:t>，</w:t>
            </w:r>
            <w:r>
              <w:rPr>
                <w:rFonts w:ascii="宋体" w:eastAsia="宋体" w:hAnsi="宋体" w:cs="宋体"/>
                <w:sz w:val="24"/>
              </w:rPr>
              <w:t>较上年同期增加</w:t>
            </w:r>
            <w:r>
              <w:rPr>
                <w:rFonts w:ascii="宋体" w:eastAsia="宋体" w:hAnsi="宋体" w:cs="宋体" w:hint="eastAsia"/>
                <w:sz w:val="24"/>
              </w:rPr>
              <w:t>8.42%；实现净利润</w:t>
            </w:r>
            <w:r w:rsidRPr="00352AAB">
              <w:rPr>
                <w:rFonts w:ascii="宋体" w:eastAsia="宋体" w:hAnsi="宋体" w:cs="宋体"/>
                <w:sz w:val="24"/>
              </w:rPr>
              <w:t>90,325,704.21</w:t>
            </w:r>
            <w:r>
              <w:rPr>
                <w:rFonts w:ascii="宋体" w:eastAsia="宋体" w:hAnsi="宋体" w:cs="宋体"/>
                <w:sz w:val="24"/>
              </w:rPr>
              <w:t>元</w:t>
            </w:r>
            <w:r>
              <w:rPr>
                <w:rFonts w:ascii="宋体" w:eastAsia="宋体" w:hAnsi="宋体" w:cs="宋体" w:hint="eastAsia"/>
                <w:sz w:val="24"/>
              </w:rPr>
              <w:t>，较上年同期增加5.89%。主要原因系受益于下游集成电路、显示面板、锂电新能源等行业客户产能及稼动率的提升，对公司产品需求增加，公司三氟化氮、六氟化钨以及双三氟甲磺</w:t>
            </w:r>
            <w:r w:rsidR="004A1C8D">
              <w:rPr>
                <w:rFonts w:ascii="宋体" w:eastAsia="宋体" w:hAnsi="宋体" w:cs="宋体" w:hint="eastAsia"/>
                <w:sz w:val="24"/>
              </w:rPr>
              <w:t>酸</w:t>
            </w:r>
            <w:r>
              <w:rPr>
                <w:rFonts w:ascii="宋体" w:eastAsia="宋体" w:hAnsi="宋体" w:cs="宋体" w:hint="eastAsia"/>
                <w:sz w:val="24"/>
              </w:rPr>
              <w:t>等产品销售量有所提升</w:t>
            </w:r>
            <w:r w:rsidR="00AF22B9" w:rsidRPr="00596575">
              <w:rPr>
                <w:rFonts w:ascii="宋体" w:eastAsia="宋体" w:hAnsi="宋体" w:cs="宋体" w:hint="eastAsia"/>
                <w:sz w:val="24"/>
              </w:rPr>
              <w:t>。</w:t>
            </w:r>
          </w:p>
          <w:p w:rsidR="00AF22B9" w:rsidRPr="00596575" w:rsidRDefault="00AF22B9" w:rsidP="00596575">
            <w:pPr>
              <w:spacing w:line="360" w:lineRule="auto"/>
              <w:ind w:firstLineChars="200" w:firstLine="482"/>
              <w:rPr>
                <w:rFonts w:ascii="宋体" w:eastAsia="宋体" w:hAnsi="宋体" w:cs="宋体"/>
                <w:b/>
                <w:sz w:val="24"/>
              </w:rPr>
            </w:pPr>
            <w:r w:rsidRPr="00596575">
              <w:rPr>
                <w:rFonts w:ascii="宋体" w:eastAsia="宋体" w:hAnsi="宋体" w:cs="宋体" w:hint="eastAsia"/>
                <w:b/>
                <w:sz w:val="24"/>
              </w:rPr>
              <w:t>3.</w:t>
            </w:r>
            <w:r w:rsidR="00352AAB">
              <w:rPr>
                <w:rFonts w:ascii="宋体" w:eastAsia="宋体" w:hAnsi="宋体" w:cs="宋体" w:hint="eastAsia"/>
                <w:b/>
                <w:sz w:val="24"/>
              </w:rPr>
              <w:t>请介绍下公司境外收入占比</w:t>
            </w:r>
            <w:r w:rsidRPr="00596575">
              <w:rPr>
                <w:rFonts w:ascii="宋体" w:eastAsia="宋体" w:hAnsi="宋体" w:cs="宋体" w:hint="eastAsia"/>
                <w:b/>
                <w:sz w:val="24"/>
              </w:rPr>
              <w:t>？</w:t>
            </w:r>
            <w:r w:rsidR="00352AAB">
              <w:rPr>
                <w:rFonts w:ascii="宋体" w:eastAsia="宋体" w:hAnsi="宋体" w:cs="宋体" w:hint="eastAsia"/>
                <w:b/>
                <w:sz w:val="24"/>
              </w:rPr>
              <w:t>公司</w:t>
            </w:r>
            <w:r w:rsidR="004A1C8D">
              <w:rPr>
                <w:rFonts w:ascii="宋体" w:eastAsia="宋体" w:hAnsi="宋体" w:cs="宋体" w:hint="eastAsia"/>
                <w:b/>
                <w:sz w:val="24"/>
              </w:rPr>
              <w:t>电子特种气体</w:t>
            </w:r>
            <w:r w:rsidR="00352AAB">
              <w:rPr>
                <w:rFonts w:ascii="宋体" w:eastAsia="宋体" w:hAnsi="宋体" w:cs="宋体" w:hint="eastAsia"/>
                <w:b/>
                <w:sz w:val="24"/>
              </w:rPr>
              <w:t>产品出口品类都有哪些？未来境外收入的发展目标和趋势。</w:t>
            </w:r>
          </w:p>
          <w:p w:rsidR="004A1C8D" w:rsidRDefault="00AF22B9" w:rsidP="00596575">
            <w:pPr>
              <w:spacing w:line="360" w:lineRule="auto"/>
              <w:ind w:firstLineChars="200" w:firstLine="480"/>
              <w:rPr>
                <w:rFonts w:ascii="宋体" w:eastAsia="宋体" w:hAnsi="宋体"/>
                <w:sz w:val="24"/>
              </w:rPr>
            </w:pPr>
            <w:r w:rsidRPr="00596575">
              <w:rPr>
                <w:rFonts w:ascii="宋体" w:eastAsia="宋体" w:hAnsi="宋体" w:hint="eastAsia"/>
                <w:sz w:val="24"/>
              </w:rPr>
              <w:t>答：</w:t>
            </w:r>
            <w:r w:rsidR="00352AAB">
              <w:rPr>
                <w:rFonts w:ascii="宋体" w:eastAsia="宋体" w:hAnsi="宋体" w:hint="eastAsia"/>
                <w:sz w:val="24"/>
              </w:rPr>
              <w:t>公司目前</w:t>
            </w:r>
            <w:r w:rsidR="004A1C8D">
              <w:rPr>
                <w:rFonts w:ascii="宋体" w:eastAsia="宋体" w:hAnsi="宋体" w:hint="eastAsia"/>
                <w:sz w:val="24"/>
              </w:rPr>
              <w:t>已经</w:t>
            </w:r>
            <w:r w:rsidR="00352AAB">
              <w:rPr>
                <w:rFonts w:ascii="宋体" w:eastAsia="宋体" w:hAnsi="宋体" w:hint="eastAsia"/>
                <w:sz w:val="24"/>
              </w:rPr>
              <w:t>具备三氟化氮、六氟化钨、六氟丁二烯等</w:t>
            </w:r>
            <w:r w:rsidR="004A1C8D">
              <w:rPr>
                <w:rFonts w:ascii="宋体" w:eastAsia="宋体" w:hAnsi="宋体" w:hint="eastAsia"/>
                <w:sz w:val="24"/>
              </w:rPr>
              <w:t>电子特种气体以及三氟甲磺酸系列产品共7</w:t>
            </w:r>
            <w:r w:rsidR="004A1C8D">
              <w:rPr>
                <w:rFonts w:ascii="宋体" w:eastAsia="宋体" w:hAnsi="宋体"/>
                <w:sz w:val="24"/>
              </w:rPr>
              <w:t>0</w:t>
            </w:r>
            <w:r w:rsidR="004A1C8D">
              <w:rPr>
                <w:rFonts w:ascii="宋体" w:eastAsia="宋体" w:hAnsi="宋体" w:hint="eastAsia"/>
                <w:sz w:val="24"/>
              </w:rPr>
              <w:t>余种产品的生产能力。经过多年的市场开拓，公司境外业务不断壮大，三氟化氮、六氟化钨、三氟甲磺酸等多个产品已实现稳定出口，境外客户集中于集成电路、显示面板和医药行业，客户覆盖</w:t>
            </w:r>
            <w:r w:rsidR="004A1C8D" w:rsidRPr="004A1C8D">
              <w:rPr>
                <w:rFonts w:ascii="宋体" w:eastAsia="宋体" w:hAnsi="宋体" w:hint="eastAsia"/>
                <w:sz w:val="24"/>
              </w:rPr>
              <w:t>台积电、铠侠、美光</w:t>
            </w:r>
            <w:r w:rsidR="004A1C8D">
              <w:rPr>
                <w:rFonts w:ascii="宋体" w:eastAsia="宋体" w:hAnsi="宋体" w:hint="eastAsia"/>
                <w:sz w:val="24"/>
              </w:rPr>
              <w:t>、</w:t>
            </w:r>
            <w:r w:rsidR="004A1C8D" w:rsidRPr="004A1C8D">
              <w:rPr>
                <w:rFonts w:ascii="宋体" w:eastAsia="宋体" w:hAnsi="宋体" w:hint="eastAsia"/>
                <w:sz w:val="24"/>
              </w:rPr>
              <w:t>强生</w:t>
            </w:r>
            <w:r w:rsidR="004A1C8D">
              <w:rPr>
                <w:rFonts w:ascii="宋体" w:eastAsia="宋体" w:hAnsi="宋体" w:hint="eastAsia"/>
                <w:sz w:val="24"/>
              </w:rPr>
              <w:t>、默克等知名企业。</w:t>
            </w:r>
            <w:r w:rsidR="004A1C8D" w:rsidRPr="004A1C8D">
              <w:rPr>
                <w:rFonts w:ascii="宋体" w:eastAsia="宋体" w:hAnsi="宋体" w:hint="eastAsia"/>
                <w:sz w:val="24"/>
              </w:rPr>
              <w:t>公司凭借雄厚的技术实力、优异的产品质量等优势，获得众多</w:t>
            </w:r>
            <w:r w:rsidR="004A1C8D">
              <w:rPr>
                <w:rFonts w:ascii="宋体" w:eastAsia="宋体" w:hAnsi="宋体" w:hint="eastAsia"/>
                <w:sz w:val="24"/>
              </w:rPr>
              <w:t>境内外</w:t>
            </w:r>
            <w:r w:rsidR="004A1C8D" w:rsidRPr="004A1C8D">
              <w:rPr>
                <w:rFonts w:ascii="宋体" w:eastAsia="宋体" w:hAnsi="宋体" w:hint="eastAsia"/>
                <w:sz w:val="24"/>
              </w:rPr>
              <w:t>客户的广泛认可，</w:t>
            </w:r>
            <w:r w:rsidR="004A1C8D">
              <w:rPr>
                <w:rFonts w:ascii="宋体" w:eastAsia="宋体" w:hAnsi="宋体" w:hint="eastAsia"/>
                <w:sz w:val="24"/>
              </w:rPr>
              <w:t>部分产品</w:t>
            </w:r>
            <w:r w:rsidR="004A1C8D" w:rsidRPr="004A1C8D">
              <w:rPr>
                <w:rFonts w:ascii="宋体" w:eastAsia="宋体" w:hAnsi="宋体" w:hint="eastAsia"/>
                <w:sz w:val="24"/>
              </w:rPr>
              <w:t>并已进入</w:t>
            </w:r>
            <w:r w:rsidR="004A1C8D">
              <w:rPr>
                <w:rFonts w:ascii="宋体" w:eastAsia="宋体" w:hAnsi="宋体" w:hint="eastAsia"/>
                <w:sz w:val="24"/>
              </w:rPr>
              <w:t>集成电路</w:t>
            </w:r>
            <w:r w:rsidR="004A1C8D" w:rsidRPr="004A1C8D">
              <w:rPr>
                <w:rFonts w:ascii="宋体" w:eastAsia="宋体" w:hAnsi="宋体" w:hint="eastAsia"/>
                <w:sz w:val="24"/>
              </w:rPr>
              <w:t>3nm先进制程节点供应链。</w:t>
            </w:r>
          </w:p>
          <w:p w:rsidR="00AF22B9" w:rsidRPr="00596575" w:rsidRDefault="004A1C8D" w:rsidP="00596575">
            <w:pPr>
              <w:spacing w:line="360" w:lineRule="auto"/>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023年</w:t>
            </w:r>
            <w:r>
              <w:rPr>
                <w:rFonts w:ascii="宋体" w:eastAsia="宋体" w:hAnsi="宋体" w:hint="eastAsia"/>
                <w:sz w:val="24"/>
              </w:rPr>
              <w:t>，</w:t>
            </w:r>
            <w:r>
              <w:rPr>
                <w:rFonts w:ascii="宋体" w:eastAsia="宋体" w:hAnsi="宋体"/>
                <w:sz w:val="24"/>
              </w:rPr>
              <w:t>公司</w:t>
            </w:r>
            <w:r>
              <w:rPr>
                <w:rFonts w:ascii="宋体" w:eastAsia="宋体" w:hAnsi="宋体" w:hint="eastAsia"/>
                <w:sz w:val="24"/>
              </w:rPr>
              <w:t>境外收入占总营业收入20%左右。未来，公司将持续加大境外市场开拓力度，拓展出口产品品类，以更多的方式为境外客户提供现地化服务，提升</w:t>
            </w:r>
            <w:r>
              <w:rPr>
                <w:rFonts w:ascii="宋体" w:eastAsia="宋体" w:hAnsi="宋体" w:hint="eastAsia"/>
                <w:sz w:val="24"/>
              </w:rPr>
              <w:lastRenderedPageBreak/>
              <w:t>境外业务收入，为公司发展成为世界电子特气的主导力量提供强有力支撑</w:t>
            </w:r>
            <w:r w:rsidR="00AF22B9" w:rsidRPr="00596575">
              <w:rPr>
                <w:rFonts w:ascii="宋体" w:eastAsia="宋体" w:hAnsi="宋体" w:hint="eastAsia"/>
                <w:sz w:val="24"/>
              </w:rPr>
              <w:t>。</w:t>
            </w:r>
          </w:p>
          <w:p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4.</w:t>
            </w:r>
            <w:r w:rsidR="004A1C8D">
              <w:rPr>
                <w:rFonts w:ascii="宋体" w:eastAsia="宋体" w:hAnsi="宋体" w:hint="eastAsia"/>
                <w:b/>
                <w:sz w:val="24"/>
              </w:rPr>
              <w:t>请介绍下公司双（三氟甲磺酰）亚胺锂产品产能、生产情况以及该产品的应用场景</w:t>
            </w:r>
            <w:r w:rsidRPr="00596575">
              <w:rPr>
                <w:rFonts w:ascii="宋体" w:eastAsia="宋体" w:hAnsi="宋体" w:hint="eastAsia"/>
                <w:b/>
                <w:sz w:val="24"/>
              </w:rPr>
              <w:t>？</w:t>
            </w:r>
          </w:p>
          <w:p w:rsidR="004A1C8D" w:rsidRDefault="00AF22B9" w:rsidP="004A1C8D">
            <w:pPr>
              <w:spacing w:line="360" w:lineRule="auto"/>
              <w:ind w:firstLineChars="200" w:firstLine="480"/>
              <w:rPr>
                <w:rFonts w:ascii="宋体" w:eastAsia="宋体" w:hAnsi="宋体"/>
                <w:sz w:val="24"/>
              </w:rPr>
            </w:pPr>
            <w:r w:rsidRPr="00596575">
              <w:rPr>
                <w:rFonts w:ascii="宋体" w:eastAsia="宋体" w:hAnsi="宋体" w:hint="eastAsia"/>
                <w:sz w:val="24"/>
              </w:rPr>
              <w:t>答：</w:t>
            </w:r>
            <w:r w:rsidR="004A1C8D" w:rsidRPr="004A1C8D">
              <w:rPr>
                <w:rFonts w:ascii="宋体" w:eastAsia="宋体" w:hAnsi="宋体" w:hint="eastAsia"/>
                <w:sz w:val="24"/>
              </w:rPr>
              <w:t>基于电解氟化工艺，公司研发生产了三氟甲磺酸系列产品，如双（三氟甲磺酰）亚胺锂、三氟甲磺酸锂、三氟甲磺酸、三氟甲磺酸三甲基硅酯、三氟甲磺酸酐等，其中三氟甲磺酸产能660吨，双（三氟甲磺酰）亚胺锂最大产能600吨。</w:t>
            </w:r>
            <w:r w:rsidR="004A1C8D">
              <w:rPr>
                <w:rFonts w:ascii="宋体" w:eastAsia="宋体" w:hAnsi="宋体" w:hint="eastAsia"/>
                <w:sz w:val="24"/>
              </w:rPr>
              <w:t>2024年一季度，公司三氟甲磺酸系列产品收入近5000万元，较上年同期增长近100%。</w:t>
            </w:r>
          </w:p>
          <w:p w:rsidR="004A1C8D" w:rsidRDefault="004A1C8D" w:rsidP="004A1C8D">
            <w:pPr>
              <w:spacing w:line="360" w:lineRule="auto"/>
              <w:ind w:firstLineChars="200" w:firstLine="480"/>
              <w:rPr>
                <w:rFonts w:ascii="宋体" w:eastAsia="宋体" w:hAnsi="宋体"/>
                <w:sz w:val="24"/>
              </w:rPr>
            </w:pPr>
            <w:r w:rsidRPr="004A1C8D">
              <w:rPr>
                <w:rFonts w:ascii="宋体" w:eastAsia="宋体" w:hAnsi="宋体" w:hint="eastAsia"/>
                <w:sz w:val="24"/>
              </w:rPr>
              <w:t>双（三氟甲磺酰）亚胺锂和三氟甲磺酸锂是锂电电解液重要成分之一，用作电解液添加剂，可以提高电解液的电化学稳定性，改善高低温和循环性能。此外，双（三氟甲磺酰）亚胺锂和三氟甲磺酸锂具有优异的抗静电性能，还可应用于显示材料和橡胶产业领域。目前公司产品已销往欧洲、北美、日本、韩国等国家和地区，赢得行业知名客户的认可。</w:t>
            </w:r>
          </w:p>
          <w:p w:rsidR="004A1C8D" w:rsidRPr="00596575" w:rsidRDefault="004A1C8D" w:rsidP="00596575">
            <w:pPr>
              <w:spacing w:line="360" w:lineRule="auto"/>
              <w:ind w:firstLineChars="200" w:firstLine="480"/>
              <w:rPr>
                <w:rFonts w:ascii="宋体" w:eastAsia="宋体" w:hAnsi="宋体"/>
                <w:sz w:val="24"/>
              </w:rPr>
            </w:pPr>
            <w:r w:rsidRPr="004A1C8D">
              <w:rPr>
                <w:rFonts w:ascii="宋体" w:eastAsia="宋体" w:hAnsi="宋体" w:hint="eastAsia"/>
                <w:sz w:val="24"/>
              </w:rPr>
              <w:t>伴随着新能源汽车行业的</w:t>
            </w:r>
            <w:r>
              <w:rPr>
                <w:rFonts w:ascii="宋体" w:eastAsia="宋体" w:hAnsi="宋体" w:hint="eastAsia"/>
                <w:sz w:val="24"/>
              </w:rPr>
              <w:t>快速发展，固态电池等先进电池技术不断实现突破。目前已知的固态电池工艺路线中，大部分将使用</w:t>
            </w:r>
            <w:r w:rsidRPr="004A1C8D">
              <w:rPr>
                <w:rFonts w:ascii="宋体" w:eastAsia="宋体" w:hAnsi="宋体" w:hint="eastAsia"/>
                <w:sz w:val="24"/>
              </w:rPr>
              <w:t>双（三氟甲磺酰）亚胺锂</w:t>
            </w:r>
            <w:r>
              <w:rPr>
                <w:rFonts w:ascii="宋体" w:eastAsia="宋体" w:hAnsi="宋体" w:hint="eastAsia"/>
                <w:sz w:val="24"/>
              </w:rPr>
              <w:t>等产品。今后，随着固态电池技术的日益成熟，</w:t>
            </w:r>
            <w:r w:rsidRPr="004A1C8D">
              <w:rPr>
                <w:rFonts w:ascii="宋体" w:eastAsia="宋体" w:hAnsi="宋体" w:hint="eastAsia"/>
                <w:sz w:val="24"/>
              </w:rPr>
              <w:t>双（三氟甲磺酰）亚胺锂等产品</w:t>
            </w:r>
            <w:r>
              <w:rPr>
                <w:rFonts w:ascii="宋体" w:eastAsia="宋体" w:hAnsi="宋体" w:hint="eastAsia"/>
                <w:sz w:val="24"/>
              </w:rPr>
              <w:t>，预计未来将有广阔的市场空间</w:t>
            </w:r>
            <w:r w:rsidRPr="004A1C8D">
              <w:rPr>
                <w:rFonts w:ascii="宋体" w:eastAsia="宋体" w:hAnsi="宋体" w:hint="eastAsia"/>
                <w:sz w:val="24"/>
              </w:rPr>
              <w:t>。</w:t>
            </w:r>
          </w:p>
          <w:p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5.</w:t>
            </w:r>
            <w:r w:rsidR="004A1C8D">
              <w:rPr>
                <w:rFonts w:ascii="宋体" w:eastAsia="宋体" w:hAnsi="宋体" w:hint="eastAsia"/>
                <w:b/>
                <w:sz w:val="24"/>
              </w:rPr>
              <w:t>请介绍下公司在降低产品成本方面采取的措施</w:t>
            </w:r>
            <w:r w:rsidRPr="00596575">
              <w:rPr>
                <w:rFonts w:ascii="宋体" w:eastAsia="宋体" w:hAnsi="宋体" w:hint="eastAsia"/>
                <w:b/>
                <w:sz w:val="24"/>
              </w:rPr>
              <w:t>？</w:t>
            </w:r>
          </w:p>
          <w:p w:rsidR="00AF22B9" w:rsidRPr="00596575" w:rsidRDefault="00AF22B9" w:rsidP="00596575">
            <w:pPr>
              <w:spacing w:line="360" w:lineRule="auto"/>
              <w:ind w:firstLineChars="200" w:firstLine="480"/>
              <w:rPr>
                <w:rFonts w:ascii="宋体" w:eastAsia="宋体" w:hAnsi="宋体"/>
                <w:sz w:val="24"/>
              </w:rPr>
            </w:pPr>
            <w:r w:rsidRPr="00596575">
              <w:rPr>
                <w:rFonts w:ascii="宋体" w:eastAsia="宋体" w:hAnsi="宋体"/>
                <w:sz w:val="24"/>
              </w:rPr>
              <w:t>答</w:t>
            </w:r>
            <w:r w:rsidRPr="00596575">
              <w:rPr>
                <w:rFonts w:ascii="宋体" w:eastAsia="宋体" w:hAnsi="宋体" w:hint="eastAsia"/>
                <w:sz w:val="24"/>
              </w:rPr>
              <w:t>：</w:t>
            </w:r>
            <w:r w:rsidR="004A1C8D" w:rsidRPr="004A1C8D">
              <w:rPr>
                <w:rFonts w:ascii="宋体" w:eastAsia="宋体" w:hAnsi="宋体" w:hint="eastAsia"/>
                <w:sz w:val="24"/>
              </w:rPr>
              <w:t>首先，公司产品生产技术源于公司自主研</w:t>
            </w:r>
            <w:r w:rsidR="00AB7909">
              <w:rPr>
                <w:rFonts w:ascii="宋体" w:eastAsia="宋体" w:hAnsi="宋体" w:hint="eastAsia"/>
                <w:sz w:val="24"/>
              </w:rPr>
              <w:t>发</w:t>
            </w:r>
            <w:r w:rsidR="004A1C8D" w:rsidRPr="004A1C8D">
              <w:rPr>
                <w:rFonts w:ascii="宋体" w:eastAsia="宋体" w:hAnsi="宋体" w:hint="eastAsia"/>
                <w:sz w:val="24"/>
              </w:rPr>
              <w:t>，生产工艺技术自主可控，可以通过不断技术更新改进来降低</w:t>
            </w:r>
            <w:r w:rsidR="004A1C8D">
              <w:rPr>
                <w:rFonts w:ascii="宋体" w:eastAsia="宋体" w:hAnsi="宋体" w:hint="eastAsia"/>
                <w:sz w:val="24"/>
              </w:rPr>
              <w:t>生产单耗；其次，公司积极开展电力、主要原材料要素整合，在内蒙古设立子公司并建设生产基地，进一步降低综合生产成本。目前，公司内蒙古子公司已完成</w:t>
            </w:r>
            <w:r w:rsidR="004A1C8D">
              <w:rPr>
                <w:rFonts w:ascii="宋体" w:eastAsia="宋体" w:hAnsi="宋体" w:hint="eastAsia"/>
                <w:sz w:val="24"/>
              </w:rPr>
              <w:lastRenderedPageBreak/>
              <w:t>土地购置，将按计划推进各项建设项目。公司积极推动成本工程管理，2024年，公司降本目标是实现成熟产品生产成本降低5%、新产品生产成本降低10%。</w:t>
            </w:r>
          </w:p>
          <w:p w:rsidR="00AF22B9" w:rsidRPr="00596575" w:rsidRDefault="00AF22B9" w:rsidP="00596575">
            <w:pPr>
              <w:spacing w:line="360" w:lineRule="auto"/>
              <w:ind w:firstLineChars="200" w:firstLine="482"/>
              <w:rPr>
                <w:rFonts w:ascii="宋体" w:eastAsia="宋体" w:hAnsi="宋体"/>
                <w:b/>
                <w:sz w:val="24"/>
              </w:rPr>
            </w:pPr>
            <w:r w:rsidRPr="00596575">
              <w:rPr>
                <w:rFonts w:ascii="宋体" w:eastAsia="宋体" w:hAnsi="宋体" w:hint="eastAsia"/>
                <w:b/>
                <w:sz w:val="24"/>
              </w:rPr>
              <w:t>6.</w:t>
            </w:r>
            <w:r w:rsidR="004A1C8D">
              <w:rPr>
                <w:rFonts w:ascii="宋体" w:eastAsia="宋体" w:hAnsi="宋体" w:hint="eastAsia"/>
                <w:b/>
                <w:sz w:val="24"/>
              </w:rPr>
              <w:t>2024年公司是否有公开募集资金的安排？是否有开展股权激励的计划？</w:t>
            </w:r>
          </w:p>
          <w:p w:rsidR="00AF22B9" w:rsidRDefault="00AF22B9" w:rsidP="00596575">
            <w:pPr>
              <w:spacing w:line="360" w:lineRule="auto"/>
              <w:ind w:firstLineChars="200" w:firstLine="480"/>
              <w:rPr>
                <w:rFonts w:ascii="宋体" w:eastAsia="宋体" w:hAnsi="宋体"/>
                <w:sz w:val="24"/>
              </w:rPr>
            </w:pPr>
            <w:r w:rsidRPr="00596575">
              <w:rPr>
                <w:rFonts w:ascii="宋体" w:eastAsia="宋体" w:hAnsi="宋体"/>
                <w:sz w:val="24"/>
              </w:rPr>
              <w:t>答</w:t>
            </w:r>
            <w:r w:rsidRPr="00596575">
              <w:rPr>
                <w:rFonts w:ascii="宋体" w:eastAsia="宋体" w:hAnsi="宋体" w:hint="eastAsia"/>
                <w:sz w:val="24"/>
              </w:rPr>
              <w:t>：</w:t>
            </w:r>
            <w:r w:rsidR="004A1C8D">
              <w:rPr>
                <w:rFonts w:ascii="宋体" w:eastAsia="宋体" w:hAnsi="宋体" w:hint="eastAsia"/>
                <w:sz w:val="24"/>
              </w:rPr>
              <w:t>公司目前现金流相对充足，可满足公司生产经营需求，暂无公开募资计划。</w:t>
            </w:r>
          </w:p>
          <w:p w:rsidR="00E30A59" w:rsidRPr="004A1C8D" w:rsidRDefault="004A1C8D" w:rsidP="004A1C8D">
            <w:pPr>
              <w:spacing w:line="360" w:lineRule="auto"/>
              <w:ind w:firstLineChars="200" w:firstLine="480"/>
              <w:rPr>
                <w:rFonts w:ascii="宋体" w:eastAsia="宋体" w:hAnsi="宋体"/>
                <w:sz w:val="24"/>
              </w:rPr>
            </w:pPr>
            <w:r>
              <w:rPr>
                <w:rFonts w:ascii="宋体" w:eastAsia="宋体" w:hAnsi="宋体" w:hint="eastAsia"/>
                <w:sz w:val="24"/>
              </w:rPr>
              <w:t>2020年，公司已经进行了一次股权激励，共有91名员工参与，对于稳定公司人才队伍起到积极作用。</w:t>
            </w:r>
            <w:r>
              <w:rPr>
                <w:rFonts w:ascii="宋体" w:eastAsia="宋体" w:hAnsi="宋体"/>
                <w:sz w:val="24"/>
              </w:rPr>
              <w:t>公司将充分考虑长远稳定发展的需要</w:t>
            </w:r>
            <w:r>
              <w:rPr>
                <w:rFonts w:ascii="宋体" w:eastAsia="宋体" w:hAnsi="宋体" w:hint="eastAsia"/>
                <w:sz w:val="24"/>
              </w:rPr>
              <w:t>，</w:t>
            </w:r>
            <w:r>
              <w:rPr>
                <w:rFonts w:ascii="宋体" w:eastAsia="宋体" w:hAnsi="宋体"/>
                <w:sz w:val="24"/>
              </w:rPr>
              <w:t>适时决定是否开展新的股权激励</w:t>
            </w:r>
            <w:r>
              <w:rPr>
                <w:rFonts w:ascii="宋体" w:eastAsia="宋体" w:hAnsi="宋体" w:hint="eastAsia"/>
                <w:sz w:val="24"/>
              </w:rPr>
              <w:t>。如后续有相关工作安排，</w:t>
            </w:r>
            <w:r>
              <w:rPr>
                <w:rFonts w:ascii="宋体" w:eastAsia="宋体" w:hAnsi="宋体"/>
                <w:sz w:val="24"/>
              </w:rPr>
              <w:t>公司将按监管规则要求及时发布公告</w:t>
            </w:r>
            <w:r>
              <w:rPr>
                <w:rFonts w:ascii="宋体" w:eastAsia="宋体" w:hAnsi="宋体" w:hint="eastAsia"/>
                <w:sz w:val="24"/>
              </w:rPr>
              <w:t>，敬</w:t>
            </w:r>
            <w:r>
              <w:rPr>
                <w:rFonts w:ascii="宋体" w:eastAsia="宋体" w:hAnsi="宋体"/>
                <w:sz w:val="24"/>
              </w:rPr>
              <w:t>请关注</w:t>
            </w:r>
            <w:r>
              <w:rPr>
                <w:rFonts w:ascii="宋体" w:eastAsia="宋体" w:hAnsi="宋体" w:hint="eastAsia"/>
                <w:sz w:val="24"/>
              </w:rPr>
              <w:t>。</w:t>
            </w:r>
          </w:p>
        </w:tc>
      </w:tr>
      <w:tr w:rsidR="00352AAB">
        <w:trPr>
          <w:trHeight w:val="1100"/>
        </w:trPr>
        <w:tc>
          <w:tcPr>
            <w:tcW w:w="2361" w:type="dxa"/>
            <w:vAlign w:val="center"/>
          </w:tcPr>
          <w:p w:rsidR="00E30A59" w:rsidRDefault="007613FB">
            <w:pPr>
              <w:spacing w:line="360" w:lineRule="auto"/>
              <w:rPr>
                <w:rFonts w:ascii="宋体" w:eastAsia="宋体" w:hAnsi="宋体" w:cs="宋体"/>
                <w:sz w:val="24"/>
              </w:rPr>
            </w:pPr>
            <w:r>
              <w:rPr>
                <w:rFonts w:ascii="宋体" w:eastAsia="宋体" w:hAnsi="宋体" w:cs="宋体" w:hint="eastAsia"/>
                <w:b/>
                <w:bCs/>
                <w:sz w:val="24"/>
              </w:rPr>
              <w:lastRenderedPageBreak/>
              <w:t>附件清单</w:t>
            </w:r>
            <w:r>
              <w:rPr>
                <w:rFonts w:ascii="宋体" w:eastAsia="宋体" w:hAnsi="宋体" w:cs="宋体" w:hint="eastAsia"/>
                <w:sz w:val="24"/>
              </w:rPr>
              <w:t>（如有）</w:t>
            </w:r>
          </w:p>
        </w:tc>
        <w:tc>
          <w:tcPr>
            <w:tcW w:w="6058" w:type="dxa"/>
            <w:vAlign w:val="center"/>
          </w:tcPr>
          <w:p w:rsidR="00E30A59" w:rsidRDefault="007613FB">
            <w:pPr>
              <w:spacing w:line="360" w:lineRule="auto"/>
              <w:rPr>
                <w:rFonts w:ascii="宋体" w:eastAsia="宋体" w:hAnsi="宋体" w:cs="宋体"/>
                <w:sz w:val="24"/>
              </w:rPr>
            </w:pPr>
            <w:r>
              <w:rPr>
                <w:rFonts w:ascii="宋体" w:eastAsia="宋体" w:hAnsi="宋体" w:cs="宋体"/>
                <w:sz w:val="24"/>
              </w:rPr>
              <w:t>无</w:t>
            </w:r>
          </w:p>
        </w:tc>
      </w:tr>
    </w:tbl>
    <w:p w:rsidR="00E30A59" w:rsidRDefault="00E30A59">
      <w:pPr>
        <w:rPr>
          <w:rFonts w:ascii="宋体" w:eastAsia="宋体" w:hAnsi="宋体" w:cs="宋体"/>
          <w:sz w:val="24"/>
        </w:rPr>
      </w:pPr>
    </w:p>
    <w:sectPr w:rsidR="00E30A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467B" w:rsidRDefault="00A5467B" w:rsidP="007613FB">
      <w:r>
        <w:separator/>
      </w:r>
    </w:p>
  </w:endnote>
  <w:endnote w:type="continuationSeparator" w:id="0">
    <w:p w:rsidR="00A5467B" w:rsidRDefault="00A5467B" w:rsidP="007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467B" w:rsidRDefault="00A5467B" w:rsidP="007613FB">
      <w:r>
        <w:separator/>
      </w:r>
    </w:p>
  </w:footnote>
  <w:footnote w:type="continuationSeparator" w:id="0">
    <w:p w:rsidR="00A5467B" w:rsidRDefault="00A5467B" w:rsidP="0076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F50B8B"/>
    <w:multiLevelType w:val="singleLevel"/>
    <w:tmpl w:val="F5F50B8B"/>
    <w:lvl w:ilvl="0">
      <w:start w:val="1"/>
      <w:numFmt w:val="decimal"/>
      <w:lvlText w:val="%1."/>
      <w:lvlJc w:val="left"/>
      <w:pPr>
        <w:tabs>
          <w:tab w:val="left" w:pos="312"/>
        </w:tabs>
      </w:pPr>
    </w:lvl>
  </w:abstractNum>
  <w:num w:numId="1" w16cid:durableId="144049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JiYzNkOWYyZjA1ZGM0ZjI0YzBkMzEwMjI5OTMxOTYifQ=="/>
  </w:docVars>
  <w:rsids>
    <w:rsidRoot w:val="00E41DD3"/>
    <w:rsid w:val="0002334C"/>
    <w:rsid w:val="000619DF"/>
    <w:rsid w:val="000C265C"/>
    <w:rsid w:val="000F0EAB"/>
    <w:rsid w:val="0011307A"/>
    <w:rsid w:val="00136CB9"/>
    <w:rsid w:val="0014011E"/>
    <w:rsid w:val="0015638D"/>
    <w:rsid w:val="00156953"/>
    <w:rsid w:val="00162EAA"/>
    <w:rsid w:val="00291E73"/>
    <w:rsid w:val="002C424F"/>
    <w:rsid w:val="00352AAB"/>
    <w:rsid w:val="00361851"/>
    <w:rsid w:val="004543E6"/>
    <w:rsid w:val="004A1C8D"/>
    <w:rsid w:val="00550720"/>
    <w:rsid w:val="00596575"/>
    <w:rsid w:val="00647780"/>
    <w:rsid w:val="006B13E9"/>
    <w:rsid w:val="00722376"/>
    <w:rsid w:val="007504E2"/>
    <w:rsid w:val="00752A8C"/>
    <w:rsid w:val="007613FB"/>
    <w:rsid w:val="00804746"/>
    <w:rsid w:val="008C7324"/>
    <w:rsid w:val="009B101A"/>
    <w:rsid w:val="00A06C21"/>
    <w:rsid w:val="00A5467B"/>
    <w:rsid w:val="00AB7909"/>
    <w:rsid w:val="00AF1C7A"/>
    <w:rsid w:val="00AF22B9"/>
    <w:rsid w:val="00C51DCB"/>
    <w:rsid w:val="00D05D35"/>
    <w:rsid w:val="00D45C12"/>
    <w:rsid w:val="00DE2D30"/>
    <w:rsid w:val="00DF6552"/>
    <w:rsid w:val="00E30A59"/>
    <w:rsid w:val="00E41DD3"/>
    <w:rsid w:val="00EF07D4"/>
    <w:rsid w:val="00F25459"/>
    <w:rsid w:val="0D522589"/>
    <w:rsid w:val="0E436275"/>
    <w:rsid w:val="4CBA251B"/>
    <w:rsid w:val="505F3BA0"/>
    <w:rsid w:val="5E3865C5"/>
    <w:rsid w:val="6FBE6756"/>
    <w:rsid w:val="76B669CC"/>
    <w:rsid w:val="7773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7C7E6"/>
  <w15:docId w15:val="{72F53111-371B-4AB9-BA4E-2B8A510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rsid w:val="00AF2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89C379-C09C-4C4E-997C-000CA5269E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董事会办公室</dc:creator>
  <cp:lastModifiedBy>董事会办公室</cp:lastModifiedBy>
  <cp:revision>16</cp:revision>
  <dcterms:created xsi:type="dcterms:W3CDTF">2023-09-21T04:34:00Z</dcterms:created>
  <dcterms:modified xsi:type="dcterms:W3CDTF">2024-04-30T07:52:00Z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85309CFD595243E3A9D65F375CA5C311_12</vt:lpwstr>
  </property>
</Properties>
</file>