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260" w:after="260" w:line="360" w:lineRule="auto"/>
        <w:jc w:val="center"/>
        <w:outlineLvl w:val="1"/>
        <w:rPr>
          <w:rFonts w:ascii="宋体" w:hAnsi="宋体" w:eastAsia="宋体" w:cs="Times New Roman"/>
          <w:b/>
          <w:bCs/>
          <w:iCs/>
          <w:sz w:val="24"/>
          <w:szCs w:val="24"/>
        </w:rPr>
      </w:pPr>
      <w:r>
        <w:rPr>
          <w:rFonts w:hint="eastAsia" w:ascii="宋体" w:hAnsi="宋体" w:eastAsia="宋体" w:cs="Times New Roman"/>
          <w:b/>
          <w:bCs/>
          <w:iCs/>
          <w:sz w:val="24"/>
          <w:szCs w:val="24"/>
        </w:rPr>
        <w:t>证券代码：605377                                 证券简称：华旺科技</w:t>
      </w:r>
      <w:r>
        <w:rPr>
          <w:rFonts w:ascii="宋体" w:hAnsi="宋体" w:eastAsia="宋体" w:cs="Times New Roman"/>
          <w:b/>
          <w:bCs/>
          <w:iCs/>
          <w:sz w:val="24"/>
          <w:szCs w:val="24"/>
        </w:rPr>
        <w:t xml:space="preserve"> </w:t>
      </w:r>
    </w:p>
    <w:p>
      <w:pPr>
        <w:keepNext/>
        <w:keepLines/>
        <w:spacing w:before="156" w:beforeLines="50" w:after="156" w:afterLines="50" w:line="360" w:lineRule="auto"/>
        <w:jc w:val="center"/>
        <w:outlineLvl w:val="1"/>
        <w:rPr>
          <w:rFonts w:ascii="宋体" w:hAnsi="宋体" w:eastAsia="宋体" w:cs="Times New Roman"/>
          <w:b/>
          <w:bCs/>
          <w:sz w:val="32"/>
          <w:szCs w:val="32"/>
        </w:rPr>
      </w:pPr>
      <w:r>
        <w:rPr>
          <w:rFonts w:hint="eastAsia" w:ascii="宋体" w:hAnsi="宋体" w:eastAsia="宋体" w:cs="Times New Roman"/>
          <w:b/>
          <w:bCs/>
          <w:sz w:val="32"/>
          <w:szCs w:val="32"/>
        </w:rPr>
        <w:t>杭州华旺新材料科技股份有限公司</w:t>
      </w:r>
    </w:p>
    <w:p>
      <w:pPr>
        <w:keepNext/>
        <w:keepLines/>
        <w:spacing w:before="156" w:beforeLines="50" w:after="156" w:afterLines="50" w:line="360" w:lineRule="auto"/>
        <w:jc w:val="center"/>
        <w:outlineLvl w:val="1"/>
        <w:rPr>
          <w:rFonts w:ascii="宋体" w:hAnsi="宋体" w:eastAsia="宋体" w:cs="Times New Roman"/>
          <w:b/>
          <w:bCs/>
          <w:sz w:val="32"/>
          <w:szCs w:val="32"/>
        </w:rPr>
      </w:pPr>
      <w:r>
        <w:rPr>
          <w:rFonts w:hint="eastAsia" w:ascii="宋体" w:hAnsi="宋体" w:eastAsia="宋体" w:cs="Times New Roman"/>
          <w:b/>
          <w:bCs/>
          <w:sz w:val="32"/>
          <w:szCs w:val="32"/>
        </w:rPr>
        <w:t>投资者关系活动记录表</w:t>
      </w:r>
    </w:p>
    <w:p>
      <w:pPr>
        <w:keepNext/>
        <w:keepLines/>
        <w:spacing w:before="260" w:after="260" w:line="360" w:lineRule="auto"/>
        <w:jc w:val="right"/>
        <w:outlineLvl w:val="1"/>
        <w:rPr>
          <w:rFonts w:hint="default" w:ascii="宋体" w:hAnsi="宋体" w:eastAsia="宋体" w:cs="Times New Roman"/>
          <w:b/>
          <w:bCs/>
          <w:sz w:val="24"/>
          <w:szCs w:val="24"/>
          <w:highlight w:val="none"/>
          <w:lang w:val="en-US" w:eastAsia="zh-CN"/>
        </w:rPr>
      </w:pPr>
      <w:r>
        <w:rPr>
          <w:rFonts w:hint="eastAsia" w:ascii="宋体" w:hAnsi="宋体" w:eastAsia="宋体" w:cs="Times New Roman"/>
          <w:b/>
          <w:bCs/>
          <w:sz w:val="24"/>
          <w:szCs w:val="24"/>
        </w:rPr>
        <w:t>编号</w:t>
      </w:r>
      <w:r>
        <w:rPr>
          <w:rFonts w:hint="eastAsia" w:ascii="宋体" w:hAnsi="宋体" w:eastAsia="宋体" w:cs="Times New Roman"/>
          <w:b/>
          <w:bCs/>
          <w:sz w:val="24"/>
          <w:szCs w:val="24"/>
          <w:highlight w:val="none"/>
        </w:rPr>
        <w:t>：202</w:t>
      </w:r>
      <w:r>
        <w:rPr>
          <w:rFonts w:hint="eastAsia" w:ascii="宋体" w:hAnsi="宋体" w:eastAsia="宋体" w:cs="Times New Roman"/>
          <w:b/>
          <w:bCs/>
          <w:sz w:val="24"/>
          <w:szCs w:val="24"/>
          <w:highlight w:val="none"/>
          <w:lang w:val="en-US" w:eastAsia="zh-CN"/>
        </w:rPr>
        <w:t>4</w:t>
      </w:r>
      <w:r>
        <w:rPr>
          <w:rFonts w:hint="eastAsia" w:ascii="宋体" w:hAnsi="宋体" w:eastAsia="宋体" w:cs="Times New Roman"/>
          <w:b/>
          <w:bCs/>
          <w:sz w:val="24"/>
          <w:szCs w:val="24"/>
          <w:highlight w:val="none"/>
        </w:rPr>
        <w:t>-</w:t>
      </w:r>
      <w:r>
        <w:rPr>
          <w:rFonts w:hint="eastAsia" w:ascii="宋体" w:hAnsi="宋体" w:eastAsia="宋体" w:cs="Times New Roman"/>
          <w:b/>
          <w:bCs/>
          <w:sz w:val="24"/>
          <w:szCs w:val="24"/>
          <w:highlight w:val="none"/>
          <w:lang w:val="en-US" w:eastAsia="zh-CN"/>
        </w:rPr>
        <w:t>001</w:t>
      </w:r>
    </w:p>
    <w:tbl>
      <w:tblPr>
        <w:tblStyle w:val="10"/>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0"/>
        <w:gridCol w:w="5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0" w:type="dxa"/>
            <w:shd w:val="clear" w:color="auto" w:fill="auto"/>
          </w:tcPr>
          <w:p>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投资者关系活动类别</w:t>
            </w:r>
          </w:p>
          <w:p>
            <w:pPr>
              <w:spacing w:line="360" w:lineRule="auto"/>
              <w:rPr>
                <w:rFonts w:ascii="宋体" w:hAnsi="宋体" w:eastAsia="宋体" w:cs="Times New Roman"/>
                <w:b/>
                <w:bCs/>
                <w:iCs/>
                <w:sz w:val="24"/>
                <w:szCs w:val="24"/>
              </w:rPr>
            </w:pPr>
          </w:p>
        </w:tc>
        <w:tc>
          <w:tcPr>
            <w:tcW w:w="5930" w:type="dxa"/>
            <w:shd w:val="clear" w:color="auto" w:fill="auto"/>
          </w:tcPr>
          <w:p>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sym w:font="Wingdings 2" w:char="00A3"/>
            </w:r>
            <w:r>
              <w:rPr>
                <w:rFonts w:hint="eastAsia" w:ascii="宋体" w:hAnsi="宋体" w:eastAsia="宋体" w:cs="Times New Roman"/>
                <w:sz w:val="24"/>
                <w:szCs w:val="24"/>
              </w:rPr>
              <w:t xml:space="preserve">特定对象调研        </w:t>
            </w:r>
            <w:r>
              <w:rPr>
                <w:rFonts w:hint="eastAsia" w:ascii="宋体" w:hAnsi="宋体" w:eastAsia="宋体" w:cs="Times New Roman"/>
                <w:bCs/>
                <w:iCs/>
                <w:sz w:val="24"/>
                <w:szCs w:val="24"/>
              </w:rPr>
              <w:t>□</w:t>
            </w:r>
            <w:r>
              <w:rPr>
                <w:rFonts w:hint="eastAsia" w:ascii="宋体" w:hAnsi="宋体" w:eastAsia="宋体" w:cs="Times New Roman"/>
                <w:sz w:val="24"/>
                <w:szCs w:val="24"/>
              </w:rPr>
              <w:t>分析师会议</w:t>
            </w:r>
          </w:p>
          <w:p>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媒体采访            </w:t>
            </w:r>
            <w:r>
              <w:rPr>
                <w:rFonts w:hint="eastAsia" w:ascii="宋体" w:hAnsi="宋体" w:eastAsia="宋体" w:cs="Times New Roman"/>
                <w:bCs/>
                <w:iCs/>
                <w:sz w:val="24"/>
                <w:szCs w:val="24"/>
              </w:rPr>
              <w:t>□</w:t>
            </w:r>
            <w:r>
              <w:rPr>
                <w:rFonts w:hint="eastAsia" w:ascii="宋体" w:hAnsi="宋体" w:eastAsia="宋体" w:cs="Times New Roman"/>
                <w:sz w:val="24"/>
                <w:szCs w:val="24"/>
              </w:rPr>
              <w:t>业绩说明会</w:t>
            </w:r>
          </w:p>
          <w:p>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新闻发布会          </w:t>
            </w:r>
            <w:r>
              <w:rPr>
                <w:rFonts w:hint="eastAsia" w:ascii="宋体" w:hAnsi="宋体" w:eastAsia="宋体" w:cs="Times New Roman"/>
                <w:bCs/>
                <w:iCs/>
                <w:sz w:val="24"/>
                <w:szCs w:val="24"/>
              </w:rPr>
              <w:t>□</w:t>
            </w:r>
            <w:r>
              <w:rPr>
                <w:rFonts w:hint="eastAsia" w:ascii="宋体" w:hAnsi="宋体" w:eastAsia="宋体" w:cs="Times New Roman"/>
                <w:sz w:val="24"/>
                <w:szCs w:val="24"/>
              </w:rPr>
              <w:t>路演活动</w:t>
            </w:r>
          </w:p>
          <w:p>
            <w:pPr>
              <w:tabs>
                <w:tab w:val="left" w:pos="2690"/>
                <w:tab w:val="center" w:pos="3199"/>
              </w:tabs>
              <w:spacing w:line="360" w:lineRule="auto"/>
              <w:rPr>
                <w:rFonts w:ascii="宋体" w:hAnsi="宋体" w:eastAsia="宋体" w:cs="Times New Roman"/>
                <w:bCs/>
                <w:iCs/>
                <w:sz w:val="24"/>
                <w:szCs w:val="24"/>
              </w:rPr>
            </w:pPr>
            <w:r>
              <w:rPr>
                <w:rFonts w:hint="eastAsia" w:ascii="宋体" w:hAnsi="宋体" w:eastAsia="宋体" w:cs="Times New Roman"/>
                <w:bCs/>
                <w:iCs/>
                <w:sz w:val="24"/>
                <w:szCs w:val="24"/>
                <w:lang w:eastAsia="zh-CN"/>
              </w:rPr>
              <w:t>□</w:t>
            </w:r>
            <w:r>
              <w:rPr>
                <w:rFonts w:hint="eastAsia" w:ascii="宋体" w:hAnsi="宋体" w:eastAsia="宋体" w:cs="Times New Roman"/>
                <w:sz w:val="24"/>
                <w:szCs w:val="24"/>
              </w:rPr>
              <w:t xml:space="preserve">现场参观 </w:t>
            </w:r>
            <w:r>
              <w:rPr>
                <w:rFonts w:ascii="宋体" w:hAnsi="宋体" w:eastAsia="宋体" w:cs="Times New Roman"/>
                <w:sz w:val="24"/>
                <w:szCs w:val="24"/>
              </w:rPr>
              <w:t xml:space="preserve">           </w:t>
            </w:r>
            <w:r>
              <w:rPr>
                <w:rFonts w:hint="eastAsia" w:ascii="宋体" w:hAnsi="宋体" w:eastAsia="宋体" w:cs="Times New Roman"/>
                <w:sz w:val="24"/>
                <w:szCs w:val="24"/>
              </w:rPr>
              <w:sym w:font="Wingdings 2" w:char="0052"/>
            </w:r>
            <w:r>
              <w:rPr>
                <w:rFonts w:hint="eastAsia" w:ascii="宋体" w:hAnsi="宋体" w:eastAsia="宋体" w:cs="Times New Roman"/>
                <w:sz w:val="24"/>
                <w:szCs w:val="24"/>
              </w:rPr>
              <w:t>电话会议</w:t>
            </w:r>
          </w:p>
          <w:p>
            <w:pPr>
              <w:tabs>
                <w:tab w:val="center" w:pos="3199"/>
              </w:tabs>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0" w:type="dxa"/>
            <w:shd w:val="clear" w:color="auto" w:fill="auto"/>
          </w:tcPr>
          <w:p>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参与单位名称</w:t>
            </w:r>
          </w:p>
        </w:tc>
        <w:tc>
          <w:tcPr>
            <w:tcW w:w="5930" w:type="dxa"/>
            <w:shd w:val="clear" w:color="auto" w:fill="auto"/>
          </w:tcPr>
          <w:p>
            <w:pPr>
              <w:tabs>
                <w:tab w:val="center" w:pos="2798"/>
              </w:tabs>
              <w:spacing w:line="360" w:lineRule="auto"/>
              <w:rPr>
                <w:rFonts w:hint="default" w:ascii="宋体" w:hAnsi="宋体" w:eastAsia="宋体" w:cs="Times New Roman"/>
                <w:bCs/>
                <w:iCs/>
                <w:sz w:val="24"/>
                <w:szCs w:val="24"/>
                <w:lang w:val="en-US" w:eastAsia="zh-CN"/>
              </w:rPr>
            </w:pPr>
            <w:r>
              <w:rPr>
                <w:rFonts w:hint="default" w:ascii="宋体" w:hAnsi="宋体" w:eastAsia="宋体" w:cs="Times New Roman"/>
                <w:bCs/>
                <w:iCs/>
                <w:sz w:val="24"/>
                <w:szCs w:val="24"/>
                <w:lang w:val="en-US" w:eastAsia="zh-CN"/>
              </w:rPr>
              <w:t>景顺长城</w:t>
            </w:r>
            <w:r>
              <w:rPr>
                <w:rFonts w:hint="eastAsia" w:ascii="宋体" w:hAnsi="宋体" w:eastAsia="宋体" w:cs="Times New Roman"/>
                <w:bCs/>
                <w:iCs/>
                <w:sz w:val="24"/>
                <w:szCs w:val="24"/>
                <w:lang w:val="en-US" w:eastAsia="zh-CN"/>
              </w:rPr>
              <w:t>基金、</w:t>
            </w:r>
            <w:r>
              <w:rPr>
                <w:rFonts w:hint="default" w:ascii="宋体" w:hAnsi="宋体" w:eastAsia="宋体" w:cs="Times New Roman"/>
                <w:bCs/>
                <w:iCs/>
                <w:sz w:val="24"/>
                <w:szCs w:val="24"/>
                <w:lang w:val="en-US" w:eastAsia="zh-CN"/>
              </w:rPr>
              <w:t>易方达</w:t>
            </w:r>
            <w:r>
              <w:rPr>
                <w:rFonts w:hint="eastAsia" w:ascii="宋体" w:hAnsi="宋体" w:eastAsia="宋体" w:cs="Times New Roman"/>
                <w:bCs/>
                <w:iCs/>
                <w:sz w:val="24"/>
                <w:szCs w:val="24"/>
                <w:lang w:val="en-US" w:eastAsia="zh-CN"/>
              </w:rPr>
              <w:t>基金、</w:t>
            </w:r>
            <w:r>
              <w:rPr>
                <w:rFonts w:hint="default" w:ascii="宋体" w:hAnsi="宋体" w:eastAsia="宋体" w:cs="Times New Roman"/>
                <w:bCs/>
                <w:iCs/>
                <w:sz w:val="24"/>
                <w:szCs w:val="24"/>
                <w:lang w:val="en-US" w:eastAsia="zh-CN"/>
              </w:rPr>
              <w:t>富国基金</w:t>
            </w:r>
            <w:r>
              <w:rPr>
                <w:rFonts w:hint="eastAsia" w:ascii="宋体" w:hAnsi="宋体" w:eastAsia="宋体" w:cs="Times New Roman"/>
                <w:bCs/>
                <w:iCs/>
                <w:sz w:val="24"/>
                <w:szCs w:val="24"/>
                <w:lang w:val="en-US" w:eastAsia="zh-CN"/>
              </w:rPr>
              <w:t>、</w:t>
            </w:r>
            <w:r>
              <w:rPr>
                <w:rFonts w:hint="default" w:ascii="宋体" w:hAnsi="宋体" w:eastAsia="宋体" w:cs="Times New Roman"/>
                <w:bCs/>
                <w:iCs/>
                <w:sz w:val="24"/>
                <w:szCs w:val="24"/>
                <w:lang w:val="en-US" w:eastAsia="zh-CN"/>
              </w:rPr>
              <w:t>工银瑞信基金</w:t>
            </w:r>
            <w:r>
              <w:rPr>
                <w:rFonts w:hint="eastAsia" w:ascii="宋体" w:hAnsi="宋体" w:eastAsia="宋体" w:cs="Times New Roman"/>
                <w:bCs/>
                <w:iCs/>
                <w:sz w:val="24"/>
                <w:szCs w:val="24"/>
                <w:lang w:val="en-US" w:eastAsia="zh-CN"/>
              </w:rPr>
              <w:t>、</w:t>
            </w:r>
            <w:r>
              <w:rPr>
                <w:rFonts w:hint="default" w:ascii="宋体" w:hAnsi="宋体" w:eastAsia="宋体" w:cs="Times New Roman"/>
                <w:bCs/>
                <w:iCs/>
                <w:sz w:val="24"/>
                <w:szCs w:val="24"/>
                <w:lang w:val="en-US" w:eastAsia="zh-CN"/>
              </w:rPr>
              <w:t>广发基金</w:t>
            </w:r>
            <w:r>
              <w:rPr>
                <w:rFonts w:hint="eastAsia" w:ascii="宋体" w:hAnsi="宋体" w:eastAsia="宋体" w:cs="Times New Roman"/>
                <w:bCs/>
                <w:iCs/>
                <w:sz w:val="24"/>
                <w:szCs w:val="24"/>
                <w:lang w:val="en-US" w:eastAsia="zh-CN"/>
              </w:rPr>
              <w:t>、博时基金、</w:t>
            </w:r>
            <w:r>
              <w:rPr>
                <w:rFonts w:hint="default" w:ascii="宋体" w:hAnsi="宋体" w:eastAsia="宋体" w:cs="Times New Roman"/>
                <w:bCs/>
                <w:iCs/>
                <w:sz w:val="24"/>
                <w:szCs w:val="24"/>
                <w:lang w:val="en-US" w:eastAsia="zh-CN"/>
              </w:rPr>
              <w:t>华夏基金</w:t>
            </w:r>
            <w:r>
              <w:rPr>
                <w:rFonts w:hint="eastAsia" w:ascii="宋体" w:hAnsi="宋体" w:eastAsia="宋体" w:cs="Times New Roman"/>
                <w:bCs/>
                <w:iCs/>
                <w:sz w:val="24"/>
                <w:szCs w:val="24"/>
                <w:lang w:val="en-US" w:eastAsia="zh-CN"/>
              </w:rPr>
              <w:t>、光大保德信基金、</w:t>
            </w:r>
            <w:r>
              <w:rPr>
                <w:rFonts w:hint="default" w:ascii="宋体" w:hAnsi="宋体" w:eastAsia="宋体" w:cs="Times New Roman"/>
                <w:bCs/>
                <w:iCs/>
                <w:sz w:val="24"/>
                <w:szCs w:val="24"/>
                <w:lang w:val="en-US" w:eastAsia="zh-CN"/>
              </w:rPr>
              <w:t>汇丰晋信</w:t>
            </w:r>
            <w:r>
              <w:rPr>
                <w:rFonts w:hint="eastAsia" w:ascii="宋体" w:hAnsi="宋体" w:eastAsia="宋体" w:cs="Times New Roman"/>
                <w:bCs/>
                <w:iCs/>
                <w:sz w:val="24"/>
                <w:szCs w:val="24"/>
                <w:lang w:val="en-US" w:eastAsia="zh-CN"/>
              </w:rPr>
              <w:t>、</w:t>
            </w:r>
            <w:r>
              <w:rPr>
                <w:rFonts w:hint="default" w:ascii="宋体" w:hAnsi="宋体" w:eastAsia="宋体" w:cs="Times New Roman"/>
                <w:bCs/>
                <w:iCs/>
                <w:sz w:val="24"/>
                <w:szCs w:val="24"/>
                <w:lang w:val="en-US" w:eastAsia="zh-CN"/>
              </w:rPr>
              <w:t>嘉实基金</w:t>
            </w:r>
            <w:r>
              <w:rPr>
                <w:rFonts w:hint="eastAsia" w:ascii="宋体" w:hAnsi="宋体" w:eastAsia="宋体" w:cs="Times New Roman"/>
                <w:bCs/>
                <w:iCs/>
                <w:sz w:val="24"/>
                <w:szCs w:val="24"/>
                <w:lang w:val="en-US" w:eastAsia="zh-CN"/>
              </w:rPr>
              <w:t>、</w:t>
            </w:r>
            <w:r>
              <w:rPr>
                <w:rFonts w:hint="default" w:ascii="宋体" w:hAnsi="宋体" w:eastAsia="宋体" w:cs="Times New Roman"/>
                <w:bCs/>
                <w:iCs/>
                <w:sz w:val="24"/>
                <w:szCs w:val="24"/>
                <w:lang w:val="en-US" w:eastAsia="zh-CN"/>
              </w:rPr>
              <w:t>交银施罗德</w:t>
            </w:r>
            <w:r>
              <w:rPr>
                <w:rFonts w:hint="eastAsia" w:ascii="宋体" w:hAnsi="宋体" w:eastAsia="宋体" w:cs="Times New Roman"/>
                <w:bCs/>
                <w:iCs/>
                <w:sz w:val="24"/>
                <w:szCs w:val="24"/>
                <w:lang w:val="en-US" w:eastAsia="zh-CN"/>
              </w:rPr>
              <w:t>基金、</w:t>
            </w:r>
            <w:r>
              <w:rPr>
                <w:rFonts w:hint="default" w:ascii="宋体" w:hAnsi="宋体" w:eastAsia="宋体" w:cs="Times New Roman"/>
                <w:bCs/>
                <w:iCs/>
                <w:sz w:val="24"/>
                <w:szCs w:val="24"/>
                <w:lang w:val="en-US" w:eastAsia="zh-CN"/>
              </w:rPr>
              <w:t>南方基金</w:t>
            </w:r>
            <w:r>
              <w:rPr>
                <w:rFonts w:hint="eastAsia" w:ascii="宋体" w:hAnsi="宋体" w:eastAsia="宋体" w:cs="Times New Roman"/>
                <w:bCs/>
                <w:iCs/>
                <w:sz w:val="24"/>
                <w:szCs w:val="24"/>
                <w:lang w:val="en-US" w:eastAsia="zh-CN"/>
              </w:rPr>
              <w:t>、</w:t>
            </w:r>
            <w:r>
              <w:rPr>
                <w:rFonts w:hint="default" w:ascii="宋体" w:hAnsi="宋体" w:eastAsia="宋体" w:cs="Times New Roman"/>
                <w:bCs/>
                <w:iCs/>
                <w:sz w:val="24"/>
                <w:szCs w:val="24"/>
                <w:lang w:val="en-US" w:eastAsia="zh-CN"/>
              </w:rPr>
              <w:t>招商基金</w:t>
            </w:r>
            <w:r>
              <w:rPr>
                <w:rFonts w:hint="eastAsia" w:ascii="宋体" w:hAnsi="宋体" w:eastAsia="宋体" w:cs="Times New Roman"/>
                <w:bCs/>
                <w:iCs/>
                <w:sz w:val="24"/>
                <w:szCs w:val="24"/>
                <w:lang w:val="en-US" w:eastAsia="zh-CN"/>
              </w:rPr>
              <w:t>、</w:t>
            </w:r>
            <w:r>
              <w:rPr>
                <w:rFonts w:hint="default" w:ascii="宋体" w:hAnsi="宋体" w:eastAsia="宋体" w:cs="Times New Roman"/>
                <w:bCs/>
                <w:iCs/>
                <w:sz w:val="24"/>
                <w:szCs w:val="24"/>
                <w:lang w:val="en-US" w:eastAsia="zh-CN"/>
              </w:rPr>
              <w:t>国泰基金</w:t>
            </w:r>
            <w:r>
              <w:rPr>
                <w:rFonts w:hint="eastAsia" w:ascii="宋体" w:hAnsi="宋体" w:eastAsia="宋体" w:cs="Times New Roman"/>
                <w:bCs/>
                <w:iCs/>
                <w:sz w:val="24"/>
                <w:szCs w:val="24"/>
                <w:lang w:val="en-US" w:eastAsia="zh-CN"/>
              </w:rPr>
              <w:t>、</w:t>
            </w:r>
            <w:r>
              <w:rPr>
                <w:rFonts w:hint="default" w:ascii="宋体" w:hAnsi="宋体" w:eastAsia="宋体" w:cs="Times New Roman"/>
                <w:bCs/>
                <w:iCs/>
                <w:sz w:val="24"/>
                <w:szCs w:val="24"/>
                <w:lang w:val="en-US" w:eastAsia="zh-CN"/>
              </w:rPr>
              <w:t>华宝基金</w:t>
            </w:r>
            <w:r>
              <w:rPr>
                <w:rFonts w:hint="eastAsia" w:ascii="宋体" w:hAnsi="宋体" w:eastAsia="宋体" w:cs="Times New Roman"/>
                <w:bCs/>
                <w:iCs/>
                <w:sz w:val="24"/>
                <w:szCs w:val="24"/>
                <w:lang w:val="en-US" w:eastAsia="zh-CN"/>
              </w:rPr>
              <w:t>、</w:t>
            </w:r>
            <w:r>
              <w:rPr>
                <w:rFonts w:hint="default" w:ascii="宋体" w:hAnsi="宋体" w:eastAsia="宋体" w:cs="Times New Roman"/>
                <w:bCs/>
                <w:iCs/>
                <w:sz w:val="24"/>
                <w:szCs w:val="24"/>
                <w:lang w:val="en-US" w:eastAsia="zh-CN"/>
              </w:rPr>
              <w:t>诺安基金</w:t>
            </w:r>
            <w:r>
              <w:rPr>
                <w:rFonts w:hint="eastAsia" w:ascii="宋体" w:hAnsi="宋体" w:eastAsia="宋体" w:cs="Times New Roman"/>
                <w:bCs/>
                <w:iCs/>
                <w:sz w:val="24"/>
                <w:szCs w:val="24"/>
                <w:lang w:val="en-US" w:eastAsia="zh-CN"/>
              </w:rPr>
              <w:t>、</w:t>
            </w:r>
            <w:r>
              <w:rPr>
                <w:rFonts w:hint="default" w:ascii="宋体" w:hAnsi="宋体" w:eastAsia="宋体" w:cs="Times New Roman"/>
                <w:bCs/>
                <w:iCs/>
                <w:sz w:val="24"/>
                <w:szCs w:val="24"/>
                <w:lang w:val="en-US" w:eastAsia="zh-CN"/>
              </w:rPr>
              <w:t>平安养老</w:t>
            </w:r>
            <w:r>
              <w:rPr>
                <w:rFonts w:hint="eastAsia" w:ascii="宋体" w:hAnsi="宋体" w:eastAsia="宋体" w:cs="Times New Roman"/>
                <w:bCs/>
                <w:iCs/>
                <w:sz w:val="24"/>
                <w:szCs w:val="24"/>
                <w:lang w:val="en-US" w:eastAsia="zh-CN"/>
              </w:rPr>
              <w:t>、</w:t>
            </w:r>
            <w:r>
              <w:rPr>
                <w:rFonts w:hint="default" w:ascii="宋体" w:hAnsi="宋体" w:eastAsia="宋体" w:cs="Times New Roman"/>
                <w:bCs/>
                <w:iCs/>
                <w:sz w:val="24"/>
                <w:szCs w:val="24"/>
                <w:lang w:val="en-US" w:eastAsia="zh-CN"/>
              </w:rPr>
              <w:t>太平基金</w:t>
            </w:r>
            <w:r>
              <w:rPr>
                <w:rFonts w:hint="eastAsia" w:ascii="宋体" w:hAnsi="宋体" w:eastAsia="宋体" w:cs="Times New Roman"/>
                <w:bCs/>
                <w:iCs/>
                <w:sz w:val="24"/>
                <w:szCs w:val="24"/>
                <w:lang w:val="en-US" w:eastAsia="zh-CN"/>
              </w:rPr>
              <w:t>、</w:t>
            </w:r>
            <w:r>
              <w:rPr>
                <w:rFonts w:hint="default" w:ascii="宋体" w:hAnsi="宋体" w:eastAsia="宋体" w:cs="Times New Roman"/>
                <w:bCs/>
                <w:iCs/>
                <w:sz w:val="24"/>
                <w:szCs w:val="24"/>
                <w:lang w:val="en-US" w:eastAsia="zh-CN"/>
              </w:rPr>
              <w:t>中邮人寿保险</w:t>
            </w:r>
            <w:r>
              <w:rPr>
                <w:rFonts w:hint="eastAsia" w:ascii="宋体" w:hAnsi="宋体" w:eastAsia="宋体" w:cs="Times New Roman"/>
                <w:bCs/>
                <w:iCs/>
                <w:sz w:val="24"/>
                <w:szCs w:val="24"/>
                <w:lang w:val="en-US" w:eastAsia="zh-CN"/>
              </w:rPr>
              <w:t>、</w:t>
            </w:r>
            <w:r>
              <w:rPr>
                <w:rFonts w:hint="default" w:ascii="宋体" w:hAnsi="宋体" w:eastAsia="宋体" w:cs="Times New Roman"/>
                <w:bCs/>
                <w:iCs/>
                <w:sz w:val="24"/>
                <w:szCs w:val="24"/>
                <w:lang w:val="en-US" w:eastAsia="zh-CN"/>
              </w:rPr>
              <w:t>信泰人寿</w:t>
            </w:r>
            <w:r>
              <w:rPr>
                <w:rFonts w:hint="eastAsia" w:ascii="宋体" w:hAnsi="宋体" w:eastAsia="宋体" w:cs="Times New Roman"/>
                <w:bCs/>
                <w:iCs/>
                <w:sz w:val="24"/>
                <w:szCs w:val="24"/>
                <w:lang w:val="en-US" w:eastAsia="zh-CN"/>
              </w:rPr>
              <w:t>、</w:t>
            </w:r>
            <w:r>
              <w:rPr>
                <w:rFonts w:hint="default" w:ascii="宋体" w:hAnsi="宋体" w:eastAsia="宋体" w:cs="Times New Roman"/>
                <w:bCs/>
                <w:iCs/>
                <w:sz w:val="24"/>
                <w:szCs w:val="24"/>
                <w:lang w:val="en-US" w:eastAsia="zh-CN"/>
              </w:rPr>
              <w:t>中信建投基金</w:t>
            </w:r>
            <w:r>
              <w:rPr>
                <w:rFonts w:hint="eastAsia" w:ascii="宋体" w:hAnsi="宋体" w:eastAsia="宋体" w:cs="Times New Roman"/>
                <w:bCs/>
                <w:iCs/>
                <w:sz w:val="24"/>
                <w:szCs w:val="24"/>
                <w:lang w:val="en-US" w:eastAsia="zh-CN"/>
              </w:rPr>
              <w:t>、</w:t>
            </w:r>
            <w:r>
              <w:rPr>
                <w:rFonts w:hint="default" w:ascii="宋体" w:hAnsi="宋体" w:eastAsia="宋体" w:cs="Times New Roman"/>
                <w:bCs/>
                <w:iCs/>
                <w:sz w:val="24"/>
                <w:szCs w:val="24"/>
                <w:lang w:val="en-US" w:eastAsia="zh-CN"/>
              </w:rPr>
              <w:t>国华兴益保险</w:t>
            </w:r>
            <w:r>
              <w:rPr>
                <w:rFonts w:hint="eastAsia" w:ascii="宋体" w:hAnsi="宋体" w:eastAsia="宋体" w:cs="Times New Roman"/>
                <w:bCs/>
                <w:iCs/>
                <w:sz w:val="24"/>
                <w:szCs w:val="24"/>
                <w:lang w:val="en-US" w:eastAsia="zh-CN"/>
              </w:rPr>
              <w:t>、</w:t>
            </w:r>
            <w:r>
              <w:rPr>
                <w:rFonts w:hint="default" w:ascii="宋体" w:hAnsi="宋体" w:eastAsia="宋体" w:cs="Times New Roman"/>
                <w:bCs/>
                <w:iCs/>
                <w:sz w:val="24"/>
                <w:szCs w:val="24"/>
                <w:lang w:val="en-US" w:eastAsia="zh-CN"/>
              </w:rPr>
              <w:t>汇安基金</w:t>
            </w:r>
            <w:r>
              <w:rPr>
                <w:rFonts w:hint="eastAsia" w:ascii="宋体" w:hAnsi="宋体" w:eastAsia="宋体" w:cs="Times New Roman"/>
                <w:bCs/>
                <w:iCs/>
                <w:sz w:val="24"/>
                <w:szCs w:val="24"/>
                <w:lang w:val="en-US" w:eastAsia="zh-CN"/>
              </w:rPr>
              <w:t>、</w:t>
            </w:r>
            <w:r>
              <w:rPr>
                <w:rFonts w:hint="default" w:ascii="宋体" w:hAnsi="宋体" w:eastAsia="宋体" w:cs="Times New Roman"/>
                <w:bCs/>
                <w:iCs/>
                <w:sz w:val="24"/>
                <w:szCs w:val="24"/>
                <w:lang w:val="en-US" w:eastAsia="zh-CN"/>
              </w:rPr>
              <w:t>金鹰基金</w:t>
            </w:r>
            <w:r>
              <w:rPr>
                <w:rFonts w:hint="eastAsia" w:ascii="宋体" w:hAnsi="宋体" w:eastAsia="宋体" w:cs="Times New Roman"/>
                <w:bCs/>
                <w:iCs/>
                <w:sz w:val="24"/>
                <w:szCs w:val="24"/>
                <w:lang w:val="en-US" w:eastAsia="zh-CN"/>
              </w:rPr>
              <w:t>、</w:t>
            </w:r>
            <w:r>
              <w:rPr>
                <w:rFonts w:hint="default" w:ascii="宋体" w:hAnsi="宋体" w:eastAsia="宋体" w:cs="Times New Roman"/>
                <w:bCs/>
                <w:iCs/>
                <w:sz w:val="24"/>
                <w:szCs w:val="24"/>
                <w:lang w:val="en-US" w:eastAsia="zh-CN"/>
              </w:rPr>
              <w:t>泉果基金</w:t>
            </w:r>
            <w:r>
              <w:rPr>
                <w:rFonts w:hint="eastAsia" w:ascii="宋体" w:hAnsi="宋体" w:eastAsia="宋体" w:cs="Times New Roman"/>
                <w:bCs/>
                <w:iCs/>
                <w:sz w:val="24"/>
                <w:szCs w:val="24"/>
                <w:lang w:val="en-US" w:eastAsia="zh-CN"/>
              </w:rPr>
              <w:t>、</w:t>
            </w:r>
            <w:r>
              <w:rPr>
                <w:rFonts w:hint="default" w:ascii="宋体" w:hAnsi="宋体" w:eastAsia="宋体" w:cs="Times New Roman"/>
                <w:bCs/>
                <w:iCs/>
                <w:sz w:val="24"/>
                <w:szCs w:val="24"/>
                <w:lang w:val="en-US" w:eastAsia="zh-CN"/>
              </w:rPr>
              <w:t>高毅资产</w:t>
            </w:r>
            <w:r>
              <w:rPr>
                <w:rFonts w:hint="eastAsia" w:ascii="宋体" w:hAnsi="宋体" w:eastAsia="宋体" w:cs="Times New Roman"/>
                <w:bCs/>
                <w:iCs/>
                <w:sz w:val="24"/>
                <w:szCs w:val="24"/>
                <w:lang w:val="en-US" w:eastAsia="zh-CN"/>
              </w:rPr>
              <w:t>、</w:t>
            </w:r>
            <w:r>
              <w:rPr>
                <w:rFonts w:hint="default" w:ascii="宋体" w:hAnsi="宋体" w:eastAsia="宋体" w:cs="Times New Roman"/>
                <w:bCs/>
                <w:iCs/>
                <w:sz w:val="24"/>
                <w:szCs w:val="24"/>
                <w:lang w:val="en-US" w:eastAsia="zh-CN"/>
              </w:rPr>
              <w:t>西部利得基金</w:t>
            </w:r>
            <w:r>
              <w:rPr>
                <w:rFonts w:hint="eastAsia" w:ascii="宋体" w:hAnsi="宋体" w:eastAsia="宋体" w:cs="Times New Roman"/>
                <w:bCs/>
                <w:iCs/>
                <w:sz w:val="24"/>
                <w:szCs w:val="24"/>
                <w:lang w:val="en-US" w:eastAsia="zh-CN"/>
              </w:rPr>
              <w:t>、</w:t>
            </w:r>
            <w:r>
              <w:rPr>
                <w:rFonts w:hint="default" w:ascii="宋体" w:hAnsi="宋体" w:eastAsia="宋体" w:cs="Times New Roman"/>
                <w:bCs/>
                <w:iCs/>
                <w:sz w:val="24"/>
                <w:szCs w:val="24"/>
                <w:lang w:val="en-US" w:eastAsia="zh-CN"/>
              </w:rPr>
              <w:t>永赢基金</w:t>
            </w:r>
            <w:r>
              <w:rPr>
                <w:rFonts w:hint="eastAsia" w:ascii="宋体" w:hAnsi="宋体" w:eastAsia="宋体" w:cs="Times New Roman"/>
                <w:bCs/>
                <w:iCs/>
                <w:sz w:val="24"/>
                <w:szCs w:val="24"/>
                <w:lang w:val="en-US" w:eastAsia="zh-CN"/>
              </w:rPr>
              <w:t>、</w:t>
            </w:r>
            <w:r>
              <w:rPr>
                <w:rFonts w:hint="default" w:ascii="宋体" w:hAnsi="宋体" w:eastAsia="宋体" w:cs="Times New Roman"/>
                <w:bCs/>
                <w:iCs/>
                <w:sz w:val="24"/>
                <w:szCs w:val="24"/>
                <w:lang w:val="en-US" w:eastAsia="zh-CN"/>
              </w:rPr>
              <w:t>博远基金</w:t>
            </w:r>
            <w:r>
              <w:rPr>
                <w:rFonts w:hint="eastAsia" w:ascii="宋体" w:hAnsi="宋体" w:eastAsia="宋体" w:cs="Times New Roman"/>
                <w:bCs/>
                <w:iCs/>
                <w:sz w:val="24"/>
                <w:szCs w:val="24"/>
                <w:lang w:val="en-US" w:eastAsia="zh-CN"/>
              </w:rPr>
              <w:t>、</w:t>
            </w:r>
            <w:r>
              <w:rPr>
                <w:rFonts w:hint="default" w:ascii="宋体" w:hAnsi="宋体" w:eastAsia="宋体" w:cs="Times New Roman"/>
                <w:bCs/>
                <w:iCs/>
                <w:sz w:val="24"/>
                <w:szCs w:val="24"/>
                <w:lang w:val="en-US" w:eastAsia="zh-CN"/>
              </w:rPr>
              <w:t>东方阿尔法基金</w:t>
            </w:r>
            <w:r>
              <w:rPr>
                <w:rFonts w:hint="eastAsia" w:ascii="宋体" w:hAnsi="宋体" w:eastAsia="宋体" w:cs="Times New Roman"/>
                <w:bCs/>
                <w:iCs/>
                <w:sz w:val="24"/>
                <w:szCs w:val="24"/>
                <w:lang w:val="en-US" w:eastAsia="zh-CN"/>
              </w:rPr>
              <w:t>、</w:t>
            </w:r>
            <w:r>
              <w:rPr>
                <w:rFonts w:hint="default" w:ascii="宋体" w:hAnsi="宋体" w:eastAsia="宋体" w:cs="Times New Roman"/>
                <w:bCs/>
                <w:iCs/>
                <w:sz w:val="24"/>
                <w:szCs w:val="24"/>
                <w:highlight w:val="none"/>
                <w:lang w:val="en-US" w:eastAsia="zh-CN"/>
              </w:rPr>
              <w:t>长城基金</w:t>
            </w:r>
            <w:r>
              <w:rPr>
                <w:rFonts w:hint="eastAsia" w:ascii="宋体" w:hAnsi="宋体" w:eastAsia="宋体" w:cs="Times New Roman"/>
                <w:bCs/>
                <w:iCs/>
                <w:sz w:val="24"/>
                <w:szCs w:val="24"/>
                <w:highlight w:val="none"/>
                <w:lang w:val="en-US" w:eastAsia="zh-CN"/>
              </w:rPr>
              <w:t>、</w:t>
            </w:r>
            <w:r>
              <w:rPr>
                <w:rFonts w:hint="default" w:ascii="宋体" w:hAnsi="宋体" w:eastAsia="宋体" w:cs="Times New Roman"/>
                <w:bCs/>
                <w:iCs/>
                <w:sz w:val="24"/>
                <w:szCs w:val="24"/>
                <w:highlight w:val="none"/>
                <w:lang w:val="en-US" w:eastAsia="zh-CN"/>
              </w:rPr>
              <w:t>宁银理财</w:t>
            </w:r>
            <w:r>
              <w:rPr>
                <w:rFonts w:hint="eastAsia" w:ascii="宋体" w:hAnsi="宋体" w:eastAsia="宋体" w:cs="Times New Roman"/>
                <w:bCs/>
                <w:iCs/>
                <w:sz w:val="24"/>
                <w:szCs w:val="24"/>
                <w:highlight w:val="none"/>
                <w:lang w:val="en-US" w:eastAsia="zh-CN"/>
              </w:rPr>
              <w:t>、</w:t>
            </w:r>
            <w:r>
              <w:rPr>
                <w:rFonts w:hint="default" w:ascii="宋体" w:hAnsi="宋体" w:eastAsia="宋体" w:cs="Times New Roman"/>
                <w:bCs/>
                <w:iCs/>
                <w:sz w:val="24"/>
                <w:szCs w:val="24"/>
                <w:highlight w:val="none"/>
                <w:lang w:val="en-US" w:eastAsia="zh-CN"/>
              </w:rPr>
              <w:t>招银理财</w:t>
            </w:r>
            <w:r>
              <w:rPr>
                <w:rFonts w:hint="eastAsia" w:ascii="宋体" w:hAnsi="宋体" w:eastAsia="宋体" w:cs="Times New Roman"/>
                <w:bCs/>
                <w:iCs/>
                <w:sz w:val="24"/>
                <w:szCs w:val="24"/>
                <w:highlight w:val="none"/>
                <w:lang w:val="en-US" w:eastAsia="zh-CN"/>
              </w:rPr>
              <w:t>、</w:t>
            </w:r>
            <w:r>
              <w:rPr>
                <w:rFonts w:hint="default" w:ascii="宋体" w:hAnsi="宋体" w:eastAsia="宋体" w:cs="Times New Roman"/>
                <w:bCs/>
                <w:iCs/>
                <w:sz w:val="24"/>
                <w:szCs w:val="24"/>
                <w:highlight w:val="none"/>
                <w:lang w:val="en-US" w:eastAsia="zh-CN"/>
              </w:rPr>
              <w:t>兴银理财</w:t>
            </w:r>
            <w:r>
              <w:rPr>
                <w:rFonts w:hint="eastAsia" w:ascii="宋体" w:hAnsi="宋体" w:eastAsia="宋体" w:cs="Times New Roman"/>
                <w:bCs/>
                <w:iCs/>
                <w:sz w:val="24"/>
                <w:szCs w:val="24"/>
                <w:highlight w:val="none"/>
                <w:lang w:val="en-US" w:eastAsia="zh-CN"/>
              </w:rPr>
              <w:t>、</w:t>
            </w:r>
            <w:r>
              <w:rPr>
                <w:rFonts w:hint="default" w:ascii="宋体" w:hAnsi="宋体" w:eastAsia="宋体" w:cs="Times New Roman"/>
                <w:bCs/>
                <w:iCs/>
                <w:sz w:val="24"/>
                <w:szCs w:val="24"/>
                <w:highlight w:val="none"/>
                <w:lang w:val="en-US" w:eastAsia="zh-CN"/>
              </w:rPr>
              <w:t>PinPoint保银</w:t>
            </w:r>
            <w:r>
              <w:rPr>
                <w:rFonts w:hint="eastAsia" w:ascii="宋体" w:hAnsi="宋体" w:eastAsia="宋体" w:cs="Times New Roman"/>
                <w:bCs/>
                <w:iCs/>
                <w:sz w:val="24"/>
                <w:szCs w:val="24"/>
                <w:highlight w:val="none"/>
                <w:lang w:val="en-US" w:eastAsia="zh-CN"/>
              </w:rPr>
              <w:t>、新华基金、东证融汇证券资管、中信建投证券、博泽资产、</w:t>
            </w:r>
            <w:r>
              <w:rPr>
                <w:rFonts w:hint="default" w:ascii="宋体" w:hAnsi="宋体" w:eastAsia="宋体" w:cs="Times New Roman"/>
                <w:bCs/>
                <w:iCs/>
                <w:sz w:val="24"/>
                <w:szCs w:val="24"/>
                <w:highlight w:val="none"/>
                <w:lang w:val="en-US" w:eastAsia="zh-CN"/>
              </w:rPr>
              <w:t>淡水泉</w:t>
            </w:r>
            <w:r>
              <w:rPr>
                <w:rFonts w:hint="eastAsia" w:ascii="宋体" w:hAnsi="宋体" w:eastAsia="宋体" w:cs="Times New Roman"/>
                <w:bCs/>
                <w:iCs/>
                <w:sz w:val="24"/>
                <w:szCs w:val="24"/>
                <w:highlight w:val="none"/>
                <w:lang w:val="en-US" w:eastAsia="zh-CN"/>
              </w:rPr>
              <w:t>、</w:t>
            </w:r>
            <w:r>
              <w:rPr>
                <w:rFonts w:hint="default" w:ascii="宋体" w:hAnsi="宋体" w:eastAsia="宋体" w:cs="Times New Roman"/>
                <w:bCs/>
                <w:iCs/>
                <w:sz w:val="24"/>
                <w:szCs w:val="24"/>
                <w:highlight w:val="none"/>
                <w:lang w:val="en-US" w:eastAsia="zh-CN"/>
              </w:rPr>
              <w:t>路博迈基金</w:t>
            </w:r>
            <w:r>
              <w:rPr>
                <w:rFonts w:hint="eastAsia" w:ascii="宋体" w:hAnsi="宋体" w:eastAsia="宋体" w:cs="Times New Roman"/>
                <w:bCs/>
                <w:iCs/>
                <w:sz w:val="24"/>
                <w:szCs w:val="24"/>
                <w:highlight w:val="none"/>
                <w:lang w:val="en-US" w:eastAsia="zh-CN"/>
              </w:rPr>
              <w:t>、</w:t>
            </w:r>
            <w:r>
              <w:rPr>
                <w:rFonts w:hint="default" w:ascii="宋体" w:hAnsi="宋体" w:eastAsia="宋体" w:cs="Times New Roman"/>
                <w:bCs/>
                <w:iCs/>
                <w:sz w:val="24"/>
                <w:szCs w:val="24"/>
                <w:highlight w:val="none"/>
                <w:lang w:val="en-US" w:eastAsia="zh-CN"/>
              </w:rPr>
              <w:t>混沌投资</w:t>
            </w:r>
            <w:r>
              <w:rPr>
                <w:rFonts w:hint="eastAsia" w:ascii="宋体" w:hAnsi="宋体" w:eastAsia="宋体" w:cs="Times New Roman"/>
                <w:bCs/>
                <w:iCs/>
                <w:sz w:val="24"/>
                <w:szCs w:val="24"/>
                <w:highlight w:val="none"/>
                <w:lang w:val="en-US" w:eastAsia="zh-CN"/>
              </w:rPr>
              <w:t>、</w:t>
            </w:r>
            <w:r>
              <w:rPr>
                <w:rFonts w:hint="default" w:ascii="宋体" w:hAnsi="宋体" w:eastAsia="宋体" w:cs="Times New Roman"/>
                <w:bCs/>
                <w:iCs/>
                <w:sz w:val="24"/>
                <w:szCs w:val="24"/>
                <w:highlight w:val="none"/>
                <w:lang w:val="en-US" w:eastAsia="zh-CN"/>
              </w:rPr>
              <w:t>泓德基金</w:t>
            </w:r>
            <w:r>
              <w:rPr>
                <w:rFonts w:hint="eastAsia" w:ascii="宋体" w:hAnsi="宋体" w:eastAsia="宋体" w:cs="Times New Roman"/>
                <w:bCs/>
                <w:iCs/>
                <w:sz w:val="24"/>
                <w:szCs w:val="24"/>
                <w:highlight w:val="none"/>
                <w:lang w:val="en-US" w:eastAsia="zh-CN"/>
              </w:rPr>
              <w:t>、</w:t>
            </w:r>
            <w:r>
              <w:rPr>
                <w:rFonts w:hint="default" w:ascii="宋体" w:hAnsi="宋体" w:eastAsia="宋体" w:cs="Times New Roman"/>
                <w:bCs/>
                <w:iCs/>
                <w:sz w:val="24"/>
                <w:szCs w:val="24"/>
                <w:lang w:val="en-US" w:eastAsia="zh-CN"/>
              </w:rPr>
              <w:t>鹏扬基金</w:t>
            </w:r>
            <w:r>
              <w:rPr>
                <w:rFonts w:hint="eastAsia" w:ascii="宋体" w:hAnsi="宋体" w:eastAsia="宋体" w:cs="Times New Roman"/>
                <w:bCs/>
                <w:iCs/>
                <w:sz w:val="24"/>
                <w:szCs w:val="24"/>
                <w:lang w:val="en-US" w:eastAsia="zh-CN"/>
              </w:rPr>
              <w:t>、国泰君安资管、农银人寿保险、长江养老保险、华商基金、太平资产、</w:t>
            </w:r>
            <w:r>
              <w:rPr>
                <w:rFonts w:hint="default" w:ascii="宋体" w:hAnsi="宋体" w:eastAsia="宋体" w:cs="Times New Roman"/>
                <w:bCs/>
                <w:iCs/>
                <w:sz w:val="24"/>
                <w:szCs w:val="24"/>
                <w:highlight w:val="none"/>
                <w:lang w:val="en-US" w:eastAsia="zh-CN"/>
              </w:rPr>
              <w:t>恒越基金</w:t>
            </w:r>
            <w:r>
              <w:rPr>
                <w:rFonts w:hint="eastAsia" w:ascii="宋体" w:hAnsi="宋体" w:eastAsia="宋体" w:cs="Times New Roman"/>
                <w:bCs/>
                <w:iCs/>
                <w:sz w:val="24"/>
                <w:szCs w:val="24"/>
                <w:highlight w:val="none"/>
                <w:lang w:val="en-US" w:eastAsia="zh-CN"/>
              </w:rPr>
              <w:t>、</w:t>
            </w:r>
            <w:r>
              <w:rPr>
                <w:rFonts w:hint="default" w:ascii="宋体" w:hAnsi="宋体" w:eastAsia="宋体" w:cs="Times New Roman"/>
                <w:bCs/>
                <w:iCs/>
                <w:sz w:val="24"/>
                <w:szCs w:val="24"/>
                <w:highlight w:val="none"/>
                <w:lang w:val="en-US" w:eastAsia="zh-CN"/>
              </w:rPr>
              <w:t>沣京资本</w:t>
            </w:r>
            <w:r>
              <w:rPr>
                <w:rFonts w:hint="eastAsia" w:ascii="宋体" w:hAnsi="宋体" w:eastAsia="宋体" w:cs="Times New Roman"/>
                <w:bCs/>
                <w:iCs/>
                <w:sz w:val="24"/>
                <w:szCs w:val="24"/>
                <w:highlight w:val="none"/>
                <w:lang w:val="en-US" w:eastAsia="zh-CN"/>
              </w:rPr>
              <w:t>、</w:t>
            </w:r>
            <w:r>
              <w:rPr>
                <w:rFonts w:hint="default" w:ascii="宋体" w:hAnsi="宋体" w:eastAsia="宋体" w:cs="Times New Roman"/>
                <w:bCs/>
                <w:iCs/>
                <w:sz w:val="24"/>
                <w:szCs w:val="24"/>
                <w:highlight w:val="none"/>
                <w:lang w:val="en-US" w:eastAsia="zh-CN"/>
              </w:rPr>
              <w:t>双安资产</w:t>
            </w:r>
            <w:r>
              <w:rPr>
                <w:rFonts w:hint="eastAsia" w:ascii="宋体" w:hAnsi="宋体" w:eastAsia="宋体" w:cs="Times New Roman"/>
                <w:bCs/>
                <w:iCs/>
                <w:sz w:val="24"/>
                <w:szCs w:val="24"/>
                <w:highlight w:val="none"/>
                <w:lang w:val="en-US" w:eastAsia="zh-CN"/>
              </w:rPr>
              <w:t>、</w:t>
            </w:r>
            <w:r>
              <w:rPr>
                <w:rFonts w:hint="default" w:ascii="宋体" w:hAnsi="宋体" w:eastAsia="宋体" w:cs="Times New Roman"/>
                <w:bCs/>
                <w:iCs/>
                <w:sz w:val="24"/>
                <w:szCs w:val="24"/>
                <w:highlight w:val="none"/>
                <w:lang w:val="en-US" w:eastAsia="zh-CN"/>
              </w:rPr>
              <w:t>边域投资</w:t>
            </w:r>
            <w:r>
              <w:rPr>
                <w:rFonts w:hint="eastAsia" w:ascii="宋体" w:hAnsi="宋体" w:eastAsia="宋体" w:cs="Times New Roman"/>
                <w:bCs/>
                <w:iCs/>
                <w:sz w:val="24"/>
                <w:szCs w:val="24"/>
                <w:highlight w:val="none"/>
                <w:lang w:val="en-US" w:eastAsia="zh-CN"/>
              </w:rPr>
              <w:t>、</w:t>
            </w:r>
            <w:r>
              <w:rPr>
                <w:rFonts w:hint="default" w:ascii="宋体" w:hAnsi="宋体" w:eastAsia="宋体" w:cs="Times New Roman"/>
                <w:bCs/>
                <w:iCs/>
                <w:sz w:val="24"/>
                <w:szCs w:val="24"/>
                <w:highlight w:val="none"/>
                <w:lang w:val="en-US" w:eastAsia="zh-CN"/>
              </w:rPr>
              <w:t>复霈投资</w:t>
            </w:r>
            <w:r>
              <w:rPr>
                <w:rFonts w:hint="eastAsia" w:ascii="宋体" w:hAnsi="宋体" w:eastAsia="宋体" w:cs="Times New Roman"/>
                <w:bCs/>
                <w:iCs/>
                <w:sz w:val="24"/>
                <w:szCs w:val="24"/>
                <w:highlight w:val="none"/>
                <w:lang w:val="en-US" w:eastAsia="zh-CN"/>
              </w:rPr>
              <w:t>、</w:t>
            </w:r>
            <w:r>
              <w:rPr>
                <w:rFonts w:hint="default" w:ascii="宋体" w:hAnsi="宋体" w:eastAsia="宋体" w:cs="Times New Roman"/>
                <w:bCs/>
                <w:iCs/>
                <w:sz w:val="24"/>
                <w:szCs w:val="24"/>
                <w:highlight w:val="none"/>
                <w:lang w:val="en-US" w:eastAsia="zh-CN"/>
              </w:rPr>
              <w:t>合远</w:t>
            </w:r>
            <w:r>
              <w:rPr>
                <w:rFonts w:hint="eastAsia" w:ascii="宋体" w:hAnsi="宋体" w:eastAsia="宋体" w:cs="Times New Roman"/>
                <w:bCs/>
                <w:iCs/>
                <w:sz w:val="24"/>
                <w:szCs w:val="24"/>
                <w:highlight w:val="none"/>
                <w:lang w:val="en-US" w:eastAsia="zh-CN"/>
              </w:rPr>
              <w:t>基金、</w:t>
            </w:r>
            <w:r>
              <w:rPr>
                <w:rFonts w:hint="default" w:ascii="宋体" w:hAnsi="宋体" w:eastAsia="宋体" w:cs="Times New Roman"/>
                <w:bCs/>
                <w:iCs/>
                <w:sz w:val="24"/>
                <w:szCs w:val="24"/>
                <w:highlight w:val="none"/>
                <w:lang w:val="en-US" w:eastAsia="zh-CN"/>
              </w:rPr>
              <w:t>南土资产</w:t>
            </w:r>
            <w:r>
              <w:rPr>
                <w:rFonts w:hint="eastAsia" w:ascii="宋体" w:hAnsi="宋体" w:eastAsia="宋体" w:cs="Times New Roman"/>
                <w:bCs/>
                <w:iCs/>
                <w:sz w:val="24"/>
                <w:szCs w:val="24"/>
                <w:highlight w:val="none"/>
                <w:lang w:val="en-US" w:eastAsia="zh-CN"/>
              </w:rPr>
              <w:t>、</w:t>
            </w:r>
            <w:r>
              <w:rPr>
                <w:rFonts w:hint="default" w:ascii="宋体" w:hAnsi="宋体" w:eastAsia="宋体" w:cs="Times New Roman"/>
                <w:bCs/>
                <w:iCs/>
                <w:sz w:val="24"/>
                <w:szCs w:val="24"/>
                <w:highlight w:val="none"/>
                <w:lang w:val="en-US" w:eastAsia="zh-CN"/>
              </w:rPr>
              <w:t>域秀资产</w:t>
            </w:r>
            <w:r>
              <w:rPr>
                <w:rFonts w:hint="eastAsia" w:ascii="宋体" w:hAnsi="宋体" w:eastAsia="宋体" w:cs="Times New Roman"/>
                <w:bCs/>
                <w:iCs/>
                <w:sz w:val="24"/>
                <w:szCs w:val="24"/>
                <w:highlight w:val="none"/>
                <w:lang w:val="en-US" w:eastAsia="zh-CN"/>
              </w:rPr>
              <w:t>、</w:t>
            </w:r>
            <w:r>
              <w:rPr>
                <w:rFonts w:hint="default" w:ascii="宋体" w:hAnsi="宋体" w:eastAsia="宋体" w:cs="Times New Roman"/>
                <w:bCs/>
                <w:iCs/>
                <w:sz w:val="24"/>
                <w:szCs w:val="24"/>
                <w:highlight w:val="none"/>
                <w:lang w:val="en-US" w:eastAsia="zh-CN"/>
              </w:rPr>
              <w:t>赞庚投资</w:t>
            </w:r>
            <w:r>
              <w:rPr>
                <w:rFonts w:hint="eastAsia" w:ascii="宋体" w:hAnsi="宋体" w:eastAsia="宋体" w:cs="Times New Roman"/>
                <w:bCs/>
                <w:iCs/>
                <w:sz w:val="24"/>
                <w:szCs w:val="24"/>
                <w:highlight w:val="none"/>
                <w:lang w:val="en-US" w:eastAsia="zh-CN"/>
              </w:rPr>
              <w:t>、</w:t>
            </w:r>
            <w:r>
              <w:rPr>
                <w:rFonts w:hint="default" w:ascii="宋体" w:hAnsi="宋体" w:eastAsia="宋体" w:cs="Times New Roman"/>
                <w:bCs/>
                <w:iCs/>
                <w:sz w:val="24"/>
                <w:szCs w:val="24"/>
                <w:highlight w:val="none"/>
                <w:lang w:val="en-US" w:eastAsia="zh-CN"/>
              </w:rPr>
              <w:t>源乘投资</w:t>
            </w:r>
            <w:r>
              <w:rPr>
                <w:rFonts w:hint="eastAsia" w:ascii="宋体" w:hAnsi="宋体" w:eastAsia="宋体" w:cs="Times New Roman"/>
                <w:bCs/>
                <w:iCs/>
                <w:sz w:val="24"/>
                <w:szCs w:val="24"/>
                <w:highlight w:val="none"/>
                <w:lang w:val="en-US" w:eastAsia="zh-CN"/>
              </w:rPr>
              <w:t>、</w:t>
            </w:r>
            <w:r>
              <w:rPr>
                <w:rFonts w:hint="default" w:ascii="宋体" w:hAnsi="宋体" w:eastAsia="宋体" w:cs="Times New Roman"/>
                <w:bCs/>
                <w:iCs/>
                <w:sz w:val="24"/>
                <w:szCs w:val="24"/>
                <w:highlight w:val="none"/>
                <w:lang w:val="en-US" w:eastAsia="zh-CN"/>
              </w:rPr>
              <w:t>坚果基金</w:t>
            </w:r>
            <w:r>
              <w:rPr>
                <w:rFonts w:hint="eastAsia" w:ascii="宋体" w:hAnsi="宋体" w:eastAsia="宋体" w:cs="Times New Roman"/>
                <w:bCs/>
                <w:iCs/>
                <w:sz w:val="24"/>
                <w:szCs w:val="24"/>
                <w:highlight w:val="none"/>
                <w:lang w:val="en-US" w:eastAsia="zh-CN"/>
              </w:rPr>
              <w:t>、</w:t>
            </w:r>
            <w:r>
              <w:rPr>
                <w:rFonts w:hint="default" w:ascii="宋体" w:hAnsi="宋体" w:eastAsia="宋体" w:cs="Times New Roman"/>
                <w:bCs/>
                <w:iCs/>
                <w:sz w:val="24"/>
                <w:szCs w:val="24"/>
                <w:highlight w:val="none"/>
                <w:lang w:val="en-US" w:eastAsia="zh-CN"/>
              </w:rPr>
              <w:t>紫金矿业投资</w:t>
            </w:r>
            <w:r>
              <w:rPr>
                <w:rFonts w:hint="eastAsia" w:ascii="宋体" w:hAnsi="宋体" w:eastAsia="宋体" w:cs="Times New Roman"/>
                <w:bCs/>
                <w:iCs/>
                <w:sz w:val="24"/>
                <w:szCs w:val="24"/>
                <w:highlight w:val="none"/>
                <w:lang w:val="en-US" w:eastAsia="zh-CN"/>
              </w:rPr>
              <w:t>、</w:t>
            </w:r>
            <w:r>
              <w:rPr>
                <w:rFonts w:hint="default" w:ascii="宋体" w:hAnsi="宋体" w:eastAsia="宋体" w:cs="Times New Roman"/>
                <w:bCs/>
                <w:iCs/>
                <w:sz w:val="24"/>
                <w:szCs w:val="24"/>
                <w:highlight w:val="none"/>
                <w:lang w:val="en-US" w:eastAsia="zh-CN"/>
              </w:rPr>
              <w:t>循远资产</w:t>
            </w:r>
            <w:r>
              <w:rPr>
                <w:rFonts w:hint="eastAsia" w:ascii="宋体" w:hAnsi="宋体" w:eastAsia="宋体" w:cs="Times New Roman"/>
                <w:bCs/>
                <w:iCs/>
                <w:sz w:val="24"/>
                <w:szCs w:val="24"/>
                <w:highlight w:val="none"/>
                <w:lang w:val="en-US" w:eastAsia="zh-CN"/>
              </w:rPr>
              <w:t>、</w:t>
            </w:r>
            <w:r>
              <w:rPr>
                <w:rFonts w:hint="default" w:ascii="宋体" w:hAnsi="宋体" w:eastAsia="宋体" w:cs="Times New Roman"/>
                <w:bCs/>
                <w:iCs/>
                <w:sz w:val="24"/>
                <w:szCs w:val="24"/>
                <w:highlight w:val="none"/>
                <w:lang w:val="en-US" w:eastAsia="zh-CN"/>
              </w:rPr>
              <w:t>明世伙伴基金</w:t>
            </w:r>
            <w:r>
              <w:rPr>
                <w:rFonts w:hint="eastAsia" w:ascii="宋体" w:hAnsi="宋体" w:eastAsia="宋体" w:cs="Times New Roman"/>
                <w:bCs/>
                <w:iCs/>
                <w:sz w:val="24"/>
                <w:szCs w:val="24"/>
                <w:highlight w:val="none"/>
                <w:lang w:val="en-US" w:eastAsia="zh-CN"/>
              </w:rPr>
              <w:t>、</w:t>
            </w:r>
            <w:r>
              <w:rPr>
                <w:rFonts w:hint="default" w:ascii="宋体" w:hAnsi="宋体" w:eastAsia="宋体" w:cs="Times New Roman"/>
                <w:bCs/>
                <w:iCs/>
                <w:sz w:val="24"/>
                <w:szCs w:val="24"/>
                <w:highlight w:val="none"/>
                <w:lang w:val="en-US" w:eastAsia="zh-CN"/>
              </w:rPr>
              <w:t>华美国际投资</w:t>
            </w:r>
            <w:r>
              <w:rPr>
                <w:rFonts w:hint="eastAsia" w:ascii="宋体" w:hAnsi="宋体" w:eastAsia="宋体" w:cs="Times New Roman"/>
                <w:bCs/>
                <w:iCs/>
                <w:sz w:val="24"/>
                <w:szCs w:val="24"/>
                <w:highlight w:val="none"/>
                <w:lang w:val="en-US" w:eastAsia="zh-CN"/>
              </w:rPr>
              <w:t>、</w:t>
            </w:r>
            <w:r>
              <w:rPr>
                <w:rFonts w:hint="default" w:ascii="宋体" w:hAnsi="宋体" w:eastAsia="宋体" w:cs="Times New Roman"/>
                <w:bCs/>
                <w:iCs/>
                <w:sz w:val="24"/>
                <w:szCs w:val="24"/>
                <w:highlight w:val="none"/>
                <w:lang w:val="en-US" w:eastAsia="zh-CN"/>
              </w:rPr>
              <w:t>于翼资产</w:t>
            </w:r>
            <w:r>
              <w:rPr>
                <w:rFonts w:hint="eastAsia" w:ascii="宋体" w:hAnsi="宋体" w:eastAsia="宋体" w:cs="Times New Roman"/>
                <w:bCs/>
                <w:iCs/>
                <w:sz w:val="24"/>
                <w:szCs w:val="24"/>
                <w:highlight w:val="none"/>
                <w:lang w:val="en-US" w:eastAsia="zh-CN"/>
              </w:rPr>
              <w:t>、</w:t>
            </w:r>
            <w:r>
              <w:rPr>
                <w:rFonts w:hint="default" w:ascii="宋体" w:hAnsi="宋体" w:eastAsia="宋体" w:cs="Times New Roman"/>
                <w:bCs/>
                <w:iCs/>
                <w:sz w:val="24"/>
                <w:szCs w:val="24"/>
                <w:highlight w:val="none"/>
                <w:lang w:val="en-US" w:eastAsia="zh-CN"/>
              </w:rPr>
              <w:t>青骊投资</w:t>
            </w:r>
            <w:r>
              <w:rPr>
                <w:rFonts w:hint="eastAsia" w:ascii="宋体" w:hAnsi="宋体" w:eastAsia="宋体" w:cs="Times New Roman"/>
                <w:bCs/>
                <w:iCs/>
                <w:sz w:val="24"/>
                <w:szCs w:val="24"/>
                <w:highlight w:val="none"/>
                <w:lang w:val="en-US" w:eastAsia="zh-CN"/>
              </w:rPr>
              <w:t>、</w:t>
            </w:r>
            <w:r>
              <w:rPr>
                <w:rFonts w:hint="default" w:ascii="宋体" w:hAnsi="宋体" w:eastAsia="宋体" w:cs="Times New Roman"/>
                <w:bCs/>
                <w:iCs/>
                <w:sz w:val="24"/>
                <w:szCs w:val="24"/>
                <w:highlight w:val="none"/>
                <w:lang w:val="en-US" w:eastAsia="zh-CN"/>
              </w:rPr>
              <w:t>中科沃土</w:t>
            </w:r>
            <w:r>
              <w:rPr>
                <w:rFonts w:hint="eastAsia" w:ascii="宋体" w:hAnsi="宋体" w:eastAsia="宋体" w:cs="Times New Roman"/>
                <w:bCs/>
                <w:iCs/>
                <w:sz w:val="24"/>
                <w:szCs w:val="24"/>
                <w:highlight w:val="none"/>
                <w:lang w:val="en-US" w:eastAsia="zh-CN"/>
              </w:rPr>
              <w:t>、</w:t>
            </w:r>
            <w:r>
              <w:rPr>
                <w:rFonts w:hint="default" w:ascii="宋体" w:hAnsi="宋体" w:eastAsia="宋体" w:cs="Times New Roman"/>
                <w:bCs/>
                <w:iCs/>
                <w:sz w:val="24"/>
                <w:szCs w:val="24"/>
                <w:highlight w:val="none"/>
                <w:lang w:val="en-US" w:eastAsia="zh-CN"/>
              </w:rPr>
              <w:t>子呈基金</w:t>
            </w:r>
            <w:r>
              <w:rPr>
                <w:rFonts w:hint="eastAsia" w:ascii="宋体" w:hAnsi="宋体" w:eastAsia="宋体" w:cs="Times New Roman"/>
                <w:bCs/>
                <w:iCs/>
                <w:sz w:val="24"/>
                <w:szCs w:val="24"/>
                <w:highlight w:val="none"/>
                <w:lang w:val="en-US" w:eastAsia="zh-CN"/>
              </w:rPr>
              <w:t>、</w:t>
            </w:r>
            <w:r>
              <w:rPr>
                <w:rFonts w:hint="default" w:ascii="宋体" w:hAnsi="宋体" w:eastAsia="宋体" w:cs="Times New Roman"/>
                <w:bCs/>
                <w:iCs/>
                <w:sz w:val="24"/>
                <w:szCs w:val="24"/>
                <w:highlight w:val="none"/>
                <w:lang w:val="en-US" w:eastAsia="zh-CN"/>
              </w:rPr>
              <w:t>华泰保兴</w:t>
            </w:r>
            <w:r>
              <w:rPr>
                <w:rFonts w:hint="eastAsia" w:ascii="宋体" w:hAnsi="宋体" w:eastAsia="宋体" w:cs="Times New Roman"/>
                <w:bCs/>
                <w:iCs/>
                <w:sz w:val="24"/>
                <w:szCs w:val="24"/>
                <w:highlight w:val="none"/>
                <w:lang w:val="en-US" w:eastAsia="zh-CN"/>
              </w:rPr>
              <w:t>、</w:t>
            </w:r>
            <w:r>
              <w:rPr>
                <w:rFonts w:hint="default" w:ascii="宋体" w:hAnsi="宋体" w:eastAsia="宋体" w:cs="Times New Roman"/>
                <w:bCs/>
                <w:iCs/>
                <w:sz w:val="24"/>
                <w:szCs w:val="24"/>
                <w:highlight w:val="none"/>
                <w:lang w:val="en-US" w:eastAsia="zh-CN"/>
              </w:rPr>
              <w:t>汐</w:t>
            </w:r>
            <w:r>
              <w:rPr>
                <w:rFonts w:hint="default" w:ascii="宋体" w:hAnsi="宋体" w:eastAsia="宋体" w:cs="Times New Roman"/>
                <w:bCs/>
                <w:iCs/>
                <w:sz w:val="24"/>
                <w:szCs w:val="24"/>
                <w:lang w:val="en-US" w:eastAsia="zh-CN"/>
              </w:rPr>
              <w:t>泰投资</w:t>
            </w:r>
            <w:r>
              <w:rPr>
                <w:rFonts w:hint="eastAsia" w:ascii="宋体" w:hAnsi="宋体" w:eastAsia="宋体" w:cs="Times New Roman"/>
                <w:bCs/>
                <w:iCs/>
                <w:sz w:val="24"/>
                <w:szCs w:val="24"/>
                <w:lang w:val="en-US" w:eastAsia="zh-CN"/>
              </w:rPr>
              <w:t>、</w:t>
            </w:r>
            <w:r>
              <w:rPr>
                <w:rFonts w:hint="default" w:ascii="宋体" w:hAnsi="宋体" w:eastAsia="宋体" w:cs="Times New Roman"/>
                <w:bCs/>
                <w:iCs/>
                <w:sz w:val="24"/>
                <w:szCs w:val="24"/>
                <w:lang w:val="en-US" w:eastAsia="zh-CN"/>
              </w:rPr>
              <w:t>富安达基金</w:t>
            </w:r>
            <w:r>
              <w:rPr>
                <w:rFonts w:hint="eastAsia" w:ascii="宋体" w:hAnsi="宋体" w:eastAsia="宋体" w:cs="Times New Roman"/>
                <w:bCs/>
                <w:iCs/>
                <w:sz w:val="24"/>
                <w:szCs w:val="24"/>
                <w:lang w:val="en-US" w:eastAsia="zh-CN"/>
              </w:rPr>
              <w:t>、山西证券投资管理部、人保资产（上海）、TX Capital、长城财富、</w:t>
            </w:r>
            <w:r>
              <w:rPr>
                <w:rFonts w:hint="default" w:ascii="宋体" w:hAnsi="宋体" w:eastAsia="宋体" w:cs="Times New Roman"/>
                <w:bCs/>
                <w:iCs/>
                <w:sz w:val="24"/>
                <w:szCs w:val="24"/>
                <w:lang w:val="en-US" w:eastAsia="zh-CN"/>
              </w:rPr>
              <w:t>兆天投资</w:t>
            </w:r>
            <w:r>
              <w:rPr>
                <w:rFonts w:hint="eastAsia" w:ascii="宋体" w:hAnsi="宋体" w:eastAsia="宋体" w:cs="Times New Roman"/>
                <w:bCs/>
                <w:iCs/>
                <w:sz w:val="24"/>
                <w:szCs w:val="24"/>
                <w:lang w:val="en-US" w:eastAsia="zh-CN"/>
              </w:rPr>
              <w:t>、泰信基金、正圆投资、三亚鸿盛、纳轩基金、敦和资产、拾贝投资、上汽颀臻、巨杉资产、鼎熙投资、华泰资产、远致瑞信、豪山资产、北京容光私募基金、民生加银基金、上海旭兴投资、华兴资本、上海贵源投资、泰康养老保险、中信证券资管部、鹏泰投资、趣时资管、睿郡资产、华泰证券证券投资部、天猊投资、聊塑资管、丹羿投资、Ten Asset Management、上海电气财务、FIRST SEAFRONT GAF SPC ACTING FOR AND IN RESPECT OF GLOBAL SPECIAL OPPORTUNITIES I SP、中信建投自营、天风资管、</w:t>
            </w:r>
            <w:r>
              <w:rPr>
                <w:rFonts w:hint="default" w:ascii="宋体" w:hAnsi="宋体" w:eastAsia="宋体" w:cs="Times New Roman"/>
                <w:bCs/>
                <w:iCs/>
                <w:sz w:val="24"/>
                <w:szCs w:val="24"/>
                <w:lang w:val="en-US" w:eastAsia="zh-CN"/>
              </w:rPr>
              <w:t>东北证券自营</w:t>
            </w:r>
            <w:r>
              <w:rPr>
                <w:rFonts w:hint="eastAsia" w:ascii="宋体" w:hAnsi="宋体" w:eastAsia="宋体" w:cs="Times New Roman"/>
                <w:bCs/>
                <w:iCs/>
                <w:sz w:val="24"/>
                <w:szCs w:val="24"/>
                <w:lang w:val="en-US" w:eastAsia="zh-CN"/>
              </w:rPr>
              <w:t>、</w:t>
            </w:r>
            <w:r>
              <w:rPr>
                <w:rFonts w:hint="default" w:ascii="宋体" w:hAnsi="宋体" w:eastAsia="宋体" w:cs="Times New Roman"/>
                <w:bCs/>
                <w:iCs/>
                <w:sz w:val="24"/>
                <w:szCs w:val="24"/>
                <w:lang w:val="en-US" w:eastAsia="zh-CN"/>
              </w:rPr>
              <w:t>华泰证</w:t>
            </w:r>
            <w:bookmarkStart w:id="0" w:name="_GoBack"/>
            <w:bookmarkEnd w:id="0"/>
            <w:r>
              <w:rPr>
                <w:rFonts w:hint="default" w:ascii="宋体" w:hAnsi="宋体" w:eastAsia="宋体" w:cs="Times New Roman"/>
                <w:bCs/>
                <w:iCs/>
                <w:sz w:val="24"/>
                <w:szCs w:val="24"/>
                <w:lang w:val="en-US" w:eastAsia="zh-CN"/>
              </w:rPr>
              <w:t>券资管</w:t>
            </w:r>
            <w:r>
              <w:rPr>
                <w:rFonts w:hint="eastAsia" w:ascii="宋体" w:hAnsi="宋体" w:eastAsia="宋体" w:cs="Times New Roman"/>
                <w:bCs/>
                <w:iCs/>
                <w:sz w:val="24"/>
                <w:szCs w:val="24"/>
                <w:lang w:val="en-US" w:eastAsia="zh-CN"/>
              </w:rPr>
              <w:t>、</w:t>
            </w:r>
            <w:r>
              <w:rPr>
                <w:rFonts w:hint="default" w:ascii="宋体" w:hAnsi="宋体" w:eastAsia="宋体" w:cs="Times New Roman"/>
                <w:bCs/>
                <w:iCs/>
                <w:sz w:val="24"/>
                <w:szCs w:val="24"/>
                <w:lang w:val="en-US" w:eastAsia="zh-CN"/>
              </w:rPr>
              <w:t>华泰证券自营</w:t>
            </w:r>
            <w:r>
              <w:rPr>
                <w:rFonts w:hint="eastAsia" w:ascii="宋体" w:hAnsi="宋体" w:eastAsia="宋体" w:cs="Times New Roman"/>
                <w:bCs/>
                <w:iCs/>
                <w:sz w:val="24"/>
                <w:szCs w:val="24"/>
                <w:lang w:val="en-US" w:eastAsia="zh-CN"/>
              </w:rPr>
              <w:t>、</w:t>
            </w:r>
            <w:r>
              <w:rPr>
                <w:rFonts w:hint="default" w:ascii="宋体" w:hAnsi="宋体" w:eastAsia="宋体" w:cs="Times New Roman"/>
                <w:bCs/>
                <w:iCs/>
                <w:sz w:val="24"/>
                <w:szCs w:val="24"/>
                <w:lang w:val="en-US" w:eastAsia="zh-CN"/>
              </w:rPr>
              <w:t>东方证券</w:t>
            </w:r>
            <w:r>
              <w:rPr>
                <w:rFonts w:hint="eastAsia" w:ascii="宋体" w:hAnsi="宋体" w:eastAsia="宋体" w:cs="Times New Roman"/>
                <w:bCs/>
                <w:iCs/>
                <w:sz w:val="24"/>
                <w:szCs w:val="24"/>
                <w:lang w:val="en-US" w:eastAsia="zh-CN"/>
              </w:rPr>
              <w:t>、</w:t>
            </w:r>
            <w:r>
              <w:rPr>
                <w:rFonts w:hint="default" w:ascii="宋体" w:hAnsi="宋体" w:eastAsia="宋体" w:cs="Times New Roman"/>
                <w:bCs/>
                <w:iCs/>
                <w:sz w:val="24"/>
                <w:szCs w:val="24"/>
                <w:lang w:val="en-US" w:eastAsia="zh-CN"/>
              </w:rPr>
              <w:t>申万宏源证券</w:t>
            </w:r>
            <w:r>
              <w:rPr>
                <w:rFonts w:hint="eastAsia" w:ascii="宋体" w:hAnsi="宋体" w:eastAsia="宋体" w:cs="Times New Roman"/>
                <w:bCs/>
                <w:iCs/>
                <w:sz w:val="24"/>
                <w:szCs w:val="24"/>
                <w:lang w:val="en-US" w:eastAsia="zh-CN"/>
              </w:rPr>
              <w:t>、长江证券、天风证券、浙商证券、东吴证券、国盛证券、信达证券、国金证券、招商证券、瑞银证券、中金公司（排名不分先后）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0" w:type="dxa"/>
            <w:shd w:val="clear" w:color="auto" w:fill="auto"/>
          </w:tcPr>
          <w:p>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会议时间</w:t>
            </w:r>
          </w:p>
        </w:tc>
        <w:tc>
          <w:tcPr>
            <w:tcW w:w="5930" w:type="dxa"/>
            <w:shd w:val="clear" w:color="auto" w:fill="auto"/>
          </w:tcPr>
          <w:p>
            <w:pPr>
              <w:spacing w:line="360" w:lineRule="auto"/>
              <w:rPr>
                <w:rFonts w:hint="default" w:ascii="宋体" w:hAnsi="宋体" w:eastAsia="宋体" w:cs="Times New Roman"/>
                <w:bCs/>
                <w:iCs/>
                <w:sz w:val="24"/>
                <w:szCs w:val="24"/>
                <w:lang w:val="en-US" w:eastAsia="zh-CN"/>
              </w:rPr>
            </w:pPr>
            <w:r>
              <w:rPr>
                <w:rFonts w:hint="eastAsia" w:ascii="宋体" w:hAnsi="宋体" w:eastAsia="宋体" w:cs="Times New Roman"/>
                <w:bCs/>
                <w:iCs/>
                <w:sz w:val="24"/>
                <w:szCs w:val="24"/>
                <w:highlight w:val="none"/>
                <w:lang w:val="en-US" w:eastAsia="zh-CN"/>
              </w:rPr>
              <w:t>2024年4月29日-2024年4月30日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0" w:type="dxa"/>
            <w:shd w:val="clear" w:color="auto" w:fill="auto"/>
          </w:tcPr>
          <w:p>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会议地点</w:t>
            </w:r>
          </w:p>
        </w:tc>
        <w:tc>
          <w:tcPr>
            <w:tcW w:w="5930" w:type="dxa"/>
            <w:shd w:val="clear" w:color="auto" w:fill="auto"/>
          </w:tcPr>
          <w:p>
            <w:pPr>
              <w:spacing w:line="360" w:lineRule="auto"/>
              <w:rPr>
                <w:rFonts w:hint="default" w:ascii="宋体" w:hAnsi="宋体" w:eastAsia="宋体" w:cs="Times New Roman"/>
                <w:bCs/>
                <w:iCs/>
                <w:sz w:val="24"/>
                <w:szCs w:val="24"/>
                <w:lang w:val="en-US" w:eastAsia="zh-CN"/>
              </w:rPr>
            </w:pPr>
            <w:r>
              <w:rPr>
                <w:rFonts w:hint="eastAsia" w:ascii="宋体" w:hAnsi="宋体" w:eastAsia="宋体" w:cs="宋体"/>
                <w:sz w:val="24"/>
                <w:szCs w:val="24"/>
                <w:highlight w:val="none"/>
                <w:lang w:val="en-US" w:eastAsia="zh-CN"/>
              </w:rPr>
              <w:t>电话会议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0" w:type="dxa"/>
            <w:shd w:val="clear" w:color="auto" w:fill="auto"/>
          </w:tcPr>
          <w:p>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上市公司接待人员姓名</w:t>
            </w:r>
          </w:p>
        </w:tc>
        <w:tc>
          <w:tcPr>
            <w:tcW w:w="5930" w:type="dxa"/>
            <w:shd w:val="clear" w:color="auto" w:fill="auto"/>
          </w:tcPr>
          <w:p>
            <w:pPr>
              <w:spacing w:line="360" w:lineRule="auto"/>
              <w:rPr>
                <w:rFonts w:hint="default" w:ascii="宋体" w:hAnsi="宋体" w:eastAsia="宋体" w:cs="Times New Roman"/>
                <w:bCs/>
                <w:iCs/>
                <w:sz w:val="24"/>
                <w:szCs w:val="24"/>
                <w:lang w:val="en-US" w:eastAsia="zh-CN"/>
              </w:rPr>
            </w:pPr>
            <w:r>
              <w:rPr>
                <w:rFonts w:hint="eastAsia" w:ascii="宋体" w:hAnsi="宋体" w:eastAsia="宋体" w:cs="Times New Roman"/>
                <w:bCs/>
                <w:iCs/>
                <w:sz w:val="24"/>
                <w:szCs w:val="24"/>
              </w:rPr>
              <w:t>董事会秘书：陈蕾</w:t>
            </w:r>
            <w:r>
              <w:rPr>
                <w:rFonts w:hint="eastAsia" w:ascii="宋体" w:hAnsi="宋体" w:eastAsia="宋体" w:cs="Times New Roman"/>
                <w:bCs/>
                <w:iCs/>
                <w:sz w:val="24"/>
                <w:szCs w:val="24"/>
                <w:lang w:val="en-US" w:eastAsia="zh-CN"/>
              </w:rPr>
              <w:t>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10" w:type="dxa"/>
            <w:shd w:val="clear" w:color="auto" w:fill="auto"/>
            <w:vAlign w:val="center"/>
          </w:tcPr>
          <w:p>
            <w:pPr>
              <w:spacing w:line="360" w:lineRule="auto"/>
              <w:rPr>
                <w:rFonts w:ascii="宋体" w:hAnsi="宋体" w:eastAsia="宋体" w:cs="Times New Roman"/>
                <w:b/>
                <w:bCs/>
                <w:iCs/>
                <w:sz w:val="24"/>
                <w:szCs w:val="24"/>
              </w:rPr>
            </w:pPr>
            <w:r>
              <w:rPr>
                <w:rFonts w:hint="eastAsia"/>
                <w:b/>
                <w:sz w:val="24"/>
                <w:szCs w:val="24"/>
              </w:rPr>
              <w:t>投资者关系活动内容记录</w:t>
            </w:r>
          </w:p>
        </w:tc>
        <w:tc>
          <w:tcPr>
            <w:tcW w:w="5930" w:type="dxa"/>
            <w:shd w:val="clear" w:color="auto" w:fill="auto"/>
          </w:tcPr>
          <w:p>
            <w:pPr>
              <w:numPr>
                <w:ilvl w:val="0"/>
                <w:numId w:val="0"/>
              </w:numPr>
              <w:autoSpaceDE w:val="0"/>
              <w:autoSpaceDN w:val="0"/>
              <w:adjustRightInd w:val="0"/>
              <w:snapToGrid w:val="0"/>
              <w:spacing w:before="50" w:after="156" w:afterLines="50" w:line="360" w:lineRule="auto"/>
              <w:ind w:firstLine="482" w:firstLineChars="200"/>
              <w:rPr>
                <w:rFonts w:hint="default" w:asciiTheme="minorEastAsia" w:hAnsiTheme="minorEastAsia" w:cstheme="minorEastAsia"/>
                <w:b/>
                <w:bCs/>
                <w:color w:val="262626"/>
                <w:sz w:val="24"/>
                <w:szCs w:val="24"/>
                <w:shd w:val="clear" w:color="auto" w:fill="FFFFFF"/>
                <w:lang w:val="en-US" w:eastAsia="zh-CN"/>
              </w:rPr>
            </w:pPr>
            <w:r>
              <w:rPr>
                <w:rFonts w:hint="eastAsia" w:asciiTheme="minorEastAsia" w:hAnsiTheme="minorEastAsia" w:cstheme="minorEastAsia"/>
                <w:b/>
                <w:bCs/>
                <w:color w:val="262626"/>
                <w:sz w:val="24"/>
                <w:szCs w:val="24"/>
                <w:shd w:val="clear" w:color="auto" w:fill="FFFFFF"/>
                <w:lang w:val="en-US" w:eastAsia="zh-CN"/>
              </w:rPr>
              <w:t>一、公司基本情况及</w:t>
            </w:r>
            <w:r>
              <w:rPr>
                <w:rFonts w:hint="eastAsia" w:ascii="宋体" w:hAnsi="宋体" w:eastAsia="宋体" w:cs="Times New Roman"/>
                <w:b/>
                <w:sz w:val="24"/>
                <w:szCs w:val="24"/>
                <w:lang w:val="en-US" w:eastAsia="zh-CN"/>
              </w:rPr>
              <w:t>2023年度和2024年一季度经营情况介绍</w:t>
            </w:r>
          </w:p>
          <w:p>
            <w:pPr>
              <w:keepNext w:val="0"/>
              <w:keepLines w:val="0"/>
              <w:widowControl/>
              <w:suppressLineNumbers w:val="0"/>
              <w:spacing w:line="360" w:lineRule="auto"/>
              <w:ind w:firstLine="480" w:firstLineChars="200"/>
              <w:jc w:val="both"/>
              <w:rPr>
                <w:rFonts w:hint="eastAsia" w:asciiTheme="minorEastAsia" w:hAnsiTheme="minorEastAsia" w:cstheme="minorEastAsia"/>
                <w:b w:val="0"/>
                <w:bCs/>
                <w:sz w:val="24"/>
                <w:szCs w:val="24"/>
                <w:lang w:val="en-US" w:eastAsia="zh-CN"/>
              </w:rPr>
            </w:pPr>
            <w:r>
              <w:rPr>
                <w:rFonts w:hint="eastAsia" w:asciiTheme="minorEastAsia" w:hAnsiTheme="minorEastAsia" w:cstheme="minorEastAsia"/>
                <w:b w:val="0"/>
                <w:bCs/>
                <w:sz w:val="24"/>
                <w:szCs w:val="24"/>
                <w:lang w:val="en-US" w:eastAsia="zh-CN"/>
              </w:rPr>
              <w:t>杭州华旺新材料科技股份有限公司创立于2009年12月30日，总部位于杭州市临安区青山湖科技城。公司是国内高档装饰原纸研发、生产的领军企业。公司现有杭州和马鞍山两大生产基地，拥有多条全球领先装饰原纸生产线，有能力生产各类装饰原纸品种500余个。作为国内装饰原纸行业龙头企业之一，公司已成功跻身全球高端装饰原纸行业前列，公司产品在耐晒、稳定性和印刷性能方面具有良好的表现性能，在中高端市场具有强大的消费引导力和市场领导力。</w:t>
            </w:r>
          </w:p>
          <w:p>
            <w:pPr>
              <w:spacing w:before="156" w:beforeLines="50" w:after="156" w:afterLines="50" w:line="360" w:lineRule="auto"/>
              <w:ind w:firstLine="482" w:firstLineChars="200"/>
              <w:rPr>
                <w:rFonts w:hint="default"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1、2023年度经营情况。</w:t>
            </w:r>
          </w:p>
          <w:p>
            <w:pPr>
              <w:keepNext w:val="0"/>
              <w:keepLines w:val="0"/>
              <w:widowControl/>
              <w:suppressLineNumbers w:val="0"/>
              <w:spacing w:line="360" w:lineRule="auto"/>
              <w:ind w:firstLine="480" w:firstLineChars="200"/>
              <w:jc w:val="both"/>
              <w:rPr>
                <w:rFonts w:hint="eastAsia" w:asciiTheme="minorEastAsia" w:hAnsiTheme="minorEastAsia" w:cstheme="minorEastAsia"/>
                <w:b w:val="0"/>
                <w:bCs/>
                <w:sz w:val="24"/>
                <w:szCs w:val="24"/>
                <w:lang w:val="en-US" w:eastAsia="zh-CN"/>
              </w:rPr>
            </w:pPr>
            <w:r>
              <w:rPr>
                <w:rFonts w:hint="eastAsia" w:asciiTheme="minorEastAsia" w:hAnsiTheme="minorEastAsia" w:cstheme="minorEastAsia"/>
                <w:b w:val="0"/>
                <w:bCs/>
                <w:sz w:val="24"/>
                <w:szCs w:val="24"/>
                <w:lang w:val="en-US" w:eastAsia="zh-CN"/>
              </w:rPr>
              <w:t>2023年，公司聚焦主业抓发展，心无旁骛提内涵，深入践行“专业、专注、稳谨、发展”的经营理念，整体工作保持稳中有进、进中提质的良好态势。截止2023年12月31日，公司总资产62.19亿元，归属于上市公司股东的净资产40.10亿元。2023年，公司实现营业收入39.76亿元，较上年同期增长15.70%；实现归属于上市公司股东的净利润5.66亿元，较上年同期增长21.13%；实现归属于上市公司股东的扣除非经常性损益的净利润5.28亿元，同比增长16.43%。主要经营指标稳步提升，高质量发展扎实推进。</w:t>
            </w:r>
          </w:p>
          <w:p>
            <w:pPr>
              <w:spacing w:before="156" w:beforeLines="50" w:after="156" w:afterLines="50" w:line="360" w:lineRule="auto"/>
              <w:ind w:firstLine="482" w:firstLineChars="200"/>
              <w:rPr>
                <w:rFonts w:hint="default"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2、2024年一季度经营情况。</w:t>
            </w:r>
          </w:p>
          <w:p>
            <w:pPr>
              <w:keepNext w:val="0"/>
              <w:keepLines w:val="0"/>
              <w:widowControl/>
              <w:suppressLineNumbers w:val="0"/>
              <w:spacing w:line="360" w:lineRule="auto"/>
              <w:ind w:firstLine="480" w:firstLineChars="200"/>
              <w:jc w:val="both"/>
              <w:rPr>
                <w:rFonts w:hint="default" w:asciiTheme="minorEastAsia" w:hAnsiTheme="minorEastAsia" w:cstheme="minorEastAsia"/>
                <w:b w:val="0"/>
                <w:bCs/>
                <w:sz w:val="24"/>
                <w:szCs w:val="24"/>
                <w:lang w:val="en-US" w:eastAsia="zh-CN"/>
              </w:rPr>
            </w:pPr>
            <w:r>
              <w:rPr>
                <w:rFonts w:hint="eastAsia" w:asciiTheme="minorEastAsia" w:hAnsiTheme="minorEastAsia" w:cstheme="minorEastAsia"/>
                <w:b w:val="0"/>
                <w:bCs/>
                <w:sz w:val="24"/>
                <w:szCs w:val="24"/>
                <w:lang w:val="en-US" w:eastAsia="zh-CN"/>
              </w:rPr>
              <w:t>2024年第一季度收入和利润的双增长，实现良好开局。公司实现营业收入9.52亿元，同比增长4.15%；实现归属于上市公司股东的净利润1.47亿元，同比增长36.59%；实现归属于上市公司股东的扣除非经常性损益的净利润1.45亿元，同比增长49.95%。</w:t>
            </w:r>
          </w:p>
          <w:p>
            <w:pPr>
              <w:numPr>
                <w:ilvl w:val="0"/>
                <w:numId w:val="0"/>
              </w:numPr>
              <w:autoSpaceDE w:val="0"/>
              <w:autoSpaceDN w:val="0"/>
              <w:adjustRightInd w:val="0"/>
              <w:snapToGrid w:val="0"/>
              <w:spacing w:before="50" w:after="156" w:afterLines="50" w:line="360" w:lineRule="auto"/>
              <w:ind w:firstLine="482" w:firstLineChars="200"/>
              <w:rPr>
                <w:rFonts w:hint="eastAsia" w:asciiTheme="minorEastAsia" w:hAnsiTheme="minorEastAsia" w:cstheme="minorEastAsia"/>
                <w:b/>
                <w:bCs/>
                <w:color w:val="262626"/>
                <w:sz w:val="24"/>
                <w:szCs w:val="24"/>
                <w:shd w:val="clear" w:color="auto" w:fill="FFFFFF"/>
                <w:lang w:val="en-US" w:eastAsia="zh-CN"/>
              </w:rPr>
            </w:pPr>
            <w:r>
              <w:rPr>
                <w:rFonts w:hint="eastAsia" w:asciiTheme="minorEastAsia" w:hAnsiTheme="minorEastAsia" w:cstheme="minorEastAsia"/>
                <w:b/>
                <w:bCs/>
                <w:color w:val="262626"/>
                <w:sz w:val="24"/>
                <w:szCs w:val="24"/>
                <w:shd w:val="clear" w:color="auto" w:fill="FFFFFF"/>
                <w:lang w:val="en-US" w:eastAsia="zh-CN"/>
              </w:rPr>
              <w:t>二、调研活动问答</w:t>
            </w:r>
          </w:p>
          <w:p>
            <w:pPr>
              <w:spacing w:before="156" w:beforeLines="50" w:after="156" w:afterLines="50" w:line="360" w:lineRule="auto"/>
              <w:ind w:firstLine="482" w:firstLineChars="200"/>
              <w:rPr>
                <w:rFonts w:hint="default"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1、公司产品2023年及2024第一季度海外拓展情况？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b w:val="0"/>
                <w:bCs/>
                <w:sz w:val="24"/>
                <w:szCs w:val="24"/>
                <w:lang w:val="en-US" w:eastAsia="zh-CN"/>
              </w:rPr>
            </w:pPr>
            <w:r>
              <w:rPr>
                <w:rFonts w:hint="eastAsia" w:asciiTheme="minorEastAsia" w:hAnsiTheme="minorEastAsia" w:cstheme="minorEastAsia"/>
                <w:b w:val="0"/>
                <w:bCs/>
                <w:sz w:val="24"/>
                <w:szCs w:val="24"/>
                <w:lang w:val="en-US" w:eastAsia="zh-CN"/>
              </w:rPr>
              <w:t>答：2023年公司在牢牢把握“国内国际双循环”战略机遇下，积极开拓国际市场，尤其是中高端市场，海外市场空间进一步打开。基于优良稳定的产品品质，公司与众多国外知名厂商建立了良好的合作关系，公司的产品覆盖欧洲、亚洲等多个国家，出口规模快速提升。2023年，国外销售收入为7.80亿元，较上年同期增长66.90%。截止到2024年第一季度，公司海外市场销售继续呈现向好态势。未来公司将会继续深耕海外市场，进一步提升国际市场份额。谢谢！</w:t>
            </w:r>
          </w:p>
          <w:p>
            <w:pPr>
              <w:spacing w:before="156" w:beforeLines="50" w:after="156" w:afterLines="50" w:line="360" w:lineRule="auto"/>
              <w:ind w:firstLine="482" w:firstLineChars="200"/>
              <w:rPr>
                <w:rFonts w:hint="eastAsia"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2、公司将如何践行好股东回报？</w:t>
            </w:r>
          </w:p>
          <w:p>
            <w:pPr>
              <w:keepNext w:val="0"/>
              <w:keepLines w:val="0"/>
              <w:widowControl/>
              <w:suppressLineNumbers w:val="0"/>
              <w:spacing w:line="360" w:lineRule="auto"/>
              <w:ind w:firstLine="480" w:firstLineChars="200"/>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答：作为国内从事装饰原纸生产的主要企业之一，公司始终重视资本市场建设，重视投资者利益，始终牢固树立以投资者为本的理念，致力与股东建立长期稳定、相互信任的投资关系。</w:t>
            </w:r>
            <w:r>
              <w:rPr>
                <w:rFonts w:hint="eastAsia" w:ascii="宋体" w:hAnsi="宋体" w:eastAsia="宋体" w:cs="宋体"/>
                <w:color w:val="000000"/>
                <w:kern w:val="0"/>
                <w:sz w:val="24"/>
                <w:szCs w:val="24"/>
                <w:lang w:val="en-US" w:eastAsia="zh-CN" w:bidi="ar"/>
              </w:rPr>
              <w:t>公司重视投资者的合理回报，最近三年（2020年-2022年），公司累计向投资者分配现金红利46,618.38万元，以现金方式回购股份金额5,717.49 万元</w:t>
            </w:r>
            <w:r>
              <w:rPr>
                <w:rFonts w:hint="eastAsia" w:ascii="宋体" w:hAnsi="宋体" w:eastAsia="宋体" w:cs="宋体"/>
                <w:b w:val="0"/>
                <w:bCs/>
                <w:sz w:val="24"/>
                <w:szCs w:val="24"/>
                <w:lang w:val="en-US" w:eastAsia="zh-CN"/>
              </w:rPr>
              <w:t>，近3年年均股利支付率达40.7%，保持现金分红政策的持续性和稳定性。根据公司2023年度利润分配预案，2023年公司拟向全体股东每10股派发现金红利11.00元（含税），同时向全体股东每10股以资本公积金转增4股。合计拟派发现金红利3.6亿元（含税），分红比例达到63.94%。</w:t>
            </w:r>
          </w:p>
          <w:p>
            <w:pPr>
              <w:spacing w:before="156" w:beforeLines="50" w:after="156" w:afterLines="50" w:line="360" w:lineRule="auto"/>
              <w:ind w:firstLine="480" w:firstLineChars="200"/>
              <w:rPr>
                <w:rFonts w:hint="eastAsia" w:ascii="宋体" w:hAnsi="宋体"/>
                <w:b w:val="0"/>
                <w:bCs/>
                <w:sz w:val="24"/>
                <w:szCs w:val="24"/>
                <w:lang w:val="en-US" w:eastAsia="zh-CN"/>
              </w:rPr>
            </w:pPr>
            <w:r>
              <w:rPr>
                <w:rFonts w:hint="eastAsia" w:ascii="宋体" w:hAnsi="宋体"/>
                <w:b w:val="0"/>
                <w:bCs/>
                <w:sz w:val="24"/>
                <w:szCs w:val="24"/>
                <w:lang w:val="en-US" w:eastAsia="zh-CN"/>
              </w:rPr>
              <w:t>持续稳定的分红有助于增强投资者回报，推动树立长期价值投资理念，推动公司经营发展质量、投资价值以及可持续发展水平的持续提升。下一步，公司将积极响应监管机构和相关部门的号召，根据所处发展阶段，统筹好公司发展、业绩增长与股东回报的动态平衡，坚持“长期、稳定、可持续”的股东价值回报机制，与广大投资者共享发展成果。谢谢！</w:t>
            </w:r>
          </w:p>
          <w:p>
            <w:pPr>
              <w:spacing w:before="156" w:beforeLines="50" w:after="156" w:afterLines="50" w:line="360" w:lineRule="auto"/>
              <w:ind w:firstLine="482" w:firstLineChars="200"/>
              <w:rPr>
                <w:rFonts w:hint="eastAsia"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3、2023年公司装饰原纸产销量及盈利水平情况？</w:t>
            </w:r>
          </w:p>
          <w:p>
            <w:pPr>
              <w:spacing w:before="156" w:beforeLines="50" w:after="156" w:afterLines="50" w:line="360" w:lineRule="auto"/>
              <w:ind w:firstLine="480" w:firstLineChars="200"/>
              <w:rPr>
                <w:rFonts w:hint="eastAsia" w:ascii="宋体" w:hAnsi="宋体" w:eastAsia="宋体" w:cs="Times New Roman"/>
                <w:b w:val="0"/>
                <w:bCs/>
                <w:sz w:val="24"/>
                <w:szCs w:val="24"/>
                <w:lang w:val="en-US" w:eastAsia="zh-CN"/>
              </w:rPr>
            </w:pPr>
            <w:r>
              <w:rPr>
                <w:rFonts w:hint="eastAsia" w:ascii="宋体" w:hAnsi="宋体" w:eastAsia="宋体" w:cs="Times New Roman"/>
                <w:b w:val="0"/>
                <w:bCs/>
                <w:sz w:val="24"/>
                <w:szCs w:val="24"/>
                <w:lang w:val="en-US" w:eastAsia="zh-CN"/>
              </w:rPr>
              <w:t>答：2023年，面对全球经济下行，宏观经济复苏不及预期的压力，公司装饰原纸产销量依然实现稳步增长。实现装饰原纸产量31.03万吨，同比增长27.83%；实现销量30.51万吨，同比增长34.18%。</w:t>
            </w:r>
          </w:p>
          <w:p>
            <w:pPr>
              <w:spacing w:before="156" w:beforeLines="50" w:after="156" w:afterLines="50" w:line="360" w:lineRule="auto"/>
              <w:ind w:firstLine="480" w:firstLineChars="200"/>
              <w:rPr>
                <w:rFonts w:hint="default" w:ascii="宋体" w:hAnsi="宋体" w:eastAsia="宋体" w:cs="Times New Roman"/>
                <w:b w:val="0"/>
                <w:bCs/>
                <w:sz w:val="24"/>
                <w:szCs w:val="24"/>
                <w:lang w:val="en-US" w:eastAsia="zh-CN"/>
              </w:rPr>
            </w:pPr>
            <w:r>
              <w:rPr>
                <w:rFonts w:hint="eastAsia" w:ascii="宋体" w:hAnsi="宋体" w:eastAsia="宋体" w:cs="Times New Roman"/>
                <w:b w:val="0"/>
                <w:bCs/>
                <w:sz w:val="24"/>
                <w:szCs w:val="24"/>
                <w:lang w:val="en-US" w:eastAsia="zh-CN"/>
              </w:rPr>
              <w:t>在盈利水平方面，实现装饰原纸收入31.07亿元，同比增长30.35%；装饰原纸毛利率23.40%，同比增加3.05个百分点。谢谢！</w:t>
            </w:r>
          </w:p>
          <w:p>
            <w:pPr>
              <w:spacing w:before="156" w:beforeLines="50" w:after="156" w:afterLines="50" w:line="360" w:lineRule="auto"/>
              <w:ind w:firstLine="482" w:firstLineChars="200"/>
              <w:rPr>
                <w:rFonts w:hint="eastAsia"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4、2024年公司在降本增效方面将采取哪些措施？</w:t>
            </w:r>
          </w:p>
          <w:p>
            <w:pPr>
              <w:numPr>
                <w:ilvl w:val="0"/>
                <w:numId w:val="0"/>
              </w:numPr>
              <w:autoSpaceDE w:val="0"/>
              <w:autoSpaceDN w:val="0"/>
              <w:adjustRightInd w:val="0"/>
              <w:snapToGrid w:val="0"/>
              <w:spacing w:before="50" w:after="156" w:afterLines="50" w:line="360" w:lineRule="auto"/>
              <w:ind w:firstLine="480" w:firstLineChars="200"/>
              <w:rPr>
                <w:rFonts w:hint="default" w:ascii="宋体" w:hAnsi="宋体"/>
                <w:b w:val="0"/>
                <w:bCs/>
                <w:sz w:val="24"/>
                <w:szCs w:val="24"/>
                <w:lang w:val="en-US" w:eastAsia="zh-CN"/>
              </w:rPr>
            </w:pPr>
            <w:r>
              <w:rPr>
                <w:rFonts w:hint="eastAsia" w:ascii="宋体" w:hAnsi="宋体"/>
                <w:b w:val="0"/>
                <w:bCs/>
                <w:sz w:val="24"/>
                <w:szCs w:val="24"/>
                <w:lang w:val="en-US" w:eastAsia="zh-CN"/>
              </w:rPr>
              <w:t>答：</w:t>
            </w:r>
            <w:r>
              <w:rPr>
                <w:rFonts w:hint="default" w:ascii="宋体" w:hAnsi="宋体"/>
                <w:b w:val="0"/>
                <w:bCs/>
                <w:sz w:val="24"/>
                <w:szCs w:val="24"/>
                <w:lang w:val="en-US" w:eastAsia="zh-CN"/>
              </w:rPr>
              <w:t>公司将坚持以成本、质量、交付期、人均效率为管理导向，生产、销售、采购、技术等多部门协同，综合平衡生产线资源匹配度，推进流程升级，优化生产过程管控，严抓产量、运行效率、设备管理、质量管理、生产成本管控等方面工作，进一步提升基础管理水平与精细化管理水平，寻找利润增长点，实现降本增效工作的扎实落地。谢谢！</w:t>
            </w:r>
          </w:p>
          <w:p>
            <w:pPr>
              <w:spacing w:before="156" w:beforeLines="50" w:after="156" w:afterLines="50" w:line="360" w:lineRule="auto"/>
              <w:ind w:firstLine="482" w:firstLineChars="200"/>
              <w:rPr>
                <w:rFonts w:hint="eastAsia"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5、公司的产能情况及未来的产能规划？</w:t>
            </w:r>
          </w:p>
          <w:p>
            <w:pPr>
              <w:spacing w:before="156" w:beforeLines="50" w:after="156" w:afterLines="50" w:line="360" w:lineRule="auto"/>
              <w:ind w:firstLine="480" w:firstLineChars="200"/>
              <w:rPr>
                <w:rFonts w:hint="eastAsia" w:asciiTheme="minorEastAsia" w:hAnsiTheme="minorEastAsia" w:cstheme="minorEastAsia"/>
                <w:b w:val="0"/>
                <w:bCs/>
                <w:sz w:val="24"/>
                <w:szCs w:val="24"/>
                <w:lang w:val="en-US" w:eastAsia="zh-CN"/>
              </w:rPr>
            </w:pPr>
            <w:r>
              <w:rPr>
                <w:rFonts w:hint="eastAsia" w:asciiTheme="minorEastAsia" w:hAnsiTheme="minorEastAsia" w:cstheme="minorEastAsia"/>
                <w:b w:val="0"/>
                <w:bCs/>
                <w:sz w:val="24"/>
                <w:szCs w:val="24"/>
                <w:lang w:val="en-US" w:eastAsia="zh-CN"/>
              </w:rPr>
              <w:t>答：随着公司募投项目产能的陆续释放，公司的产能规模进一步增加。截止2023年底，公司现有产能35万吨，产能利用率始终保持较高水准。下一步，公司将充分发挥在装饰原纸领域的综合优势，聚焦新品种、新技术的研发创新，积极稳妥的推进产能规模的适度扩张，保障公司规模及业绩增长的延续性。谢谢！</w:t>
            </w:r>
          </w:p>
          <w:p>
            <w:pPr>
              <w:spacing w:before="156" w:beforeLines="50" w:after="156" w:afterLines="50" w:line="360" w:lineRule="auto"/>
              <w:ind w:firstLine="482" w:firstLineChars="200"/>
              <w:rPr>
                <w:rFonts w:hint="eastAsia"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6、装饰原纸行业未来发展的驱动力？</w:t>
            </w:r>
          </w:p>
          <w:p>
            <w:pPr>
              <w:spacing w:before="156" w:beforeLines="50" w:after="156" w:afterLines="50" w:line="360" w:lineRule="auto"/>
              <w:ind w:firstLine="480" w:firstLineChars="200"/>
              <w:rPr>
                <w:rFonts w:hint="default" w:ascii="宋体" w:hAnsi="宋体"/>
                <w:b w:val="0"/>
                <w:bCs/>
                <w:sz w:val="24"/>
                <w:szCs w:val="24"/>
                <w:lang w:val="en-US" w:eastAsia="zh-CN"/>
              </w:rPr>
            </w:pPr>
            <w:r>
              <w:rPr>
                <w:rFonts w:hint="eastAsia" w:ascii="宋体" w:hAnsi="宋体"/>
                <w:b w:val="0"/>
                <w:bCs/>
                <w:sz w:val="24"/>
                <w:szCs w:val="24"/>
                <w:lang w:val="en-US" w:eastAsia="zh-CN"/>
              </w:rPr>
              <w:t>答：随着人们居住条件的改善和环保意识的增强，个性化、轻量化、环保、外表美观的家具产品越来越得到消费者的青睐，由此带动中高端装饰原纸需求高增。其次，在墙地面一体化，由地上墙的装修新背景下，室内空间六面一体化是实现墙、门、柜与地深度协同的重要落地，新装修趋势下各类可替换饰面板也将对装饰原纸行业带来更多的市场需求。此外，下游应用领域不断有新的需求交替出现，进一步推动未来行业的市场需求。对此，公司将牢牢立足装饰原纸行业的创新前沿，积极协同下游客户拓宽装饰原纸的应用空间，从而带来新的装饰原纸增量。谢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0" w:type="dxa"/>
            <w:shd w:val="clear" w:color="auto" w:fill="auto"/>
            <w:vAlign w:val="center"/>
          </w:tcPr>
          <w:p>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附件清单</w:t>
            </w:r>
          </w:p>
        </w:tc>
        <w:tc>
          <w:tcPr>
            <w:tcW w:w="5930" w:type="dxa"/>
            <w:shd w:val="clear" w:color="auto" w:fill="auto"/>
          </w:tcPr>
          <w:p>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0" w:type="dxa"/>
            <w:shd w:val="clear" w:color="auto" w:fill="auto"/>
            <w:vAlign w:val="center"/>
          </w:tcPr>
          <w:p>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日期</w:t>
            </w:r>
          </w:p>
        </w:tc>
        <w:tc>
          <w:tcPr>
            <w:tcW w:w="5930" w:type="dxa"/>
            <w:shd w:val="clear" w:color="auto" w:fill="auto"/>
            <w:vAlign w:val="center"/>
          </w:tcPr>
          <w:p>
            <w:pPr>
              <w:spacing w:line="360" w:lineRule="auto"/>
              <w:rPr>
                <w:rFonts w:ascii="宋体" w:hAnsi="宋体" w:eastAsia="宋体" w:cs="Times New Roman"/>
                <w:iCs/>
                <w:sz w:val="24"/>
                <w:szCs w:val="24"/>
              </w:rPr>
            </w:pPr>
            <w:r>
              <w:rPr>
                <w:rFonts w:hint="eastAsia" w:ascii="宋体" w:hAnsi="宋体" w:eastAsia="宋体" w:cs="Times New Roman"/>
                <w:iCs/>
                <w:sz w:val="24"/>
                <w:szCs w:val="24"/>
              </w:rPr>
              <w:t>202</w:t>
            </w:r>
            <w:r>
              <w:rPr>
                <w:rFonts w:hint="eastAsia" w:ascii="宋体" w:hAnsi="宋体" w:eastAsia="宋体" w:cs="Times New Roman"/>
                <w:iCs/>
                <w:sz w:val="24"/>
                <w:szCs w:val="24"/>
                <w:lang w:val="en-US" w:eastAsia="zh-CN"/>
              </w:rPr>
              <w:t>4</w:t>
            </w:r>
            <w:r>
              <w:rPr>
                <w:rFonts w:hint="eastAsia" w:ascii="宋体" w:hAnsi="宋体" w:eastAsia="宋体" w:cs="Times New Roman"/>
                <w:iCs/>
                <w:sz w:val="24"/>
                <w:szCs w:val="24"/>
              </w:rPr>
              <w:t>年</w:t>
            </w:r>
            <w:r>
              <w:rPr>
                <w:rFonts w:hint="eastAsia" w:ascii="宋体" w:hAnsi="宋体" w:eastAsia="宋体" w:cs="Times New Roman"/>
                <w:iCs/>
                <w:sz w:val="24"/>
                <w:szCs w:val="24"/>
                <w:lang w:val="en-US" w:eastAsia="zh-CN"/>
              </w:rPr>
              <w:t>04</w:t>
            </w:r>
            <w:r>
              <w:rPr>
                <w:rFonts w:hint="eastAsia" w:ascii="宋体" w:hAnsi="宋体" w:eastAsia="宋体" w:cs="Times New Roman"/>
                <w:iCs/>
                <w:sz w:val="24"/>
                <w:szCs w:val="24"/>
              </w:rPr>
              <w:t>月</w:t>
            </w:r>
            <w:r>
              <w:rPr>
                <w:rFonts w:hint="eastAsia" w:ascii="宋体" w:hAnsi="宋体" w:eastAsia="宋体" w:cs="Times New Roman"/>
                <w:iCs/>
                <w:sz w:val="24"/>
                <w:szCs w:val="24"/>
                <w:lang w:val="en-US" w:eastAsia="zh-CN"/>
              </w:rPr>
              <w:t>30</w:t>
            </w:r>
            <w:r>
              <w:rPr>
                <w:rFonts w:hint="eastAsia" w:ascii="宋体" w:hAnsi="宋体" w:eastAsia="宋体" w:cs="Times New Roman"/>
                <w:iCs/>
                <w:sz w:val="24"/>
                <w:szCs w:val="24"/>
                <w:highlight w:val="none"/>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zY1ODc2ZjdjMmIzMTNmM2Y0MGM5MDU0YzAxMmMifQ=="/>
  </w:docVars>
  <w:rsids>
    <w:rsidRoot w:val="05741DF2"/>
    <w:rsid w:val="000B715C"/>
    <w:rsid w:val="00106E63"/>
    <w:rsid w:val="0015768F"/>
    <w:rsid w:val="001E03D3"/>
    <w:rsid w:val="001F2E4C"/>
    <w:rsid w:val="002675FA"/>
    <w:rsid w:val="0050324B"/>
    <w:rsid w:val="008670FD"/>
    <w:rsid w:val="00D0011A"/>
    <w:rsid w:val="00E272D3"/>
    <w:rsid w:val="00F17ABA"/>
    <w:rsid w:val="00FF1CE8"/>
    <w:rsid w:val="0305345B"/>
    <w:rsid w:val="03676D57"/>
    <w:rsid w:val="05741DF2"/>
    <w:rsid w:val="0581354D"/>
    <w:rsid w:val="058735DE"/>
    <w:rsid w:val="059A67BA"/>
    <w:rsid w:val="05FD0E91"/>
    <w:rsid w:val="067B3A34"/>
    <w:rsid w:val="067B433B"/>
    <w:rsid w:val="06B8720F"/>
    <w:rsid w:val="074F1149"/>
    <w:rsid w:val="076C78D3"/>
    <w:rsid w:val="09EB2C7F"/>
    <w:rsid w:val="0A975CBF"/>
    <w:rsid w:val="0AF344E1"/>
    <w:rsid w:val="0B0623A6"/>
    <w:rsid w:val="0C1116EC"/>
    <w:rsid w:val="0CA648B1"/>
    <w:rsid w:val="0D5345DB"/>
    <w:rsid w:val="0DBE08FD"/>
    <w:rsid w:val="0E0F054E"/>
    <w:rsid w:val="0F247C71"/>
    <w:rsid w:val="0F3F7CF5"/>
    <w:rsid w:val="0F5320C7"/>
    <w:rsid w:val="0F9A3AC1"/>
    <w:rsid w:val="126A12AD"/>
    <w:rsid w:val="13240AF6"/>
    <w:rsid w:val="134578A4"/>
    <w:rsid w:val="13567813"/>
    <w:rsid w:val="13682914"/>
    <w:rsid w:val="13E811F4"/>
    <w:rsid w:val="1500148C"/>
    <w:rsid w:val="15F76D1A"/>
    <w:rsid w:val="169278C0"/>
    <w:rsid w:val="177270DF"/>
    <w:rsid w:val="199232F7"/>
    <w:rsid w:val="1A050D21"/>
    <w:rsid w:val="1A3059AD"/>
    <w:rsid w:val="1B105864"/>
    <w:rsid w:val="1B14711D"/>
    <w:rsid w:val="1BB4508E"/>
    <w:rsid w:val="1BF9747E"/>
    <w:rsid w:val="1F71326E"/>
    <w:rsid w:val="1FBB3F7E"/>
    <w:rsid w:val="20AA343C"/>
    <w:rsid w:val="21197107"/>
    <w:rsid w:val="21DF3067"/>
    <w:rsid w:val="226C3675"/>
    <w:rsid w:val="22FC3FCE"/>
    <w:rsid w:val="231E7CDE"/>
    <w:rsid w:val="23294AEC"/>
    <w:rsid w:val="24935FA1"/>
    <w:rsid w:val="25472BFA"/>
    <w:rsid w:val="25AF557F"/>
    <w:rsid w:val="269154D1"/>
    <w:rsid w:val="275D2FB6"/>
    <w:rsid w:val="2823423B"/>
    <w:rsid w:val="282D214E"/>
    <w:rsid w:val="286D547B"/>
    <w:rsid w:val="29146EAC"/>
    <w:rsid w:val="296C5733"/>
    <w:rsid w:val="29B37026"/>
    <w:rsid w:val="29E975B1"/>
    <w:rsid w:val="2A952A67"/>
    <w:rsid w:val="2ACE41EB"/>
    <w:rsid w:val="2B23227F"/>
    <w:rsid w:val="2E7D4CEC"/>
    <w:rsid w:val="2E950B13"/>
    <w:rsid w:val="2F584B71"/>
    <w:rsid w:val="3050294D"/>
    <w:rsid w:val="30CB3432"/>
    <w:rsid w:val="31F0278E"/>
    <w:rsid w:val="32180206"/>
    <w:rsid w:val="32981347"/>
    <w:rsid w:val="32B06690"/>
    <w:rsid w:val="33974B3E"/>
    <w:rsid w:val="34500D79"/>
    <w:rsid w:val="34527396"/>
    <w:rsid w:val="34C43BA2"/>
    <w:rsid w:val="354E5CEC"/>
    <w:rsid w:val="355A1F7F"/>
    <w:rsid w:val="37004062"/>
    <w:rsid w:val="381B1477"/>
    <w:rsid w:val="38C742B4"/>
    <w:rsid w:val="38CD0925"/>
    <w:rsid w:val="38E8632E"/>
    <w:rsid w:val="39C058FE"/>
    <w:rsid w:val="3A210922"/>
    <w:rsid w:val="3A326229"/>
    <w:rsid w:val="3A4D7224"/>
    <w:rsid w:val="3A595859"/>
    <w:rsid w:val="3AC70A1B"/>
    <w:rsid w:val="3B366FEE"/>
    <w:rsid w:val="3B5853CD"/>
    <w:rsid w:val="3B64251B"/>
    <w:rsid w:val="3BEE1FCA"/>
    <w:rsid w:val="3D475E43"/>
    <w:rsid w:val="3D9C3B02"/>
    <w:rsid w:val="3DBB413B"/>
    <w:rsid w:val="3E0E181C"/>
    <w:rsid w:val="3E3E7D93"/>
    <w:rsid w:val="3F1D10D5"/>
    <w:rsid w:val="410D40CE"/>
    <w:rsid w:val="41517290"/>
    <w:rsid w:val="4269685C"/>
    <w:rsid w:val="429C6ABF"/>
    <w:rsid w:val="42D061F2"/>
    <w:rsid w:val="43F959BD"/>
    <w:rsid w:val="44BA3973"/>
    <w:rsid w:val="44D1233D"/>
    <w:rsid w:val="44E421C9"/>
    <w:rsid w:val="46243F13"/>
    <w:rsid w:val="4799373F"/>
    <w:rsid w:val="49AA7857"/>
    <w:rsid w:val="49CD147E"/>
    <w:rsid w:val="4A027B35"/>
    <w:rsid w:val="4AE54E3F"/>
    <w:rsid w:val="4B0B5CC5"/>
    <w:rsid w:val="4B9D1856"/>
    <w:rsid w:val="4C96024D"/>
    <w:rsid w:val="4CAE4EF5"/>
    <w:rsid w:val="4D5A49E5"/>
    <w:rsid w:val="4D64442E"/>
    <w:rsid w:val="4EBD5CF7"/>
    <w:rsid w:val="4F495A4B"/>
    <w:rsid w:val="50110297"/>
    <w:rsid w:val="508830FB"/>
    <w:rsid w:val="52B06F57"/>
    <w:rsid w:val="52B62781"/>
    <w:rsid w:val="53E65938"/>
    <w:rsid w:val="54232158"/>
    <w:rsid w:val="542B3971"/>
    <w:rsid w:val="54754BEC"/>
    <w:rsid w:val="54C8301F"/>
    <w:rsid w:val="54F71B6A"/>
    <w:rsid w:val="55106EF8"/>
    <w:rsid w:val="55CC707D"/>
    <w:rsid w:val="561223C3"/>
    <w:rsid w:val="569C1B1F"/>
    <w:rsid w:val="56EB6EE9"/>
    <w:rsid w:val="56F23156"/>
    <w:rsid w:val="587517BA"/>
    <w:rsid w:val="58E93DFA"/>
    <w:rsid w:val="5A316DF7"/>
    <w:rsid w:val="5A8770DA"/>
    <w:rsid w:val="5B13515F"/>
    <w:rsid w:val="5B7A12CC"/>
    <w:rsid w:val="5DC77EE3"/>
    <w:rsid w:val="612B49A3"/>
    <w:rsid w:val="616F4D1B"/>
    <w:rsid w:val="617C45D8"/>
    <w:rsid w:val="620D372E"/>
    <w:rsid w:val="62BC1820"/>
    <w:rsid w:val="639D7CBB"/>
    <w:rsid w:val="63A20318"/>
    <w:rsid w:val="642437FD"/>
    <w:rsid w:val="643E5925"/>
    <w:rsid w:val="6460128F"/>
    <w:rsid w:val="64D37E39"/>
    <w:rsid w:val="65661738"/>
    <w:rsid w:val="674A395A"/>
    <w:rsid w:val="691D122F"/>
    <w:rsid w:val="694D6B91"/>
    <w:rsid w:val="69D10F2A"/>
    <w:rsid w:val="69F17CCC"/>
    <w:rsid w:val="6A13729C"/>
    <w:rsid w:val="6BA47E5E"/>
    <w:rsid w:val="6BD457FB"/>
    <w:rsid w:val="6CCF3057"/>
    <w:rsid w:val="6DC42A14"/>
    <w:rsid w:val="6DEC77AE"/>
    <w:rsid w:val="6F8F00AC"/>
    <w:rsid w:val="6FA7439C"/>
    <w:rsid w:val="70166E7D"/>
    <w:rsid w:val="71245578"/>
    <w:rsid w:val="71754026"/>
    <w:rsid w:val="72EF0B40"/>
    <w:rsid w:val="73D84601"/>
    <w:rsid w:val="76890E4B"/>
    <w:rsid w:val="77D500B3"/>
    <w:rsid w:val="78965C43"/>
    <w:rsid w:val="794A5D98"/>
    <w:rsid w:val="798870FF"/>
    <w:rsid w:val="7A68035F"/>
    <w:rsid w:val="7A737D6F"/>
    <w:rsid w:val="7AAA11E4"/>
    <w:rsid w:val="7AC558F8"/>
    <w:rsid w:val="7C973F23"/>
    <w:rsid w:val="7D0E37CD"/>
    <w:rsid w:val="7D393C95"/>
    <w:rsid w:val="7D9C1C50"/>
    <w:rsid w:val="7DAC3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1"/>
    <w:pPr>
      <w:ind w:left="602"/>
      <w:outlineLvl w:val="1"/>
    </w:pPr>
    <w:rPr>
      <w:rFonts w:ascii="Microsoft JhengHei" w:hAnsi="Microsoft JhengHei" w:eastAsia="Microsoft JhengHei" w:cs="Microsoft JhengHei"/>
      <w:b/>
      <w:bCs/>
      <w:sz w:val="24"/>
      <w:szCs w:val="24"/>
      <w:lang w:val="zh-CN" w:bidi="zh-CN"/>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3"/>
    <w:autoRedefine/>
    <w:qFormat/>
    <w:uiPriority w:val="0"/>
    <w:pPr>
      <w:jc w:val="left"/>
    </w:pPr>
  </w:style>
  <w:style w:type="paragraph" w:styleId="4">
    <w:name w:val="Body Text"/>
    <w:basedOn w:val="1"/>
    <w:autoRedefine/>
    <w:qFormat/>
    <w:uiPriority w:val="1"/>
    <w:pPr>
      <w:spacing w:before="161"/>
      <w:ind w:left="120"/>
    </w:pPr>
    <w:rPr>
      <w:rFonts w:ascii="宋体" w:hAnsi="宋体" w:eastAsia="宋体" w:cs="宋体"/>
      <w:sz w:val="24"/>
      <w:szCs w:val="24"/>
      <w:lang w:val="zh-CN" w:bidi="zh-CN"/>
    </w:rPr>
  </w:style>
  <w:style w:type="paragraph" w:styleId="5">
    <w:name w:val="Balloon Text"/>
    <w:basedOn w:val="1"/>
    <w:link w:val="15"/>
    <w:autoRedefine/>
    <w:qFormat/>
    <w:uiPriority w:val="0"/>
    <w:rPr>
      <w:sz w:val="18"/>
      <w:szCs w:val="18"/>
    </w:rPr>
  </w:style>
  <w:style w:type="paragraph" w:styleId="6">
    <w:name w:val="footer"/>
    <w:basedOn w:val="1"/>
    <w:link w:val="17"/>
    <w:autoRedefine/>
    <w:qFormat/>
    <w:uiPriority w:val="0"/>
    <w:pPr>
      <w:tabs>
        <w:tab w:val="center" w:pos="4153"/>
        <w:tab w:val="right" w:pos="8306"/>
      </w:tabs>
      <w:snapToGrid w:val="0"/>
      <w:jc w:val="left"/>
    </w:pPr>
    <w:rPr>
      <w:sz w:val="18"/>
      <w:szCs w:val="18"/>
    </w:rPr>
  </w:style>
  <w:style w:type="paragraph" w:styleId="7">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3"/>
    <w:next w:val="3"/>
    <w:link w:val="14"/>
    <w:autoRedefine/>
    <w:qFormat/>
    <w:uiPriority w:val="0"/>
    <w:rPr>
      <w:b/>
      <w:bCs/>
    </w:rPr>
  </w:style>
  <w:style w:type="character" w:styleId="12">
    <w:name w:val="annotation reference"/>
    <w:basedOn w:val="11"/>
    <w:autoRedefine/>
    <w:qFormat/>
    <w:uiPriority w:val="0"/>
    <w:rPr>
      <w:sz w:val="21"/>
      <w:szCs w:val="21"/>
    </w:rPr>
  </w:style>
  <w:style w:type="character" w:customStyle="1" w:styleId="13">
    <w:name w:val="批注文字 字符"/>
    <w:basedOn w:val="11"/>
    <w:link w:val="3"/>
    <w:autoRedefine/>
    <w:qFormat/>
    <w:uiPriority w:val="0"/>
    <w:rPr>
      <w:kern w:val="2"/>
      <w:sz w:val="21"/>
      <w:szCs w:val="22"/>
    </w:rPr>
  </w:style>
  <w:style w:type="character" w:customStyle="1" w:styleId="14">
    <w:name w:val="批注主题 字符"/>
    <w:basedOn w:val="13"/>
    <w:link w:val="9"/>
    <w:autoRedefine/>
    <w:qFormat/>
    <w:uiPriority w:val="0"/>
    <w:rPr>
      <w:b/>
      <w:bCs/>
      <w:kern w:val="2"/>
      <w:sz w:val="21"/>
      <w:szCs w:val="22"/>
    </w:rPr>
  </w:style>
  <w:style w:type="character" w:customStyle="1" w:styleId="15">
    <w:name w:val="批注框文本 字符"/>
    <w:basedOn w:val="11"/>
    <w:link w:val="5"/>
    <w:autoRedefine/>
    <w:qFormat/>
    <w:uiPriority w:val="0"/>
    <w:rPr>
      <w:kern w:val="2"/>
      <w:sz w:val="18"/>
      <w:szCs w:val="18"/>
    </w:rPr>
  </w:style>
  <w:style w:type="character" w:customStyle="1" w:styleId="16">
    <w:name w:val="页眉 字符"/>
    <w:basedOn w:val="11"/>
    <w:link w:val="7"/>
    <w:autoRedefine/>
    <w:qFormat/>
    <w:uiPriority w:val="0"/>
    <w:rPr>
      <w:kern w:val="2"/>
      <w:sz w:val="18"/>
      <w:szCs w:val="18"/>
    </w:rPr>
  </w:style>
  <w:style w:type="character" w:customStyle="1" w:styleId="17">
    <w:name w:val="页脚 字符"/>
    <w:basedOn w:val="11"/>
    <w:link w:val="6"/>
    <w:autoRedefine/>
    <w:qFormat/>
    <w:uiPriority w:val="0"/>
    <w:rPr>
      <w:kern w:val="2"/>
      <w:sz w:val="18"/>
      <w:szCs w:val="18"/>
    </w:rPr>
  </w:style>
  <w:style w:type="paragraph" w:styleId="1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408</Words>
  <Characters>2328</Characters>
  <Lines>19</Lines>
  <Paragraphs>5</Paragraphs>
  <TotalTime>21</TotalTime>
  <ScaleCrop>false</ScaleCrop>
  <LinksUpToDate>false</LinksUpToDate>
  <CharactersWithSpaces>2731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2021-07-06T09:10:00Z</dcterms:created>
  <dc:creator>陈蕾</dc:creator>
  <cp:lastModifiedBy>江莎莎</cp:lastModifiedBy>
  <cp:lastPrinted>2024-03-02T05:02:00Z</cp:lastPrinted>
  <dcterms:modified xsi:type="dcterms:W3CDTF">2024-04-30T08:56:11Z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43D608D819CC419A94B26D7F8C23B1C2_13</vt:lpwstr>
  </property>
</Properties>
</file>