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  <w:bookmarkStart w:id="0" w:name="_Toc515462335"/>
      <w:r>
        <w:rPr>
          <w:rFonts w:hint="eastAsia" w:ascii="宋体" w:hAnsi="宋体"/>
          <w:bCs/>
          <w:iCs/>
          <w:color w:val="000000"/>
          <w:sz w:val="24"/>
        </w:rPr>
        <w:t xml:space="preserve">证券代码：600392  </w:t>
      </w: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证券简称：盛和资源</w:t>
      </w:r>
    </w:p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</w:p>
    <w:p>
      <w:pPr>
        <w:widowControl/>
        <w:spacing w:before="312" w:beforeLines="100"/>
        <w:jc w:val="center"/>
        <w:rPr>
          <w:rFonts w:ascii="宋体" w:hAnsi="宋体"/>
          <w:bCs/>
          <w:iCs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盛和资源控股股份有限公司</w:t>
      </w:r>
    </w:p>
    <w:p>
      <w:pPr>
        <w:widowControl/>
        <w:spacing w:after="312" w:afterLines="10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投资者关系活动记录表</w:t>
      </w:r>
    </w:p>
    <w:p>
      <w:pPr>
        <w:spacing w:line="360" w:lineRule="auto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/>
          <w:bCs/>
          <w:iCs/>
          <w:color w:val="000000"/>
          <w:szCs w:val="21"/>
        </w:rPr>
        <w:t xml:space="preserve">                                        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</w:t>
      </w:r>
      <w:r>
        <w:rPr>
          <w:rFonts w:ascii="宋体" w:hAnsi="宋体"/>
          <w:bCs/>
          <w:iCs/>
          <w:color w:val="000000"/>
          <w:szCs w:val="21"/>
        </w:rPr>
        <w:t>编号：</w:t>
      </w:r>
      <w:r>
        <w:rPr>
          <w:rFonts w:hint="eastAsia" w:ascii="宋体" w:hAnsi="宋体"/>
          <w:bCs/>
          <w:iCs/>
          <w:color w:val="000000"/>
          <w:szCs w:val="21"/>
        </w:rPr>
        <w:t>2</w:t>
      </w:r>
      <w:r>
        <w:rPr>
          <w:rFonts w:ascii="宋体" w:hAnsi="宋体"/>
          <w:bCs/>
          <w:iCs/>
          <w:color w:val="000000"/>
          <w:szCs w:val="21"/>
        </w:rPr>
        <w:t>024-01</w:t>
      </w:r>
    </w:p>
    <w:tbl>
      <w:tblPr>
        <w:tblStyle w:val="10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投资者关系活动类别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“选中项请打√”</w:t>
            </w:r>
          </w:p>
        </w:tc>
        <w:tc>
          <w:tcPr>
            <w:tcW w:w="708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特定对象调研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>分析师会议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</w:t>
            </w:r>
            <w:bookmarkStart w:id="1" w:name="OLE_LINK1"/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/>
                <w:color w:val="000000"/>
                <w:szCs w:val="21"/>
              </w:rPr>
              <w:t xml:space="preserve">媒体采访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</w:t>
            </w:r>
            <w:r>
              <w:rPr>
                <w:rFonts w:ascii="宋体" w:hAnsi="宋体"/>
                <w:color w:val="000000"/>
                <w:szCs w:val="21"/>
              </w:rPr>
              <w:t>业绩说明会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新闻发布会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路演活动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szCs w:val="21"/>
              </w:rPr>
              <w:t>（电话</w:t>
            </w:r>
            <w:r>
              <w:rPr>
                <w:rFonts w:ascii="宋体" w:hAnsi="宋体"/>
                <w:color w:val="000000"/>
                <w:szCs w:val="21"/>
              </w:rPr>
              <w:t>会议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发证券股份有限公司、信达证券股份有限公司、西部证券股份有限公司、华西证券股份有限公司、长江证券股份有限公司、中邮证券有限责任公司、国盛证券有限责任公司、中信证券股份有限公司、海通证券股份有限公司、华福证券有限责任公司、国金证券股份有限公司、东北证券股份有限公司、华泰证券、上海浦东发展银行股份有限公司、中国中金财富证券有限公司、睿远基金管理有限公司、上海大智慧股份有限公司、金股证券投资咨询广东有限公司、青岛金光紫金股权投资基金企业(有限合伙)、鸿运私募基金管理（海南）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2024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公司总部会议室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董事会秘书：郭晓雷  证券代表：陈冬梅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调研</w:t>
            </w:r>
            <w:r>
              <w:rPr>
                <w:rFonts w:ascii="宋体" w:hAnsi="宋体"/>
              </w:rPr>
              <w:t>主要内容介绍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7088" w:type="dxa"/>
          </w:tcPr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情况介绍</w:t>
            </w:r>
          </w:p>
          <w:p>
            <w:pPr>
              <w:spacing w:before="156" w:beforeLines="50"/>
              <w:ind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盛和资源首先介绍了公司2023年度和2024年第一季度的财务数据和生产经营情况，2023年开展的重点工作，以及2024年的重点项目投资计划。</w:t>
            </w:r>
          </w:p>
          <w:p>
            <w:pPr>
              <w:widowControl w:val="0"/>
              <w:numPr>
                <w:numId w:val="0"/>
              </w:numPr>
              <w:spacing w:before="156" w:beforeLines="50"/>
              <w:jc w:val="both"/>
              <w:rPr>
                <w:rFonts w:hint="default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二、互动交流</w:t>
            </w:r>
          </w:p>
          <w:p>
            <w:pPr>
              <w:numPr>
                <w:ilvl w:val="0"/>
                <w:numId w:val="2"/>
              </w:num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关于稀土价格走势的看法</w:t>
            </w:r>
            <w:r>
              <w:rPr>
                <w:rFonts w:hint="eastAsia" w:ascii="宋体" w:hAnsi="宋体"/>
              </w:rPr>
              <w:t>？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稀土价格主要受供需影响。2</w:t>
            </w:r>
            <w:r>
              <w:rPr>
                <w:rFonts w:ascii="宋体" w:hAnsi="宋体"/>
              </w:rPr>
              <w:t>02</w:t>
            </w:r>
            <w:r>
              <w:rPr>
                <w:rFonts w:hint="eastAsia" w:ascii="宋体" w:hAnsi="宋体"/>
              </w:rPr>
              <w:t>3年稀土价格</w:t>
            </w:r>
            <w:r>
              <w:rPr>
                <w:rFonts w:hint="eastAsia" w:ascii="宋体" w:hAnsi="宋体"/>
                <w:lang w:val="en-US" w:eastAsia="zh-CN"/>
              </w:rPr>
              <w:t>震荡</w:t>
            </w:r>
            <w:r>
              <w:rPr>
                <w:rFonts w:hint="eastAsia" w:ascii="宋体" w:hAnsi="宋体"/>
              </w:rPr>
              <w:t>下行</w:t>
            </w:r>
            <w:r>
              <w:rPr>
                <w:rFonts w:hint="eastAsia" w:ascii="宋体" w:hAnsi="宋体"/>
                <w:lang w:val="en-US" w:eastAsia="zh-CN"/>
              </w:rPr>
              <w:t>主要是短期供需错配影响，尤其是供应端，受国内稀土生产指标增加以及东南亚进口矿大幅增长因素影响，年内稀土供应增幅较大，导致短期内供大于求。预期2024年稀土供应增速会有所放缓，而稀土</w:t>
            </w:r>
            <w:r>
              <w:rPr>
                <w:rFonts w:hint="eastAsia" w:ascii="宋体" w:hAnsi="宋体"/>
              </w:rPr>
              <w:t>整体需求</w:t>
            </w:r>
            <w:r>
              <w:rPr>
                <w:rFonts w:hint="eastAsia" w:ascii="宋体" w:hAnsi="宋体"/>
                <w:lang w:val="en-US" w:eastAsia="zh-CN"/>
              </w:rPr>
              <w:t>会</w:t>
            </w:r>
            <w:r>
              <w:rPr>
                <w:rFonts w:hint="eastAsia" w:ascii="宋体" w:hAnsi="宋体"/>
              </w:rPr>
              <w:t>持续</w:t>
            </w:r>
            <w:r>
              <w:rPr>
                <w:rFonts w:hint="eastAsia" w:ascii="宋体" w:hAnsi="宋体"/>
                <w:lang w:val="en-US" w:eastAsia="zh-CN"/>
              </w:rPr>
              <w:t>增长，供需格局有望向好发展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此外，从国内外稀土行业上市公司已经披露的财务数据来看，行业整体业绩承压，成本端对价格也会起到支撑作用。</w:t>
            </w:r>
          </w:p>
          <w:p>
            <w:pPr>
              <w:pStyle w:val="21"/>
              <w:numPr>
                <w:ilvl w:val="0"/>
                <w:numId w:val="2"/>
              </w:numPr>
              <w:spacing w:before="156" w:beforeLines="5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请介绍一下PEAK项目目前的进展情况？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2023年4月Peak公司的Ngualla稀土矿项目获得采矿许可证，8月公司与Peak稀土签署了包销协议，约定公司将购买Ngualla项目产出的100%稀土精矿、至少50%的中间稀土产品或最终分离的稀土氧化物等，协议期限是七年。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时，双方还签署了非约束性的谅解备忘录，Peak公司拟指定盛和提供Ngualla项目大部分工程的EPC（工程、采购、施工）方案、项目融资解决方案。承包方案目前还在谈判商议阶段。PEAK公司预计会在今年下半年做出最终投资决定，启动项目建设，预计在2025年底或2026年初建成投产。项目初期预计年产折合氧化物1.8万吨稀土精矿，对应该氧化镨钕约4000吨。</w:t>
            </w:r>
          </w:p>
          <w:p>
            <w:pPr>
              <w:pStyle w:val="21"/>
              <w:numPr>
                <w:ilvl w:val="0"/>
                <w:numId w:val="2"/>
              </w:numPr>
              <w:spacing w:before="156" w:beforeLines="50"/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稀土</w:t>
            </w:r>
            <w:r>
              <w:rPr>
                <w:rFonts w:hint="eastAsia" w:ascii="宋体" w:hAnsi="宋体"/>
              </w:rPr>
              <w:t>废料回收环节利润情况？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去年</w:t>
            </w:r>
            <w:r>
              <w:rPr>
                <w:rFonts w:hint="eastAsia"/>
                <w:lang w:val="en-US" w:eastAsia="zh-CN"/>
              </w:rPr>
              <w:t>稀土</w:t>
            </w:r>
            <w:r>
              <w:rPr>
                <w:rFonts w:hint="eastAsia"/>
              </w:rPr>
              <w:t>废料回收行业</w:t>
            </w:r>
            <w:r>
              <w:rPr>
                <w:rFonts w:hint="eastAsia"/>
                <w:lang w:val="en-US" w:eastAsia="zh-CN"/>
              </w:rPr>
              <w:t>整体</w:t>
            </w:r>
            <w:r>
              <w:rPr>
                <w:rFonts w:hint="eastAsia"/>
              </w:rPr>
              <w:t>盈利不理想。一是因为在稀土价格</w:t>
            </w:r>
            <w:r>
              <w:rPr>
                <w:rFonts w:hint="eastAsia"/>
                <w:lang w:val="en-US" w:eastAsia="zh-CN"/>
              </w:rPr>
              <w:t>在</w:t>
            </w:r>
            <w:r>
              <w:t>震荡下行周期，对废料回收行业</w:t>
            </w:r>
            <w:r>
              <w:rPr>
                <w:rFonts w:hint="eastAsia"/>
              </w:rPr>
              <w:t>的</w:t>
            </w:r>
            <w:r>
              <w:t>毛利率挤压比较严重</w:t>
            </w:r>
            <w:r>
              <w:rPr>
                <w:rFonts w:hint="eastAsia"/>
              </w:rPr>
              <w:t>，另一个原因是废料回收行业的竞争较为激烈。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稀土废料资源主要来自于两个渠道，一是磁材厂生产过程中产生的钕铁硼废料，另一来源是拆解废料。生产过程中的废料会随钕铁硼产量的增长而增长，约占钕铁硼总产量的20%-30%。拆解废料将来随着磁材终端产品的淘汰，增量预期较大。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公司废料回收生产工艺在行业里面处于</w:t>
            </w:r>
            <w:r>
              <w:rPr>
                <w:rFonts w:hint="eastAsia"/>
                <w:lang w:val="en-US" w:eastAsia="zh-CN"/>
              </w:rPr>
              <w:t>相对</w:t>
            </w:r>
            <w:r>
              <w:rPr>
                <w:rFonts w:hint="eastAsia"/>
              </w:rPr>
              <w:t>领先的</w:t>
            </w:r>
            <w:r>
              <w:rPr>
                <w:rFonts w:hint="eastAsia"/>
                <w:lang w:val="en-US" w:eastAsia="zh-CN"/>
              </w:rPr>
              <w:t>地位</w:t>
            </w:r>
            <w:r>
              <w:rPr>
                <w:rFonts w:hint="eastAsia"/>
              </w:rPr>
              <w:t>，公司在江西有一家废料回收工厂，拥有约10000吨稀土废料的处理能力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年产稀土氧化物接近3000吨</w:t>
            </w:r>
            <w:r>
              <w:rPr>
                <w:rFonts w:hint="eastAsia"/>
              </w:rPr>
              <w:t>。目前在建的“年产3300吨稀土氧化物项目”也是一处</w:t>
            </w:r>
            <w:r>
              <w:rPr>
                <w:rFonts w:hint="eastAsia"/>
                <w:lang w:val="en-US" w:eastAsia="zh-CN"/>
              </w:rPr>
              <w:t>稀土</w:t>
            </w:r>
            <w:r>
              <w:rPr>
                <w:rFonts w:hint="eastAsia"/>
              </w:rPr>
              <w:t>废料回收工厂，预计今年可以建成投产。同时公司也在废料拆解领域进行了布局，公司</w:t>
            </w:r>
            <w:r>
              <w:rPr>
                <w:rFonts w:hint="eastAsia"/>
                <w:lang w:val="en-US" w:eastAsia="zh-CN"/>
              </w:rPr>
              <w:t>在</w:t>
            </w:r>
            <w:r>
              <w:rPr>
                <w:rFonts w:hint="eastAsia"/>
              </w:rPr>
              <w:t>江西丰城的拆解工厂已经建成投产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初步构建了废旧磁钢的回收渠道</w:t>
            </w:r>
            <w:r>
              <w:rPr>
                <w:rFonts w:hint="eastAsia"/>
              </w:rPr>
              <w:t>。</w:t>
            </w:r>
          </w:p>
          <w:p>
            <w:pPr>
              <w:spacing w:before="156" w:beforeLines="50"/>
              <w:ind w:firstLine="420" w:firstLineChars="200"/>
            </w:pPr>
            <w:r>
              <w:rPr>
                <w:rFonts w:hint="eastAsia"/>
              </w:rPr>
              <w:t>公司在</w:t>
            </w:r>
            <w:r>
              <w:rPr>
                <w:rFonts w:hint="eastAsia"/>
                <w:lang w:val="en-US" w:eastAsia="zh-CN"/>
              </w:rPr>
              <w:t>稀土</w:t>
            </w:r>
            <w:r>
              <w:rPr>
                <w:rFonts w:hint="eastAsia"/>
              </w:rPr>
              <w:t>废料回收领域一直走在</w:t>
            </w:r>
            <w:r>
              <w:rPr>
                <w:rFonts w:hint="eastAsia"/>
                <w:lang w:val="en-US" w:eastAsia="zh-CN"/>
              </w:rPr>
              <w:t>行业</w:t>
            </w:r>
            <w:r>
              <w:rPr>
                <w:rFonts w:hint="eastAsia"/>
              </w:rPr>
              <w:t>前列，有先发优势。</w:t>
            </w:r>
            <w:r>
              <w:rPr>
                <w:rFonts w:hint="eastAsia"/>
                <w:lang w:val="en-US" w:eastAsia="zh-CN"/>
              </w:rPr>
              <w:t>未来，公司将</w:t>
            </w:r>
            <w:r>
              <w:rPr>
                <w:rFonts w:hint="eastAsia"/>
              </w:rPr>
              <w:t>凭借</w:t>
            </w:r>
            <w:r>
              <w:rPr>
                <w:rFonts w:hint="eastAsia"/>
                <w:lang w:val="en-US" w:eastAsia="zh-CN"/>
              </w:rPr>
              <w:t>积累的技术和产业优势</w:t>
            </w:r>
            <w:r>
              <w:rPr>
                <w:rFonts w:hint="eastAsia"/>
              </w:rPr>
              <w:t>，进一步扩展稀土废料回收领域的发展。</w:t>
            </w:r>
          </w:p>
          <w:p>
            <w:pPr>
              <w:pStyle w:val="21"/>
              <w:numPr>
                <w:ilvl w:val="0"/>
                <w:numId w:val="2"/>
              </w:numPr>
              <w:spacing w:before="156" w:beforeLines="50"/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连云港项目目前的运营情况，达产之后各产品产量能达到多少，目前距离达产的困难有什么？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连云港锆钛矿选矿厂的产能在逐步释放，核准产能</w:t>
            </w:r>
            <w:r>
              <w:rPr>
                <w:rFonts w:hint="eastAsia"/>
                <w:lang w:val="en-US" w:eastAsia="zh-CN"/>
              </w:rPr>
              <w:t>为年处理锆钛原料</w:t>
            </w:r>
            <w:r>
              <w:rPr>
                <w:rFonts w:hint="eastAsia"/>
              </w:rPr>
              <w:t>150万吨。在达到满产状态下，锆英砂产量预计</w:t>
            </w:r>
            <w:r>
              <w:rPr>
                <w:rFonts w:hint="eastAsia"/>
                <w:lang w:val="en-US" w:eastAsia="zh-CN"/>
              </w:rPr>
              <w:t>可达</w:t>
            </w:r>
            <w:r>
              <w:rPr>
                <w:rFonts w:hint="eastAsia"/>
              </w:rPr>
              <w:t>10万吨</w:t>
            </w:r>
            <w:r>
              <w:rPr>
                <w:rFonts w:hint="eastAsia"/>
                <w:lang w:val="en-US" w:eastAsia="zh-CN"/>
              </w:rPr>
              <w:t>以上</w:t>
            </w:r>
            <w:r>
              <w:rPr>
                <w:rFonts w:hint="eastAsia"/>
              </w:rPr>
              <w:t>，钛矿</w:t>
            </w:r>
            <w:r>
              <w:rPr>
                <w:rFonts w:hint="eastAsia"/>
                <w:lang w:val="en-US" w:eastAsia="zh-CN"/>
              </w:rPr>
              <w:t>可达几十万</w:t>
            </w:r>
            <w:r>
              <w:rPr>
                <w:rFonts w:hint="eastAsia"/>
              </w:rPr>
              <w:t>吨，独居</w:t>
            </w:r>
            <w:r>
              <w:rPr>
                <w:rFonts w:hint="eastAsia"/>
                <w:lang w:val="en-US" w:eastAsia="zh-CN"/>
              </w:rPr>
              <w:t>石约</w:t>
            </w:r>
            <w:r>
              <w:rPr>
                <w:rFonts w:hint="eastAsia"/>
              </w:rPr>
              <w:t>2万吨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当然，具体各类产品的产量与原料中各种元素的构成密切相关</w:t>
            </w:r>
            <w:r>
              <w:rPr>
                <w:rFonts w:hint="eastAsia"/>
              </w:rPr>
              <w:t>。</w:t>
            </w:r>
          </w:p>
          <w:p>
            <w:pPr>
              <w:spacing w:before="156" w:beforeLines="50"/>
              <w:ind w:firstLine="420" w:firstLineChars="200"/>
            </w:pPr>
            <w:r>
              <w:rPr>
                <w:rFonts w:hint="eastAsia"/>
                <w:lang w:val="en-US" w:eastAsia="zh-CN"/>
              </w:rPr>
              <w:t>连云港</w:t>
            </w:r>
            <w:r>
              <w:rPr>
                <w:rFonts w:hint="eastAsia"/>
              </w:rPr>
              <w:t>工厂目前</w:t>
            </w:r>
            <w:r>
              <w:rPr>
                <w:rFonts w:hint="eastAsia"/>
                <w:lang w:val="en-US" w:eastAsia="zh-CN"/>
              </w:rPr>
              <w:t>还处于产能爬坡阶段</w:t>
            </w:r>
            <w:r>
              <w:rPr>
                <w:rFonts w:hint="eastAsia"/>
              </w:rPr>
              <w:t>，核心困难</w:t>
            </w:r>
            <w:r>
              <w:rPr>
                <w:rFonts w:hint="eastAsia"/>
                <w:lang w:val="en-US" w:eastAsia="zh-CN"/>
              </w:rPr>
              <w:t>有</w:t>
            </w:r>
            <w:r>
              <w:rPr>
                <w:rFonts w:hint="eastAsia"/>
              </w:rPr>
              <w:t>两点：一是稳定的</w:t>
            </w:r>
            <w:r>
              <w:rPr>
                <w:rFonts w:hint="eastAsia"/>
                <w:lang w:val="en-US" w:eastAsia="zh-CN"/>
              </w:rPr>
              <w:t>原料</w:t>
            </w:r>
            <w:r>
              <w:rPr>
                <w:rFonts w:hint="eastAsia"/>
              </w:rPr>
              <w:t>供应渠道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国内的重</w:t>
            </w:r>
            <w:r>
              <w:rPr>
                <w:rFonts w:hint="eastAsia"/>
              </w:rPr>
              <w:t>砂</w:t>
            </w:r>
            <w:r>
              <w:rPr>
                <w:rFonts w:hint="eastAsia"/>
                <w:lang w:val="en-US" w:eastAsia="zh-CN"/>
              </w:rPr>
              <w:t>矿大量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  <w:lang w:val="en-US" w:eastAsia="zh-CN"/>
              </w:rPr>
              <w:t>赖</w:t>
            </w:r>
            <w:r>
              <w:rPr>
                <w:rFonts w:hint="eastAsia"/>
              </w:rPr>
              <w:t>进口，连云港是新建工厂，需要一</w:t>
            </w:r>
            <w:r>
              <w:rPr>
                <w:rFonts w:hint="eastAsia"/>
                <w:lang w:val="en-US" w:eastAsia="zh-CN"/>
              </w:rPr>
              <w:t>段</w:t>
            </w:r>
            <w:r>
              <w:rPr>
                <w:rFonts w:hint="eastAsia"/>
              </w:rPr>
              <w:t>时间来</w:t>
            </w:r>
            <w:r>
              <w:rPr>
                <w:rFonts w:hint="eastAsia"/>
                <w:lang w:val="en-US" w:eastAsia="zh-CN"/>
              </w:rPr>
              <w:t>构建</w:t>
            </w:r>
            <w:r>
              <w:rPr>
                <w:rFonts w:hint="eastAsia"/>
              </w:rPr>
              <w:t>稳定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原材料</w:t>
            </w:r>
            <w:r>
              <w:rPr>
                <w:rFonts w:hint="eastAsia"/>
                <w:lang w:val="en-US" w:eastAsia="zh-CN"/>
              </w:rPr>
              <w:t>供应</w:t>
            </w:r>
            <w:r>
              <w:rPr>
                <w:rFonts w:hint="eastAsia"/>
              </w:rPr>
              <w:t>渠道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</w:rPr>
              <w:t>二是目前原材料的来源比较分散，会</w:t>
            </w:r>
            <w:r>
              <w:rPr>
                <w:rFonts w:hint="eastAsia"/>
                <w:lang w:val="en-US" w:eastAsia="zh-CN"/>
              </w:rPr>
              <w:t>影响生产效率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目前公司正在积极布局和拓展稳定的原料供应渠道，推动连云港工厂尽快达产</w:t>
            </w:r>
            <w:r>
              <w:rPr>
                <w:rFonts w:hint="eastAsia"/>
              </w:rPr>
              <w:t>。</w:t>
            </w:r>
          </w:p>
          <w:p>
            <w:pPr>
              <w:pStyle w:val="21"/>
              <w:numPr>
                <w:ilvl w:val="0"/>
                <w:numId w:val="2"/>
              </w:numPr>
              <w:spacing w:before="156" w:beforeLines="50"/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公司在稀土行业的定位是什么？在国内稀土集中度大幅提高的背景下，盛和的定位是否更为清晰？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公司定位</w:t>
            </w:r>
            <w:r>
              <w:rPr>
                <w:rFonts w:hint="eastAsia"/>
                <w:lang w:val="en-US" w:eastAsia="zh-CN"/>
              </w:rPr>
              <w:t>为负责任的</w:t>
            </w:r>
            <w:r>
              <w:rPr>
                <w:rFonts w:hint="eastAsia"/>
              </w:rPr>
              <w:t>关键原材料国际化供应商，</w:t>
            </w:r>
            <w:r>
              <w:rPr>
                <w:rFonts w:hint="eastAsia"/>
                <w:lang w:val="en-US" w:eastAsia="zh-CN"/>
              </w:rPr>
              <w:t>围绕稀土产业链、锆钛独居石产业链和循环经济产业链三个业务方向发展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充分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  <w:lang w:val="en-US" w:eastAsia="zh-CN"/>
              </w:rPr>
              <w:t>自身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val="en-US" w:eastAsia="zh-CN"/>
              </w:rPr>
              <w:t>产业和技术</w:t>
            </w:r>
            <w:r>
              <w:rPr>
                <w:rFonts w:hint="eastAsia"/>
              </w:rPr>
              <w:t>优势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以及</w:t>
            </w:r>
            <w:r>
              <w:t>体制机制优势</w:t>
            </w:r>
            <w:r>
              <w:rPr>
                <w:rFonts w:hint="eastAsia"/>
                <w:lang w:val="en-US" w:eastAsia="zh-CN"/>
              </w:rPr>
              <w:t>，</w:t>
            </w:r>
            <w:r>
              <w:t>依托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t>在海外项目上积累</w:t>
            </w:r>
            <w:r>
              <w:rPr>
                <w:rFonts w:hint="eastAsia"/>
              </w:rPr>
              <w:t>的</w:t>
            </w:r>
            <w:r>
              <w:t>成功经验，把</w:t>
            </w:r>
            <w:r>
              <w:rPr>
                <w:rFonts w:hint="eastAsia"/>
                <w:lang w:val="en-US" w:eastAsia="zh-CN"/>
              </w:rPr>
              <w:t>国外</w:t>
            </w:r>
            <w:r>
              <w:t>资源和国内产业</w:t>
            </w:r>
            <w:r>
              <w:rPr>
                <w:rFonts w:hint="eastAsia"/>
                <w:lang w:val="en-US" w:eastAsia="zh-CN"/>
              </w:rPr>
              <w:t>有机</w:t>
            </w:r>
            <w:r>
              <w:t>结合起来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努力构建稳定的负责任的关键原材料供应链</w:t>
            </w:r>
            <w:r>
              <w:rPr>
                <w:rFonts w:hint="eastAsia"/>
              </w:rPr>
              <w:t>。</w:t>
            </w:r>
          </w:p>
          <w:p>
            <w:pPr>
              <w:pStyle w:val="21"/>
              <w:numPr>
                <w:ilvl w:val="0"/>
                <w:numId w:val="2"/>
              </w:numPr>
              <w:spacing w:before="156" w:beforeLines="50"/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未来的资本开支情况？</w:t>
            </w:r>
          </w:p>
          <w:p>
            <w:pPr>
              <w:spacing w:before="156" w:beforeLines="50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公司在年报中披露了在建项目的预算和投资执行情况。公司目前在手资金较为充裕，资产负债率相对较低，具有较强的融资能力，能够很好地支撑公司的建设和投资项目。</w:t>
            </w:r>
          </w:p>
          <w:p>
            <w:pPr>
              <w:spacing w:before="156" w:beforeLines="50"/>
              <w:ind w:firstLine="420" w:firstLineChars="200"/>
              <w:rPr>
                <w:rFonts w:hint="default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8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2024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年4月30日</w:t>
            </w:r>
          </w:p>
        </w:tc>
      </w:tr>
      <w:bookmarkEnd w:id="0"/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552B9"/>
    <w:multiLevelType w:val="singleLevel"/>
    <w:tmpl w:val="B88552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D8BAE6"/>
    <w:multiLevelType w:val="singleLevel"/>
    <w:tmpl w:val="CAD8BA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3YWU0ODljM2NmZjU5OGNmMjFkOGY5YmJkOTk2ODUifQ=="/>
  </w:docVars>
  <w:rsids>
    <w:rsidRoot w:val="00953981"/>
    <w:rsid w:val="0007285A"/>
    <w:rsid w:val="00081574"/>
    <w:rsid w:val="000A6FEC"/>
    <w:rsid w:val="000B37B1"/>
    <w:rsid w:val="00177EC3"/>
    <w:rsid w:val="00180568"/>
    <w:rsid w:val="001A04B5"/>
    <w:rsid w:val="001C1D99"/>
    <w:rsid w:val="00273F00"/>
    <w:rsid w:val="002B7B99"/>
    <w:rsid w:val="003F075D"/>
    <w:rsid w:val="004C55DA"/>
    <w:rsid w:val="004D4ECC"/>
    <w:rsid w:val="004E7079"/>
    <w:rsid w:val="00593A9B"/>
    <w:rsid w:val="005B097F"/>
    <w:rsid w:val="005C1E93"/>
    <w:rsid w:val="005F33F1"/>
    <w:rsid w:val="0060780A"/>
    <w:rsid w:val="00650410"/>
    <w:rsid w:val="00676A4E"/>
    <w:rsid w:val="0077568A"/>
    <w:rsid w:val="007C5823"/>
    <w:rsid w:val="007D4949"/>
    <w:rsid w:val="007E4551"/>
    <w:rsid w:val="008F346F"/>
    <w:rsid w:val="009456A9"/>
    <w:rsid w:val="00953981"/>
    <w:rsid w:val="00992AD5"/>
    <w:rsid w:val="009B0861"/>
    <w:rsid w:val="00A130E2"/>
    <w:rsid w:val="00A30EA4"/>
    <w:rsid w:val="00A540D5"/>
    <w:rsid w:val="00AB65AE"/>
    <w:rsid w:val="00AF6245"/>
    <w:rsid w:val="00B10F99"/>
    <w:rsid w:val="00B22C28"/>
    <w:rsid w:val="00B61558"/>
    <w:rsid w:val="00B943F5"/>
    <w:rsid w:val="00C125C5"/>
    <w:rsid w:val="00C3495A"/>
    <w:rsid w:val="00CC0983"/>
    <w:rsid w:val="00D03E6A"/>
    <w:rsid w:val="00D346BD"/>
    <w:rsid w:val="00DE22B5"/>
    <w:rsid w:val="00EA062D"/>
    <w:rsid w:val="00F536E6"/>
    <w:rsid w:val="00F958D0"/>
    <w:rsid w:val="00FB5270"/>
    <w:rsid w:val="035E62A9"/>
    <w:rsid w:val="08467318"/>
    <w:rsid w:val="0ECB5A9B"/>
    <w:rsid w:val="1E38504E"/>
    <w:rsid w:val="222A111F"/>
    <w:rsid w:val="2C0B44D1"/>
    <w:rsid w:val="36C22E36"/>
    <w:rsid w:val="3A8638A8"/>
    <w:rsid w:val="3ED65E91"/>
    <w:rsid w:val="41C10393"/>
    <w:rsid w:val="4599357F"/>
    <w:rsid w:val="4E0C3561"/>
    <w:rsid w:val="58535244"/>
    <w:rsid w:val="5CC34FC4"/>
    <w:rsid w:val="5D864CC7"/>
    <w:rsid w:val="60F224FB"/>
    <w:rsid w:val="658E7179"/>
    <w:rsid w:val="68EF6C76"/>
    <w:rsid w:val="6AC94A9A"/>
    <w:rsid w:val="6DA822F6"/>
    <w:rsid w:val="71F7158E"/>
    <w:rsid w:val="741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rPr>
      <w:sz w:val="28"/>
    </w:r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rPr>
      <w:rFonts w:ascii="Calibri" w:hAnsi="Calibri"/>
      <w:sz w:val="24"/>
    </w:rPr>
  </w:style>
  <w:style w:type="table" w:styleId="11">
    <w:name w:val="Table Grid"/>
    <w:basedOn w:val="10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autoRedefine/>
    <w:qFormat/>
    <w:uiPriority w:val="0"/>
  </w:style>
  <w:style w:type="character" w:styleId="15">
    <w:name w:val="Emphasis"/>
    <w:autoRedefine/>
    <w:qFormat/>
    <w:uiPriority w:val="0"/>
    <w:rPr>
      <w:i/>
    </w:rPr>
  </w:style>
  <w:style w:type="character" w:styleId="16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1 字符"/>
    <w:link w:val="2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标题 2 字符"/>
    <w:link w:val="3"/>
    <w:autoRedefine/>
    <w:qFormat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19">
    <w:name w:val="正文文本 字符"/>
    <w:link w:val="4"/>
    <w:autoRedefine/>
    <w:qFormat/>
    <w:uiPriority w:val="0"/>
    <w:rPr>
      <w:kern w:val="2"/>
      <w:sz w:val="28"/>
      <w:szCs w:val="24"/>
    </w:rPr>
  </w:style>
  <w:style w:type="character" w:customStyle="1" w:styleId="20">
    <w:name w:val="批注框文本 字符"/>
    <w:link w:val="6"/>
    <w:autoRedefine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msolistparagraph"/>
    <w:basedOn w:val="1"/>
    <w:autoRedefine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</Company>
  <Pages>2</Pages>
  <Words>322</Words>
  <Characters>1841</Characters>
  <Lines>15</Lines>
  <Paragraphs>4</Paragraphs>
  <TotalTime>17</TotalTime>
  <ScaleCrop>false</ScaleCrop>
  <LinksUpToDate>false</LinksUpToDate>
  <CharactersWithSpaces>2159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2024-04-30T05:51:00Z</dcterms:created>
  <dc:creator>Li</dc:creator>
  <cp:lastModifiedBy>Ray</cp:lastModifiedBy>
  <cp:lastPrinted>2010-08-04T06:50:00Z</cp:lastPrinted>
  <dcterms:modified xsi:type="dcterms:W3CDTF">2024-04-30T08:58:07Z</dcterms:modified>
  <dc:title>四川省上市公司协会文件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EFA6A01C9EA848C4B77746DE9D8565E8_13</vt:lpwstr>
  </property>
</Properties>
</file>