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iCs/>
        </w:rPr>
      </w:pPr>
      <w:bookmarkStart w:id="0" w:name="_GoBack"/>
      <w:bookmarkEnd w:id="0"/>
      <w:r>
        <w:rPr>
          <w:bCs/>
          <w:iCs/>
        </w:rPr>
        <w:t xml:space="preserve">证券代码： </w:t>
      </w:r>
      <w:r>
        <w:t xml:space="preserve">688398                     </w:t>
      </w:r>
      <w:r>
        <w:rPr>
          <w:rFonts w:hint="eastAsia"/>
        </w:rPr>
        <w:t xml:space="preserve">         </w:t>
      </w:r>
      <w:r>
        <w:t xml:space="preserve">        </w:t>
      </w:r>
      <w:r>
        <w:rPr>
          <w:bCs/>
          <w:iCs/>
        </w:rPr>
        <w:t>证券简称：</w:t>
      </w:r>
      <w:r>
        <w:t>赛特新材</w:t>
      </w:r>
    </w:p>
    <w:p>
      <w:pPr>
        <w:pStyle w:val="7"/>
        <w:ind w:firstLine="643"/>
      </w:pPr>
      <w:r>
        <w:t>福建赛特新材股份有限公司</w:t>
      </w:r>
      <w:r>
        <w:rPr>
          <w:rFonts w:hint="eastAsia"/>
        </w:rPr>
        <w:t>投资者关系活动记录表</w:t>
      </w:r>
    </w:p>
    <w:p>
      <w:pPr>
        <w:ind w:firstLine="3570" w:firstLineChars="1700"/>
      </w:pPr>
      <w:r>
        <w:rPr>
          <w:rFonts w:hint="eastAsia"/>
        </w:rPr>
        <w:t>（202</w:t>
      </w:r>
      <w:r>
        <w:t>4</w:t>
      </w:r>
      <w:r>
        <w:rPr>
          <w:rFonts w:hint="eastAsia"/>
        </w:rPr>
        <w:t>-</w:t>
      </w:r>
      <w:r>
        <w:t>00</w:t>
      </w:r>
      <w:r>
        <w:rPr>
          <w:rFonts w:hint="eastAsia"/>
        </w:rPr>
        <w:t xml:space="preserve">2）                               </w:t>
      </w:r>
    </w:p>
    <w:tbl>
      <w:tblPr>
        <w:tblStyle w:val="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vAlign w:val="center"/>
          </w:tcPr>
          <w:p>
            <w:pPr>
              <w:ind w:firstLine="0" w:firstLineChars="0"/>
            </w:pPr>
            <w:r>
              <w:t>投资者关系活动类别</w:t>
            </w:r>
          </w:p>
        </w:tc>
        <w:tc>
          <w:tcPr>
            <w:tcW w:w="6917" w:type="dxa"/>
            <w:tcBorders>
              <w:top w:val="single" w:color="auto" w:sz="4" w:space="0"/>
              <w:left w:val="single" w:color="auto" w:sz="4" w:space="0"/>
              <w:bottom w:val="single" w:color="auto" w:sz="4" w:space="0"/>
              <w:right w:val="single" w:color="auto" w:sz="4" w:space="0"/>
            </w:tcBorders>
          </w:tcPr>
          <w:p>
            <w:pPr>
              <w:ind w:firstLine="0" w:firstLineChars="0"/>
              <w:rPr>
                <w:bCs/>
                <w:iCs/>
                <w:color w:val="000000"/>
              </w:rPr>
            </w:pPr>
            <w:r>
              <w:rPr>
                <w:bCs/>
                <w:iCs/>
                <w:color w:val="000000"/>
              </w:rPr>
              <w:t>√</w:t>
            </w:r>
            <w:r>
              <w:t xml:space="preserve">特定对象调研       </w:t>
            </w:r>
            <w:r>
              <w:rPr>
                <w:rFonts w:hint="eastAsia"/>
              </w:rPr>
              <w:t xml:space="preserve"> </w:t>
            </w:r>
            <w:r>
              <w:t xml:space="preserve"> </w:t>
            </w:r>
            <w:r>
              <w:rPr>
                <w:bCs/>
                <w:iCs/>
                <w:color w:val="000000"/>
              </w:rPr>
              <w:t>√</w:t>
            </w:r>
            <w:r>
              <w:rPr>
                <w:rFonts w:hint="eastAsia"/>
                <w:bCs/>
                <w:iCs/>
                <w:color w:val="000000"/>
              </w:rPr>
              <w:t xml:space="preserve"> </w:t>
            </w:r>
            <w:r>
              <w:t>分析师会议</w:t>
            </w:r>
          </w:p>
          <w:p>
            <w:pPr>
              <w:ind w:firstLine="0" w:firstLineChars="0"/>
              <w:rPr>
                <w:bCs/>
                <w:iCs/>
                <w:color w:val="000000"/>
              </w:rPr>
            </w:pPr>
            <w:r>
              <w:rPr>
                <w:bCs/>
                <w:iCs/>
                <w:color w:val="000000"/>
              </w:rPr>
              <w:t>□</w:t>
            </w:r>
            <w:r>
              <w:rPr>
                <w:rFonts w:hint="eastAsia"/>
                <w:bCs/>
                <w:iCs/>
                <w:color w:val="000000"/>
              </w:rPr>
              <w:t xml:space="preserve"> </w:t>
            </w:r>
            <w:r>
              <w:t xml:space="preserve">媒体采访            </w:t>
            </w:r>
            <w:r>
              <w:rPr>
                <w:bCs/>
                <w:iCs/>
                <w:color w:val="000000"/>
              </w:rPr>
              <w:t>□</w:t>
            </w:r>
            <w:r>
              <w:t>业绩说明会</w:t>
            </w:r>
          </w:p>
          <w:p>
            <w:pPr>
              <w:ind w:firstLine="0" w:firstLineChars="0"/>
              <w:rPr>
                <w:bCs/>
                <w:iCs/>
                <w:color w:val="000000"/>
              </w:rPr>
            </w:pPr>
            <w:r>
              <w:rPr>
                <w:bCs/>
                <w:iCs/>
                <w:color w:val="000000"/>
              </w:rPr>
              <w:t>□</w:t>
            </w:r>
            <w:r>
              <w:rPr>
                <w:rFonts w:hint="eastAsia"/>
                <w:bCs/>
                <w:iCs/>
                <w:color w:val="000000"/>
              </w:rPr>
              <w:t xml:space="preserve"> </w:t>
            </w:r>
            <w:r>
              <w:t xml:space="preserve">新闻发布会          </w:t>
            </w:r>
            <w:r>
              <w:rPr>
                <w:bCs/>
                <w:iCs/>
                <w:color w:val="000000"/>
              </w:rPr>
              <w:t>□</w:t>
            </w:r>
            <w:r>
              <w:rPr>
                <w:rFonts w:hint="eastAsia"/>
                <w:bCs/>
                <w:iCs/>
                <w:color w:val="000000"/>
              </w:rPr>
              <w:t xml:space="preserve"> </w:t>
            </w:r>
            <w:r>
              <w:t>路演活动</w:t>
            </w:r>
          </w:p>
          <w:p>
            <w:pPr>
              <w:ind w:firstLine="0" w:firstLineChars="0"/>
            </w:pPr>
            <w:r>
              <w:t>□</w:t>
            </w:r>
            <w:r>
              <w:rPr>
                <w:rFonts w:hint="eastAsia"/>
              </w:rPr>
              <w:t xml:space="preserve"> </w:t>
            </w:r>
            <w:r>
              <w:t>现场参观</w:t>
            </w:r>
            <w:r>
              <w:tab/>
            </w:r>
          </w:p>
          <w:p>
            <w:pPr>
              <w:ind w:firstLine="0" w:firstLineChars="0"/>
              <w:rPr>
                <w:bCs/>
                <w:iCs/>
                <w:color w:val="000000"/>
              </w:rPr>
            </w:pPr>
            <w:r>
              <w:rPr>
                <w:bCs/>
                <w:iCs/>
                <w:color w:val="000000"/>
              </w:rPr>
              <w:t>□</w:t>
            </w:r>
            <w:r>
              <w:rPr>
                <w:rFonts w:hint="eastAsia"/>
                <w:bCs/>
                <w:iCs/>
                <w:color w:val="000000"/>
              </w:rPr>
              <w:t xml:space="preserve"> </w:t>
            </w:r>
            <w:r>
              <w:t>其他 （请文字说明其他活动内容）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t>参与单位名称及人员姓名</w:t>
            </w:r>
          </w:p>
        </w:tc>
        <w:tc>
          <w:tcPr>
            <w:tcW w:w="69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lang w:val="en-GB"/>
              </w:rPr>
            </w:pPr>
            <w:r>
              <w:rPr>
                <w:rFonts w:hint="eastAsia"/>
                <w:lang w:val="en-GB"/>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vAlign w:val="top"/>
          </w:tcPr>
          <w:p>
            <w:pPr>
              <w:spacing w:line="240" w:lineRule="auto"/>
              <w:ind w:firstLine="0" w:firstLineChars="0"/>
              <w:jc w:val="both"/>
            </w:pPr>
            <w:r>
              <w:t>时间</w:t>
            </w:r>
          </w:p>
        </w:tc>
        <w:tc>
          <w:tcPr>
            <w:tcW w:w="69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pPr>
            <w:r>
              <w:t>2024年</w:t>
            </w:r>
            <w:r>
              <w:rPr>
                <w:rFonts w:hint="eastAsia"/>
              </w:rPr>
              <w:t>4</w:t>
            </w:r>
            <w:r>
              <w:t>月</w:t>
            </w:r>
            <w:r>
              <w:rPr>
                <w:rFonts w:hint="eastAsia"/>
              </w:rPr>
              <w:t>28</w:t>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vAlign w:val="top"/>
          </w:tcPr>
          <w:p>
            <w:pPr>
              <w:spacing w:line="240" w:lineRule="auto"/>
              <w:ind w:firstLine="0" w:firstLineChars="0"/>
              <w:jc w:val="both"/>
            </w:pPr>
            <w:r>
              <w:t>地点</w:t>
            </w:r>
          </w:p>
        </w:tc>
        <w:tc>
          <w:tcPr>
            <w:tcW w:w="69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网络会议、电话会议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vAlign w:val="top"/>
          </w:tcPr>
          <w:p>
            <w:pPr>
              <w:spacing w:line="240" w:lineRule="auto"/>
              <w:ind w:firstLine="0" w:firstLineChars="0"/>
              <w:jc w:val="both"/>
            </w:pPr>
            <w:r>
              <w:t>上市公司接待人员姓名</w:t>
            </w:r>
          </w:p>
        </w:tc>
        <w:tc>
          <w:tcPr>
            <w:tcW w:w="69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t>董事会秘书张必辉</w:t>
            </w:r>
            <w:r>
              <w:rPr>
                <w:rFonts w:hint="eastAsia"/>
              </w:rPr>
              <w:t>、证券事务代表谢义英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vAlign w:val="center"/>
          </w:tcPr>
          <w:p>
            <w:pPr>
              <w:ind w:firstLine="0" w:firstLineChars="0"/>
            </w:pPr>
            <w:r>
              <w:t>投资者关系活动主要内容介绍</w:t>
            </w:r>
          </w:p>
          <w:p/>
        </w:tc>
        <w:tc>
          <w:tcPr>
            <w:tcW w:w="6917" w:type="dxa"/>
            <w:tcBorders>
              <w:top w:val="single" w:color="auto" w:sz="4" w:space="0"/>
              <w:left w:val="single" w:color="auto" w:sz="4" w:space="0"/>
              <w:bottom w:val="single" w:color="auto" w:sz="4" w:space="0"/>
              <w:right w:val="single" w:color="auto" w:sz="4" w:space="0"/>
            </w:tcBorders>
          </w:tcPr>
          <w:p>
            <w:r>
              <w:rPr>
                <w:rFonts w:hint="eastAsia"/>
              </w:rPr>
              <w:t>业务回顾：</w:t>
            </w:r>
            <w:r>
              <w:t>2023年</w:t>
            </w:r>
            <w:r>
              <w:rPr>
                <w:rFonts w:hint="eastAsia"/>
              </w:rPr>
              <w:t>，公司积极把握下游行业市场结构性机遇，取得了较好的经营业绩：（1）发达国家与地区冰箱能效标准发挥引导作用，高能效冰箱的市场投放量加大，用户节能产品需求增长。（2）中国高能效冰箱出口需求上升，进一步推动真空绝热板需求量上升。（3）中国冰箱全年零售量同比增长1.5%，零售额同比增长7%，均价稳步上行，高端产品产销量持续放量。由此，全球主要冰箱企业对真空绝热板保持旺盛的需求，公司凭借自身优势取得充足的订单和较好的业绩表现。</w:t>
            </w:r>
          </w:p>
          <w:p>
            <w:r>
              <w:rPr>
                <w:rFonts w:hint="eastAsia"/>
              </w:rPr>
              <w:t>2023年下游需求的快速增长给公司制造端造成一定的压力，公司通过多措并举，产销量及营业收入逐季环比上升。受益</w:t>
            </w:r>
            <w:r>
              <w:rPr>
                <w:rFonts w:hint="eastAsia"/>
                <w:lang w:val="en-US" w:eastAsia="zh-CN"/>
              </w:rPr>
              <w:t>于</w:t>
            </w:r>
            <w:r>
              <w:rPr>
                <w:rFonts w:hint="eastAsia"/>
              </w:rPr>
              <w:t>主要原辅材料成本和液化天然气成本同比回落，公司实现净利润增长66.14%。公司始终以市场和研发作为双轮驱动，2023年持续推进各项研发技术创新工作，主要包括推进新型封装工艺、多种芯材VIP产品、金属VIP产品的开发，实现“真空玻璃中试试验线”装机、联线试产和提升改造等。</w:t>
            </w:r>
          </w:p>
          <w:p>
            <w:r>
              <w:t>2024年一季</w:t>
            </w:r>
            <w:r>
              <w:rPr>
                <w:rFonts w:hint="eastAsia"/>
              </w:rPr>
              <w:t>度公司下游延续了</w:t>
            </w:r>
            <w:r>
              <w:t>较高的景气度</w:t>
            </w:r>
            <w:r>
              <w:rPr>
                <w:rFonts w:hint="eastAsia"/>
              </w:rPr>
              <w:t>。公司努力</w:t>
            </w:r>
            <w:r>
              <w:t>平衡</w:t>
            </w:r>
            <w:r>
              <w:rPr>
                <w:rFonts w:hint="eastAsia"/>
              </w:rPr>
              <w:t>客户</w:t>
            </w:r>
            <w:r>
              <w:t>订单</w:t>
            </w:r>
            <w:r>
              <w:rPr>
                <w:rFonts w:hint="eastAsia"/>
              </w:rPr>
              <w:t>和公司</w:t>
            </w:r>
            <w:r>
              <w:t>产能</w:t>
            </w:r>
            <w:r>
              <w:rPr>
                <w:rFonts w:hint="eastAsia"/>
              </w:rPr>
              <w:t>，营收和净利润分别同比取得</w:t>
            </w:r>
            <w:r>
              <w:t>46.39</w:t>
            </w:r>
            <w:r>
              <w:rPr>
                <w:rFonts w:hint="eastAsia"/>
              </w:rPr>
              <w:t>%和</w:t>
            </w:r>
            <w:r>
              <w:rPr>
                <w:rFonts w:hint="eastAsia"/>
                <w:sz w:val="20"/>
                <w:szCs w:val="20"/>
              </w:rPr>
              <w:t>152.12%的增长。</w:t>
            </w:r>
          </w:p>
          <w:p>
            <w:r>
              <w:rPr>
                <w:rFonts w:hint="eastAsia"/>
              </w:rPr>
              <w:t>互动问答</w:t>
            </w:r>
          </w:p>
          <w:p>
            <w:r>
              <w:rPr>
                <w:rFonts w:hint="eastAsia"/>
              </w:rPr>
              <w:t>1、请介绍新增产能建设的进展？</w:t>
            </w:r>
          </w:p>
          <w:p>
            <w:pPr>
              <w:rPr>
                <w:rFonts w:hint="eastAsia"/>
              </w:rPr>
            </w:pPr>
            <w:r>
              <w:rPr>
                <w:rFonts w:hint="eastAsia"/>
              </w:rPr>
              <w:t>答：公司分别在连城和合肥两地扩充产能，并将在2024年逐季释放</w:t>
            </w:r>
            <w:r>
              <w:rPr>
                <w:rFonts w:hint="eastAsia"/>
                <w:lang w:eastAsia="zh-CN"/>
              </w:rPr>
              <w:t>。</w:t>
            </w:r>
          </w:p>
          <w:p>
            <w:pPr>
              <w:rPr>
                <w:rFonts w:hint="eastAsia"/>
              </w:rPr>
            </w:pPr>
            <w:r>
              <w:rPr>
                <w:rFonts w:hint="eastAsia"/>
              </w:rPr>
              <w:t>2、关于中国冰箱能效新国标的修订目前的进展、未来预期？</w:t>
            </w:r>
          </w:p>
          <w:p>
            <w:pPr>
              <w:rPr>
                <w:rFonts w:hint="eastAsia"/>
              </w:rPr>
            </w:pPr>
            <w:r>
              <w:rPr>
                <w:rFonts w:hint="eastAsia"/>
              </w:rPr>
              <w:t>答：中国冰箱能效新国标修订周期16个月，公司已提交了相关意见和建议，预计新国标将拉近我国与欧盟等先进地区的差距，对公司所在行业的长期发展是比较有利的。</w:t>
            </w:r>
          </w:p>
          <w:p>
            <w:pPr>
              <w:rPr>
                <w:rFonts w:hint="eastAsia"/>
              </w:rPr>
            </w:pPr>
            <w:r>
              <w:rPr>
                <w:rFonts w:hint="eastAsia"/>
              </w:rPr>
              <w:t>3、公司在发布年报时有公告一个以简易程序向特定对象发行股票的议案，请问募集资金的主要用途、规模情况？</w:t>
            </w:r>
          </w:p>
          <w:p>
            <w:pPr>
              <w:rPr>
                <w:rFonts w:hint="eastAsia"/>
              </w:rPr>
            </w:pPr>
            <w:r>
              <w:rPr>
                <w:rFonts w:hint="eastAsia"/>
              </w:rPr>
              <w:t>答：主要是为公司未来一年内的融资提供一种选项，公司目前尚没有明确的募集资金使用计划。</w:t>
            </w:r>
          </w:p>
          <w:p>
            <w:pPr>
              <w:rPr>
                <w:rFonts w:hint="eastAsia"/>
              </w:rPr>
            </w:pPr>
            <w:r>
              <w:rPr>
                <w:rFonts w:hint="eastAsia"/>
              </w:rPr>
              <w:t>4、公司回购股份用于股权激励的情况？</w:t>
            </w:r>
          </w:p>
          <w:p>
            <w:pPr>
              <w:rPr>
                <w:rFonts w:hint="eastAsia"/>
              </w:rPr>
            </w:pPr>
            <w:r>
              <w:rPr>
                <w:rFonts w:hint="eastAsia"/>
              </w:rPr>
              <w:t>答：公司目前正在执行的限制性股票激励计划的最后一个归属期为2024年。为了公司长远发展，后续公司仍将考虑采用此类激励方式，因此回购的股份可以与未来的股权激励计划结合起来。</w:t>
            </w:r>
          </w:p>
          <w:p>
            <w:pPr>
              <w:rPr>
                <w:rFonts w:hint="eastAsia"/>
              </w:rPr>
            </w:pPr>
            <w:r>
              <w:rPr>
                <w:rFonts w:hint="eastAsia"/>
              </w:rPr>
              <w:t>5、关于公司的分红政策以及后续的计划？</w:t>
            </w:r>
          </w:p>
          <w:p>
            <w:pPr>
              <w:rPr>
                <w:rFonts w:hint="eastAsia"/>
              </w:rPr>
            </w:pPr>
            <w:r>
              <w:rPr>
                <w:rFonts w:hint="eastAsia"/>
              </w:rPr>
              <w:t>答：公司2020年上市后持续每年现金分红，分红金额均占当年净利润的30%以上。在公司现金流充足且无重大投资计划的情况下，公司会持续回报股东。</w:t>
            </w:r>
          </w:p>
          <w:p>
            <w:r>
              <w:rPr>
                <w:rFonts w:hint="eastAsia"/>
              </w:rPr>
              <w:t>6、公司对真空玻璃产品的推广，是否有跟如商超、饮料商等最终用户的最终用户</w:t>
            </w:r>
            <w:r>
              <w:t>直接联系？</w:t>
            </w:r>
          </w:p>
          <w:p>
            <w:pPr>
              <w:rPr>
                <w:rFonts w:hint="eastAsia"/>
              </w:rPr>
            </w:pPr>
            <w:r>
              <w:rPr>
                <w:rFonts w:hint="eastAsia"/>
              </w:rPr>
              <w:t>答：公司</w:t>
            </w:r>
            <w:r>
              <w:t>目前主要</w:t>
            </w:r>
            <w:r>
              <w:rPr>
                <w:rFonts w:hint="eastAsia"/>
              </w:rPr>
              <w:t>接触</w:t>
            </w:r>
            <w:r>
              <w:t>展示柜</w:t>
            </w:r>
            <w:r>
              <w:rPr>
                <w:rFonts w:hint="eastAsia"/>
              </w:rPr>
              <w:t>、冷柜等制造端的企业</w:t>
            </w:r>
            <w:r>
              <w:t>，</w:t>
            </w:r>
            <w:r>
              <w:rPr>
                <w:rFonts w:hint="eastAsia"/>
              </w:rPr>
              <w:t>后续公司也会努力与使用端的用户进行联系。</w:t>
            </w:r>
          </w:p>
          <w:p>
            <w:r>
              <w:rPr>
                <w:rFonts w:hint="eastAsia"/>
              </w:rPr>
              <w:t>7、2024年内</w:t>
            </w:r>
            <w:r>
              <w:t>公司在VIP成本端的进一步降</w:t>
            </w:r>
            <w:r>
              <w:rPr>
                <w:rFonts w:hint="eastAsia"/>
              </w:rPr>
              <w:t>本</w:t>
            </w:r>
            <w:r>
              <w:t>挖潜的空间</w:t>
            </w:r>
            <w:r>
              <w:rPr>
                <w:rFonts w:hint="eastAsia"/>
              </w:rPr>
              <w:t>？</w:t>
            </w:r>
          </w:p>
          <w:p>
            <w:r>
              <w:rPr>
                <w:rFonts w:hint="eastAsia"/>
              </w:rPr>
              <w:t>答：公司将通过加强</w:t>
            </w:r>
            <w:r>
              <w:t>内部生产管理</w:t>
            </w:r>
            <w:r>
              <w:rPr>
                <w:rFonts w:hint="eastAsia"/>
              </w:rPr>
              <w:t>、提升</w:t>
            </w:r>
            <w:r>
              <w:t>自动化</w:t>
            </w:r>
            <w:r>
              <w:rPr>
                <w:rFonts w:hint="eastAsia"/>
              </w:rPr>
              <w:t>水平、材料创新迭代等方式寻找降本的空间</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t>附件清单（如有）</w:t>
            </w:r>
          </w:p>
        </w:tc>
        <w:tc>
          <w:tcPr>
            <w:tcW w:w="69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pPr>
            <w:r>
              <w:t>日期</w:t>
            </w:r>
          </w:p>
        </w:tc>
        <w:tc>
          <w:tcPr>
            <w:tcW w:w="69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t>2024-0</w:t>
            </w:r>
            <w:r>
              <w:rPr>
                <w:rFonts w:hint="eastAsia"/>
              </w:rPr>
              <w:t>4</w:t>
            </w:r>
            <w:r>
              <w:t>-</w:t>
            </w:r>
            <w:r>
              <w:rPr>
                <w:rFonts w:hint="eastAsia"/>
              </w:rPr>
              <w:t>30</w:t>
            </w:r>
          </w:p>
        </w:tc>
      </w:tr>
    </w:tbl>
    <w:p/>
    <w:p>
      <w:r>
        <w:br w:type="page"/>
      </w:r>
      <w:r>
        <w:rPr>
          <w:rFonts w:hint="eastAsia"/>
        </w:rPr>
        <w:t>附件</w:t>
      </w:r>
      <w:r>
        <w:t>1</w:t>
      </w:r>
      <w:r>
        <w:rPr>
          <w:rFonts w:hint="eastAsia"/>
        </w:rPr>
        <w:t>：参会人员名单</w:t>
      </w:r>
    </w:p>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3"/>
        <w:gridCol w:w="5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63" w:type="dxa"/>
            <w:vAlign w:val="center"/>
          </w:tcPr>
          <w:p>
            <w:pPr>
              <w:spacing w:line="240" w:lineRule="auto"/>
            </w:pPr>
            <w:r>
              <w:rPr>
                <w:rFonts w:hint="eastAsia"/>
              </w:rPr>
              <w:t>人员姓名</w:t>
            </w:r>
          </w:p>
        </w:tc>
        <w:tc>
          <w:tcPr>
            <w:tcW w:w="5555" w:type="dxa"/>
          </w:tcPr>
          <w:p>
            <w:pPr>
              <w:spacing w:line="240" w:lineRule="auto"/>
            </w:pPr>
            <w:r>
              <w:rPr>
                <w:rFonts w:hint="eastAsi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吴鑫然</w:t>
            </w:r>
          </w:p>
        </w:tc>
        <w:tc>
          <w:tcPr>
            <w:tcW w:w="5555" w:type="dxa"/>
            <w:noWrap/>
            <w:vAlign w:val="center"/>
          </w:tcPr>
          <w:p>
            <w:pPr>
              <w:spacing w:line="240" w:lineRule="auto"/>
              <w:ind w:firstLine="440"/>
            </w:pPr>
            <w:r>
              <w:rPr>
                <w:rFonts w:hint="eastAsia"/>
                <w:color w:val="000000"/>
                <w:sz w:val="22"/>
                <w:szCs w:val="22"/>
              </w:rPr>
              <w:t>广发证券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肖意生</w:t>
            </w:r>
          </w:p>
        </w:tc>
        <w:tc>
          <w:tcPr>
            <w:tcW w:w="5555" w:type="dxa"/>
            <w:noWrap/>
            <w:vAlign w:val="center"/>
          </w:tcPr>
          <w:p>
            <w:pPr>
              <w:spacing w:line="240" w:lineRule="auto"/>
              <w:ind w:firstLine="440"/>
            </w:pPr>
            <w:r>
              <w:rPr>
                <w:rFonts w:hint="eastAsia"/>
                <w:color w:val="000000"/>
                <w:sz w:val="22"/>
                <w:szCs w:val="22"/>
              </w:rPr>
              <w:t>光大证券股份有限公司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方晓睿</w:t>
            </w:r>
          </w:p>
        </w:tc>
        <w:tc>
          <w:tcPr>
            <w:tcW w:w="5555" w:type="dxa"/>
            <w:noWrap/>
            <w:vAlign w:val="center"/>
          </w:tcPr>
          <w:p>
            <w:pPr>
              <w:spacing w:line="240" w:lineRule="auto"/>
              <w:ind w:firstLine="440"/>
            </w:pPr>
            <w:r>
              <w:rPr>
                <w:rFonts w:hint="eastAsia"/>
                <w:color w:val="000000"/>
                <w:sz w:val="22"/>
                <w:szCs w:val="22"/>
              </w:rPr>
              <w:t>深圳市华安合鑫资产管理有限公司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蔡再行</w:t>
            </w:r>
          </w:p>
        </w:tc>
        <w:tc>
          <w:tcPr>
            <w:tcW w:w="5555" w:type="dxa"/>
            <w:noWrap/>
            <w:vAlign w:val="center"/>
          </w:tcPr>
          <w:p>
            <w:pPr>
              <w:spacing w:line="240" w:lineRule="auto"/>
              <w:ind w:firstLine="440"/>
            </w:pPr>
            <w:r>
              <w:rPr>
                <w:rFonts w:hint="eastAsia"/>
                <w:color w:val="000000"/>
                <w:sz w:val="22"/>
                <w:szCs w:val="22"/>
              </w:rPr>
              <w:t>福建豪山资产管理有限公司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李南西</w:t>
            </w:r>
          </w:p>
        </w:tc>
        <w:tc>
          <w:tcPr>
            <w:tcW w:w="5555" w:type="dxa"/>
            <w:noWrap/>
            <w:vAlign w:val="center"/>
          </w:tcPr>
          <w:p>
            <w:pPr>
              <w:spacing w:line="240" w:lineRule="auto"/>
              <w:ind w:firstLine="440"/>
            </w:pPr>
            <w:r>
              <w:rPr>
                <w:rFonts w:hint="eastAsia"/>
                <w:color w:val="000000"/>
                <w:sz w:val="22"/>
                <w:szCs w:val="22"/>
              </w:rPr>
              <w:t>景顺长城基金管理有限公司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黄振航</w:t>
            </w:r>
          </w:p>
        </w:tc>
        <w:tc>
          <w:tcPr>
            <w:tcW w:w="5555" w:type="dxa"/>
            <w:noWrap/>
            <w:vAlign w:val="center"/>
          </w:tcPr>
          <w:p>
            <w:pPr>
              <w:spacing w:line="240" w:lineRule="auto"/>
              <w:ind w:firstLine="440"/>
            </w:pPr>
            <w:r>
              <w:rPr>
                <w:rFonts w:hint="eastAsia"/>
                <w:color w:val="000000"/>
                <w:sz w:val="22"/>
                <w:szCs w:val="22"/>
              </w:rPr>
              <w:t>上海汐泰投资管理有限公司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李洲</w:t>
            </w:r>
          </w:p>
        </w:tc>
        <w:tc>
          <w:tcPr>
            <w:tcW w:w="5555" w:type="dxa"/>
            <w:noWrap/>
            <w:vAlign w:val="center"/>
          </w:tcPr>
          <w:p>
            <w:pPr>
              <w:spacing w:line="240" w:lineRule="auto"/>
              <w:ind w:firstLine="440"/>
            </w:pPr>
            <w:r>
              <w:rPr>
                <w:rFonts w:hint="eastAsia"/>
                <w:color w:val="000000"/>
                <w:sz w:val="22"/>
                <w:szCs w:val="22"/>
              </w:rPr>
              <w:t>深圳前海华杉投资管理有限公司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李润泽</w:t>
            </w:r>
          </w:p>
        </w:tc>
        <w:tc>
          <w:tcPr>
            <w:tcW w:w="5555" w:type="dxa"/>
            <w:noWrap/>
            <w:vAlign w:val="center"/>
          </w:tcPr>
          <w:p>
            <w:pPr>
              <w:spacing w:line="240" w:lineRule="auto"/>
              <w:ind w:firstLine="440"/>
            </w:pPr>
            <w:r>
              <w:rPr>
                <w:rFonts w:hint="eastAsia"/>
                <w:color w:val="000000"/>
                <w:sz w:val="22"/>
                <w:szCs w:val="22"/>
              </w:rPr>
              <w:t>青岛金光紫金创业投资管理有限公司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袁谅</w:t>
            </w:r>
          </w:p>
        </w:tc>
        <w:tc>
          <w:tcPr>
            <w:tcW w:w="5555" w:type="dxa"/>
            <w:noWrap/>
            <w:vAlign w:val="center"/>
          </w:tcPr>
          <w:p>
            <w:pPr>
              <w:spacing w:line="240" w:lineRule="auto"/>
              <w:ind w:firstLine="440"/>
            </w:pPr>
            <w:r>
              <w:rPr>
                <w:rFonts w:hint="eastAsia"/>
                <w:color w:val="000000"/>
                <w:sz w:val="22"/>
                <w:szCs w:val="22"/>
              </w:rPr>
              <w:t>安信证券股份有限公司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谭娟</w:t>
            </w:r>
          </w:p>
        </w:tc>
        <w:tc>
          <w:tcPr>
            <w:tcW w:w="5555" w:type="dxa"/>
            <w:noWrap/>
            <w:vAlign w:val="center"/>
          </w:tcPr>
          <w:p>
            <w:pPr>
              <w:spacing w:line="240" w:lineRule="auto"/>
              <w:ind w:firstLine="440"/>
            </w:pPr>
            <w:r>
              <w:rPr>
                <w:rFonts w:hint="eastAsia"/>
                <w:color w:val="000000"/>
                <w:sz w:val="22"/>
                <w:szCs w:val="22"/>
              </w:rPr>
              <w:t>广东微宇私募基金管理有限公司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余湛</w:t>
            </w:r>
          </w:p>
        </w:tc>
        <w:tc>
          <w:tcPr>
            <w:tcW w:w="5555" w:type="dxa"/>
            <w:noWrap/>
            <w:vAlign w:val="center"/>
          </w:tcPr>
          <w:p>
            <w:pPr>
              <w:spacing w:line="240" w:lineRule="auto"/>
              <w:ind w:firstLine="440"/>
            </w:pPr>
            <w:r>
              <w:rPr>
                <w:rFonts w:hint="eastAsia"/>
                <w:color w:val="000000"/>
                <w:sz w:val="22"/>
                <w:szCs w:val="22"/>
              </w:rPr>
              <w:t>上海道合私募基金管理有限公司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乔奇兵</w:t>
            </w:r>
          </w:p>
        </w:tc>
        <w:tc>
          <w:tcPr>
            <w:tcW w:w="5555" w:type="dxa"/>
            <w:noWrap/>
            <w:vAlign w:val="center"/>
          </w:tcPr>
          <w:p>
            <w:pPr>
              <w:spacing w:line="240" w:lineRule="auto"/>
              <w:ind w:firstLine="440"/>
            </w:pPr>
            <w:r>
              <w:rPr>
                <w:rFonts w:hint="eastAsia"/>
                <w:color w:val="000000"/>
                <w:sz w:val="22"/>
                <w:szCs w:val="22"/>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于淼</w:t>
            </w:r>
          </w:p>
        </w:tc>
        <w:tc>
          <w:tcPr>
            <w:tcW w:w="5555" w:type="dxa"/>
            <w:noWrap/>
            <w:vAlign w:val="center"/>
          </w:tcPr>
          <w:p>
            <w:pPr>
              <w:spacing w:line="240" w:lineRule="auto"/>
              <w:ind w:firstLine="440"/>
            </w:pPr>
            <w:r>
              <w:rPr>
                <w:rFonts w:hint="eastAsia"/>
                <w:color w:val="000000"/>
                <w:sz w:val="22"/>
                <w:szCs w:val="22"/>
              </w:rPr>
              <w:t>涌德瑞烜（青岛）私募基金管理有限公司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邹成</w:t>
            </w:r>
          </w:p>
        </w:tc>
        <w:tc>
          <w:tcPr>
            <w:tcW w:w="5555" w:type="dxa"/>
            <w:noWrap/>
            <w:vAlign w:val="center"/>
          </w:tcPr>
          <w:p>
            <w:pPr>
              <w:spacing w:line="240" w:lineRule="auto"/>
              <w:ind w:firstLine="440"/>
            </w:pPr>
            <w:r>
              <w:rPr>
                <w:rFonts w:hint="eastAsia"/>
                <w:color w:val="000000"/>
                <w:sz w:val="22"/>
                <w:szCs w:val="22"/>
              </w:rPr>
              <w:t>招商基金管理有限公司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钱怡</w:t>
            </w:r>
          </w:p>
        </w:tc>
        <w:tc>
          <w:tcPr>
            <w:tcW w:w="5555" w:type="dxa"/>
            <w:noWrap/>
            <w:vAlign w:val="center"/>
          </w:tcPr>
          <w:p>
            <w:pPr>
              <w:spacing w:line="240" w:lineRule="auto"/>
              <w:ind w:firstLine="440"/>
            </w:pPr>
            <w:r>
              <w:rPr>
                <w:rFonts w:hint="eastAsia"/>
                <w:color w:val="000000"/>
                <w:sz w:val="22"/>
                <w:szCs w:val="22"/>
              </w:rPr>
              <w:t>大家资产管理有限责任公司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龚云华</w:t>
            </w:r>
          </w:p>
        </w:tc>
        <w:tc>
          <w:tcPr>
            <w:tcW w:w="5555" w:type="dxa"/>
            <w:noWrap/>
            <w:vAlign w:val="center"/>
          </w:tcPr>
          <w:p>
            <w:pPr>
              <w:spacing w:line="240" w:lineRule="auto"/>
              <w:ind w:firstLine="440"/>
            </w:pPr>
            <w:r>
              <w:rPr>
                <w:rFonts w:hint="eastAsia"/>
                <w:color w:val="000000"/>
                <w:sz w:val="22"/>
                <w:szCs w:val="22"/>
              </w:rPr>
              <w:t>申万菱信基金管理有限公司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吴昊</w:t>
            </w:r>
          </w:p>
        </w:tc>
        <w:tc>
          <w:tcPr>
            <w:tcW w:w="5555" w:type="dxa"/>
            <w:noWrap/>
            <w:vAlign w:val="center"/>
          </w:tcPr>
          <w:p>
            <w:pPr>
              <w:spacing w:line="240" w:lineRule="auto"/>
              <w:ind w:firstLine="440"/>
            </w:pPr>
            <w:r>
              <w:rPr>
                <w:rFonts w:hint="eastAsia"/>
                <w:color w:val="000000"/>
                <w:sz w:val="22"/>
                <w:szCs w:val="22"/>
              </w:rPr>
              <w:t>海富通基金管理有限公司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施伟锋</w:t>
            </w:r>
          </w:p>
        </w:tc>
        <w:tc>
          <w:tcPr>
            <w:tcW w:w="5555" w:type="dxa"/>
            <w:noWrap/>
            <w:vAlign w:val="center"/>
          </w:tcPr>
          <w:p>
            <w:pPr>
              <w:spacing w:line="240" w:lineRule="auto"/>
              <w:ind w:firstLine="440"/>
            </w:pPr>
            <w:r>
              <w:rPr>
                <w:rFonts w:hint="eastAsia"/>
                <w:color w:val="000000"/>
                <w:sz w:val="22"/>
                <w:szCs w:val="22"/>
              </w:rPr>
              <w:t>建信理财有限责任公司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张黎</w:t>
            </w:r>
          </w:p>
        </w:tc>
        <w:tc>
          <w:tcPr>
            <w:tcW w:w="5555" w:type="dxa"/>
            <w:noWrap/>
            <w:vAlign w:val="center"/>
          </w:tcPr>
          <w:p>
            <w:pPr>
              <w:spacing w:line="240" w:lineRule="auto"/>
              <w:ind w:firstLine="440"/>
            </w:pPr>
            <w:r>
              <w:rPr>
                <w:rFonts w:hint="eastAsia"/>
                <w:color w:val="000000"/>
                <w:sz w:val="22"/>
                <w:szCs w:val="22"/>
              </w:rPr>
              <w:t>深圳前海华杉投资管理有限公司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汤龑</w:t>
            </w:r>
          </w:p>
        </w:tc>
        <w:tc>
          <w:tcPr>
            <w:tcW w:w="5555" w:type="dxa"/>
            <w:noWrap/>
            <w:vAlign w:val="center"/>
          </w:tcPr>
          <w:p>
            <w:pPr>
              <w:spacing w:line="240" w:lineRule="auto"/>
              <w:ind w:firstLine="440"/>
            </w:pPr>
            <w:r>
              <w:rPr>
                <w:rFonts w:hint="eastAsia"/>
                <w:color w:val="000000"/>
                <w:sz w:val="22"/>
                <w:szCs w:val="22"/>
              </w:rPr>
              <w:t>国投瑞银基金管理有限公司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牛璐</w:t>
            </w:r>
          </w:p>
        </w:tc>
        <w:tc>
          <w:tcPr>
            <w:tcW w:w="5555" w:type="dxa"/>
            <w:noWrap/>
            <w:vAlign w:val="center"/>
          </w:tcPr>
          <w:p>
            <w:pPr>
              <w:spacing w:line="240" w:lineRule="auto"/>
              <w:ind w:firstLine="440"/>
            </w:pPr>
            <w:r>
              <w:rPr>
                <w:rFonts w:hint="eastAsia"/>
                <w:color w:val="000000"/>
                <w:sz w:val="22"/>
                <w:szCs w:val="22"/>
              </w:rPr>
              <w:t>广发证券投资业务管理总部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钮舒越</w:t>
            </w:r>
          </w:p>
        </w:tc>
        <w:tc>
          <w:tcPr>
            <w:tcW w:w="5555" w:type="dxa"/>
            <w:noWrap/>
            <w:vAlign w:val="center"/>
          </w:tcPr>
          <w:p>
            <w:pPr>
              <w:spacing w:line="240" w:lineRule="auto"/>
              <w:ind w:firstLine="440"/>
            </w:pPr>
            <w:r>
              <w:rPr>
                <w:rFonts w:hint="eastAsia"/>
                <w:color w:val="000000"/>
                <w:sz w:val="22"/>
                <w:szCs w:val="22"/>
              </w:rPr>
              <w:t>上海秋晟资产管理有限公司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赵恒毅</w:t>
            </w:r>
          </w:p>
        </w:tc>
        <w:tc>
          <w:tcPr>
            <w:tcW w:w="5555" w:type="dxa"/>
            <w:noWrap/>
            <w:vAlign w:val="center"/>
          </w:tcPr>
          <w:p>
            <w:pPr>
              <w:spacing w:line="240" w:lineRule="auto"/>
              <w:ind w:firstLine="440"/>
            </w:pPr>
            <w:r>
              <w:rPr>
                <w:rFonts w:hint="eastAsia"/>
                <w:color w:val="000000"/>
                <w:sz w:val="22"/>
                <w:szCs w:val="22"/>
              </w:rPr>
              <w:t>富安达基金管理有限公司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王莹滢</w:t>
            </w:r>
          </w:p>
        </w:tc>
        <w:tc>
          <w:tcPr>
            <w:tcW w:w="5555" w:type="dxa"/>
            <w:noWrap/>
            <w:vAlign w:val="center"/>
          </w:tcPr>
          <w:p>
            <w:pPr>
              <w:spacing w:line="240" w:lineRule="auto"/>
              <w:ind w:firstLine="440"/>
            </w:pPr>
            <w:r>
              <w:rPr>
                <w:rFonts w:hint="eastAsia"/>
                <w:color w:val="000000"/>
                <w:sz w:val="22"/>
                <w:szCs w:val="22"/>
              </w:rPr>
              <w:t>海宁拾贝投资管理合伙企业（有限合伙）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刘智超</w:t>
            </w:r>
          </w:p>
        </w:tc>
        <w:tc>
          <w:tcPr>
            <w:tcW w:w="5555" w:type="dxa"/>
            <w:noWrap/>
            <w:vAlign w:val="center"/>
          </w:tcPr>
          <w:p>
            <w:pPr>
              <w:spacing w:line="240" w:lineRule="auto"/>
              <w:ind w:firstLine="440"/>
            </w:pPr>
            <w:r>
              <w:rPr>
                <w:rFonts w:hint="eastAsia"/>
                <w:color w:val="000000"/>
                <w:sz w:val="22"/>
                <w:szCs w:val="22"/>
              </w:rPr>
              <w:t>天弘基金管理有限公司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潘润杰</w:t>
            </w:r>
          </w:p>
        </w:tc>
        <w:tc>
          <w:tcPr>
            <w:tcW w:w="5555" w:type="dxa"/>
            <w:noWrap/>
            <w:vAlign w:val="center"/>
          </w:tcPr>
          <w:p>
            <w:pPr>
              <w:spacing w:line="240" w:lineRule="auto"/>
              <w:ind w:firstLine="440"/>
            </w:pPr>
            <w:r>
              <w:rPr>
                <w:rFonts w:hint="eastAsia"/>
                <w:color w:val="000000"/>
                <w:sz w:val="22"/>
                <w:szCs w:val="22"/>
              </w:rPr>
              <w:t>嘉实基金北京区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趣时资产</w:t>
            </w:r>
          </w:p>
        </w:tc>
        <w:tc>
          <w:tcPr>
            <w:tcW w:w="5555" w:type="dxa"/>
            <w:noWrap/>
            <w:vAlign w:val="center"/>
          </w:tcPr>
          <w:p>
            <w:pPr>
              <w:spacing w:line="240" w:lineRule="auto"/>
              <w:ind w:firstLine="440"/>
            </w:pPr>
            <w:r>
              <w:rPr>
                <w:rFonts w:hint="eastAsia"/>
                <w:color w:val="000000"/>
                <w:sz w:val="22"/>
                <w:szCs w:val="22"/>
              </w:rPr>
              <w:t>趣时资产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费晨洪</w:t>
            </w:r>
          </w:p>
        </w:tc>
        <w:tc>
          <w:tcPr>
            <w:tcW w:w="5555" w:type="dxa"/>
            <w:noWrap/>
            <w:vAlign w:val="center"/>
          </w:tcPr>
          <w:p>
            <w:pPr>
              <w:spacing w:line="240" w:lineRule="auto"/>
              <w:ind w:firstLine="440"/>
            </w:pPr>
            <w:r>
              <w:rPr>
                <w:rFonts w:hint="eastAsia"/>
                <w:color w:val="000000"/>
                <w:sz w:val="22"/>
                <w:szCs w:val="22"/>
              </w:rPr>
              <w:t>民生证券研究院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闫哲坤</w:t>
            </w:r>
          </w:p>
        </w:tc>
        <w:tc>
          <w:tcPr>
            <w:tcW w:w="5555" w:type="dxa"/>
            <w:noWrap/>
            <w:vAlign w:val="center"/>
          </w:tcPr>
          <w:p>
            <w:pPr>
              <w:spacing w:line="240" w:lineRule="auto"/>
              <w:ind w:firstLine="440"/>
            </w:pPr>
            <w:r>
              <w:rPr>
                <w:rFonts w:hint="eastAsia"/>
                <w:color w:val="000000"/>
                <w:sz w:val="22"/>
                <w:szCs w:val="22"/>
              </w:rPr>
              <w:t>招商证券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章耀</w:t>
            </w:r>
          </w:p>
        </w:tc>
        <w:tc>
          <w:tcPr>
            <w:tcW w:w="5555" w:type="dxa"/>
            <w:noWrap/>
            <w:vAlign w:val="center"/>
          </w:tcPr>
          <w:p>
            <w:pPr>
              <w:spacing w:line="240" w:lineRule="auto"/>
              <w:ind w:firstLine="440"/>
            </w:pPr>
            <w:r>
              <w:rPr>
                <w:rFonts w:hint="eastAsia"/>
                <w:color w:val="000000"/>
                <w:sz w:val="22"/>
                <w:szCs w:val="22"/>
              </w:rPr>
              <w:t>国信证券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庄嘉骏</w:t>
            </w:r>
          </w:p>
        </w:tc>
        <w:tc>
          <w:tcPr>
            <w:tcW w:w="5555" w:type="dxa"/>
            <w:noWrap/>
            <w:vAlign w:val="center"/>
          </w:tcPr>
          <w:p>
            <w:pPr>
              <w:spacing w:line="240" w:lineRule="auto"/>
              <w:ind w:firstLine="440"/>
            </w:pPr>
            <w:r>
              <w:rPr>
                <w:rFonts w:hint="eastAsia"/>
                <w:color w:val="000000"/>
                <w:sz w:val="22"/>
                <w:szCs w:val="22"/>
              </w:rPr>
              <w:t>东北证券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芦家宁</w:t>
            </w:r>
          </w:p>
        </w:tc>
        <w:tc>
          <w:tcPr>
            <w:tcW w:w="5555" w:type="dxa"/>
            <w:noWrap/>
            <w:vAlign w:val="center"/>
          </w:tcPr>
          <w:p>
            <w:pPr>
              <w:spacing w:line="240" w:lineRule="auto"/>
              <w:ind w:firstLine="440"/>
            </w:pPr>
            <w:r>
              <w:rPr>
                <w:rFonts w:hint="eastAsia"/>
                <w:color w:val="000000"/>
                <w:sz w:val="22"/>
                <w:szCs w:val="22"/>
              </w:rPr>
              <w:t>浙商证券研究所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马尚霖</w:t>
            </w:r>
          </w:p>
        </w:tc>
        <w:tc>
          <w:tcPr>
            <w:tcW w:w="5555" w:type="dxa"/>
            <w:noWrap/>
            <w:vAlign w:val="center"/>
          </w:tcPr>
          <w:p>
            <w:pPr>
              <w:spacing w:line="240" w:lineRule="auto"/>
              <w:ind w:firstLine="440"/>
            </w:pPr>
            <w:r>
              <w:rPr>
                <w:rFonts w:hint="eastAsia"/>
                <w:color w:val="000000"/>
                <w:sz w:val="22"/>
                <w:szCs w:val="22"/>
              </w:rPr>
              <w:t>浙商证券研究所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黄宇宸</w:t>
            </w:r>
          </w:p>
        </w:tc>
        <w:tc>
          <w:tcPr>
            <w:tcW w:w="5555" w:type="dxa"/>
            <w:noWrap/>
            <w:vAlign w:val="center"/>
          </w:tcPr>
          <w:p>
            <w:pPr>
              <w:spacing w:line="240" w:lineRule="auto"/>
              <w:ind w:firstLine="440"/>
            </w:pPr>
            <w:r>
              <w:rPr>
                <w:rFonts w:hint="eastAsia"/>
                <w:color w:val="000000"/>
                <w:sz w:val="22"/>
                <w:szCs w:val="22"/>
              </w:rPr>
              <w:t>浙商证券研究所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李浩</w:t>
            </w:r>
          </w:p>
        </w:tc>
        <w:tc>
          <w:tcPr>
            <w:tcW w:w="5555" w:type="dxa"/>
            <w:noWrap/>
            <w:vAlign w:val="center"/>
          </w:tcPr>
          <w:p>
            <w:pPr>
              <w:spacing w:line="240" w:lineRule="auto"/>
              <w:ind w:firstLine="440"/>
            </w:pPr>
            <w:r>
              <w:rPr>
                <w:rFonts w:hint="eastAsia"/>
                <w:color w:val="000000"/>
                <w:sz w:val="22"/>
                <w:szCs w:val="22"/>
              </w:rPr>
              <w:t>长江证券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陶爱普</w:t>
            </w:r>
          </w:p>
        </w:tc>
        <w:tc>
          <w:tcPr>
            <w:tcW w:w="5555" w:type="dxa"/>
            <w:noWrap/>
            <w:vAlign w:val="center"/>
          </w:tcPr>
          <w:p>
            <w:pPr>
              <w:spacing w:line="240" w:lineRule="auto"/>
              <w:ind w:firstLine="440"/>
            </w:pPr>
            <w:r>
              <w:rPr>
                <w:rFonts w:hint="eastAsia"/>
                <w:color w:val="000000"/>
                <w:sz w:val="22"/>
                <w:szCs w:val="22"/>
              </w:rPr>
              <w:t>中信建投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赵军华</w:t>
            </w:r>
          </w:p>
        </w:tc>
        <w:tc>
          <w:tcPr>
            <w:tcW w:w="5555" w:type="dxa"/>
            <w:noWrap/>
            <w:vAlign w:val="center"/>
          </w:tcPr>
          <w:p>
            <w:pPr>
              <w:spacing w:line="240" w:lineRule="auto"/>
              <w:ind w:firstLine="440"/>
            </w:pPr>
            <w:r>
              <w:rPr>
                <w:rFonts w:hint="eastAsia"/>
                <w:color w:val="000000"/>
                <w:sz w:val="22"/>
                <w:szCs w:val="22"/>
              </w:rPr>
              <w:t>中加基金管理有限公司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卢军飞</w:t>
            </w:r>
          </w:p>
        </w:tc>
        <w:tc>
          <w:tcPr>
            <w:tcW w:w="5555" w:type="dxa"/>
            <w:noWrap/>
            <w:vAlign w:val="center"/>
          </w:tcPr>
          <w:p>
            <w:pPr>
              <w:spacing w:line="240" w:lineRule="auto"/>
              <w:ind w:firstLine="440"/>
            </w:pPr>
            <w:r>
              <w:rPr>
                <w:rFonts w:hint="eastAsia"/>
                <w:color w:val="000000"/>
                <w:sz w:val="22"/>
                <w:szCs w:val="22"/>
              </w:rPr>
              <w:t>山东千泰私募投资基金管理有限公司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林晓龙</w:t>
            </w:r>
          </w:p>
        </w:tc>
        <w:tc>
          <w:tcPr>
            <w:tcW w:w="5555" w:type="dxa"/>
            <w:noWrap/>
            <w:vAlign w:val="center"/>
          </w:tcPr>
          <w:p>
            <w:pPr>
              <w:spacing w:line="240" w:lineRule="auto"/>
              <w:ind w:firstLine="440"/>
            </w:pPr>
            <w:r>
              <w:rPr>
                <w:rFonts w:hint="eastAsia"/>
                <w:color w:val="000000"/>
                <w:sz w:val="22"/>
                <w:szCs w:val="22"/>
              </w:rPr>
              <w:t>天风证券股份有限公司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臧怡</w:t>
            </w:r>
            <w:r>
              <w:rPr>
                <w:rFonts w:hint="eastAsia"/>
                <w:color w:val="000000"/>
                <w:sz w:val="22"/>
                <w:szCs w:val="22"/>
              </w:rPr>
              <w:br w:type="textWrapping"/>
            </w:r>
            <w:r>
              <w:rPr>
                <w:rFonts w:hint="eastAsia"/>
                <w:color w:val="000000"/>
                <w:sz w:val="22"/>
                <w:szCs w:val="22"/>
              </w:rPr>
              <w:t>（Yololo Zang</w:t>
            </w:r>
            <w:r>
              <w:rPr>
                <w:rFonts w:hint="eastAsia"/>
                <w:color w:val="000000"/>
                <w:sz w:val="22"/>
                <w:szCs w:val="22"/>
                <w:lang w:eastAsia="zh-CN"/>
              </w:rPr>
              <w:t>）</w:t>
            </w:r>
          </w:p>
        </w:tc>
        <w:tc>
          <w:tcPr>
            <w:tcW w:w="5555" w:type="dxa"/>
            <w:noWrap/>
            <w:vAlign w:val="center"/>
          </w:tcPr>
          <w:p>
            <w:pPr>
              <w:spacing w:line="240" w:lineRule="auto"/>
              <w:ind w:firstLine="440"/>
            </w:pPr>
            <w:r>
              <w:rPr>
                <w:rFonts w:hint="eastAsia"/>
                <w:color w:val="000000"/>
                <w:sz w:val="22"/>
                <w:szCs w:val="22"/>
              </w:rPr>
              <w:t>中意资产管理有限责任公司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肖彬</w:t>
            </w:r>
          </w:p>
        </w:tc>
        <w:tc>
          <w:tcPr>
            <w:tcW w:w="5555" w:type="dxa"/>
            <w:noWrap/>
            <w:vAlign w:val="center"/>
          </w:tcPr>
          <w:p>
            <w:pPr>
              <w:spacing w:line="240" w:lineRule="auto"/>
              <w:ind w:firstLine="440"/>
            </w:pPr>
            <w:r>
              <w:rPr>
                <w:rFonts w:hint="eastAsia"/>
                <w:color w:val="000000"/>
                <w:sz w:val="22"/>
                <w:szCs w:val="22"/>
              </w:rPr>
              <w:t>国信证券股份有限公司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石峰源</w:t>
            </w:r>
          </w:p>
        </w:tc>
        <w:tc>
          <w:tcPr>
            <w:tcW w:w="5555" w:type="dxa"/>
            <w:noWrap/>
            <w:vAlign w:val="center"/>
          </w:tcPr>
          <w:p>
            <w:pPr>
              <w:spacing w:line="240" w:lineRule="auto"/>
              <w:ind w:firstLine="440"/>
            </w:pPr>
            <w:r>
              <w:rPr>
                <w:rFonts w:hint="eastAsia"/>
                <w:color w:val="000000"/>
                <w:sz w:val="22"/>
                <w:szCs w:val="22"/>
              </w:rPr>
              <w:t>东吴证券研究所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金兵</w:t>
            </w:r>
          </w:p>
        </w:tc>
        <w:tc>
          <w:tcPr>
            <w:tcW w:w="5555" w:type="dxa"/>
            <w:noWrap/>
            <w:vAlign w:val="center"/>
          </w:tcPr>
          <w:p>
            <w:pPr>
              <w:spacing w:line="240" w:lineRule="auto"/>
              <w:ind w:firstLine="440"/>
            </w:pPr>
            <w:r>
              <w:rPr>
                <w:rFonts w:hint="eastAsia"/>
                <w:color w:val="000000"/>
                <w:sz w:val="22"/>
                <w:szCs w:val="22"/>
              </w:rPr>
              <w:t>华西证券研究所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董智薇</w:t>
            </w:r>
          </w:p>
        </w:tc>
        <w:tc>
          <w:tcPr>
            <w:tcW w:w="5555" w:type="dxa"/>
            <w:noWrap/>
            <w:vAlign w:val="center"/>
          </w:tcPr>
          <w:p>
            <w:pPr>
              <w:spacing w:line="240" w:lineRule="auto"/>
              <w:ind w:firstLine="440"/>
            </w:pPr>
            <w:r>
              <w:rPr>
                <w:rFonts w:hint="eastAsia"/>
                <w:color w:val="000000"/>
                <w:sz w:val="22"/>
                <w:szCs w:val="22"/>
              </w:rPr>
              <w:t>上海同犇投资管理中心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麻锦涛</w:t>
            </w:r>
          </w:p>
        </w:tc>
        <w:tc>
          <w:tcPr>
            <w:tcW w:w="5555" w:type="dxa"/>
            <w:noWrap/>
            <w:vAlign w:val="center"/>
          </w:tcPr>
          <w:p>
            <w:pPr>
              <w:spacing w:line="240" w:lineRule="auto"/>
              <w:ind w:firstLine="440"/>
            </w:pPr>
            <w:r>
              <w:rPr>
                <w:rFonts w:hint="eastAsia"/>
                <w:color w:val="000000"/>
                <w:sz w:val="22"/>
                <w:szCs w:val="22"/>
              </w:rPr>
              <w:t>中国人寿资产管理有限公司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李本刚</w:t>
            </w:r>
          </w:p>
        </w:tc>
        <w:tc>
          <w:tcPr>
            <w:tcW w:w="5555" w:type="dxa"/>
            <w:noWrap/>
            <w:vAlign w:val="center"/>
          </w:tcPr>
          <w:p>
            <w:pPr>
              <w:spacing w:line="240" w:lineRule="auto"/>
              <w:ind w:firstLine="440"/>
            </w:pPr>
            <w:r>
              <w:rPr>
                <w:rFonts w:hint="eastAsia"/>
                <w:color w:val="000000"/>
                <w:sz w:val="22"/>
                <w:szCs w:val="22"/>
              </w:rPr>
              <w:t>华西基金管理有限责任公司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杨兆鑫</w:t>
            </w:r>
          </w:p>
        </w:tc>
        <w:tc>
          <w:tcPr>
            <w:tcW w:w="5555" w:type="dxa"/>
            <w:noWrap/>
            <w:vAlign w:val="center"/>
          </w:tcPr>
          <w:p>
            <w:pPr>
              <w:spacing w:line="240" w:lineRule="auto"/>
              <w:ind w:firstLine="440"/>
            </w:pPr>
            <w:r>
              <w:rPr>
                <w:rFonts w:hint="eastAsia"/>
                <w:color w:val="000000"/>
                <w:sz w:val="22"/>
                <w:szCs w:val="22"/>
              </w:rPr>
              <w:t>中国人寿养老保险股份有限公司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vAlign w:val="center"/>
          </w:tcPr>
          <w:p>
            <w:pPr>
              <w:spacing w:line="240" w:lineRule="auto"/>
              <w:ind w:firstLine="440"/>
            </w:pPr>
            <w:r>
              <w:rPr>
                <w:rFonts w:hint="eastAsia"/>
                <w:color w:val="000000"/>
                <w:sz w:val="22"/>
                <w:szCs w:val="22"/>
              </w:rPr>
              <w:t>邵靖宇</w:t>
            </w:r>
          </w:p>
        </w:tc>
        <w:tc>
          <w:tcPr>
            <w:tcW w:w="5555" w:type="dxa"/>
            <w:noWrap/>
            <w:vAlign w:val="center"/>
          </w:tcPr>
          <w:p>
            <w:pPr>
              <w:spacing w:line="240" w:lineRule="auto"/>
              <w:ind w:firstLine="440"/>
            </w:pPr>
            <w:r>
              <w:rPr>
                <w:rFonts w:hint="eastAsia"/>
                <w:color w:val="000000"/>
                <w:sz w:val="22"/>
                <w:szCs w:val="22"/>
              </w:rPr>
              <w:t>申万宏源证券研究所</w:t>
            </w:r>
          </w:p>
        </w:tc>
      </w:tr>
    </w:tbl>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NDYwZDYzMzYwZTQ5MTY5ODI2ZDQ2YjBmMGNlNDgifQ=="/>
  </w:docVars>
  <w:rsids>
    <w:rsidRoot w:val="006861C7"/>
    <w:rsid w:val="00001741"/>
    <w:rsid w:val="0000224F"/>
    <w:rsid w:val="00004565"/>
    <w:rsid w:val="00014039"/>
    <w:rsid w:val="000157EB"/>
    <w:rsid w:val="00015803"/>
    <w:rsid w:val="000268C0"/>
    <w:rsid w:val="000363B5"/>
    <w:rsid w:val="000375D7"/>
    <w:rsid w:val="000419D7"/>
    <w:rsid w:val="00043015"/>
    <w:rsid w:val="00046DDE"/>
    <w:rsid w:val="00047EB9"/>
    <w:rsid w:val="00051B85"/>
    <w:rsid w:val="00060A74"/>
    <w:rsid w:val="00060F09"/>
    <w:rsid w:val="00067110"/>
    <w:rsid w:val="00067F36"/>
    <w:rsid w:val="00082970"/>
    <w:rsid w:val="000831AA"/>
    <w:rsid w:val="0009298A"/>
    <w:rsid w:val="00092D3B"/>
    <w:rsid w:val="000947C6"/>
    <w:rsid w:val="000A2808"/>
    <w:rsid w:val="000A3BAC"/>
    <w:rsid w:val="000C26FD"/>
    <w:rsid w:val="000C2D85"/>
    <w:rsid w:val="000C66F9"/>
    <w:rsid w:val="000C78F6"/>
    <w:rsid w:val="000E4A4C"/>
    <w:rsid w:val="000E5700"/>
    <w:rsid w:val="000E636F"/>
    <w:rsid w:val="000E696A"/>
    <w:rsid w:val="000F0C4B"/>
    <w:rsid w:val="000F0E22"/>
    <w:rsid w:val="000F302C"/>
    <w:rsid w:val="00103BB7"/>
    <w:rsid w:val="00105A04"/>
    <w:rsid w:val="00112F74"/>
    <w:rsid w:val="001169A9"/>
    <w:rsid w:val="00123ADA"/>
    <w:rsid w:val="00125EB2"/>
    <w:rsid w:val="001405CB"/>
    <w:rsid w:val="00142A4C"/>
    <w:rsid w:val="00144279"/>
    <w:rsid w:val="001449B6"/>
    <w:rsid w:val="001452FF"/>
    <w:rsid w:val="00160C27"/>
    <w:rsid w:val="00163DDD"/>
    <w:rsid w:val="0016617A"/>
    <w:rsid w:val="001677EA"/>
    <w:rsid w:val="00167E99"/>
    <w:rsid w:val="00193FA4"/>
    <w:rsid w:val="001975AB"/>
    <w:rsid w:val="001A00F5"/>
    <w:rsid w:val="001A1F65"/>
    <w:rsid w:val="001A5CE9"/>
    <w:rsid w:val="001B64E9"/>
    <w:rsid w:val="001C50AD"/>
    <w:rsid w:val="001D20D1"/>
    <w:rsid w:val="001D22EE"/>
    <w:rsid w:val="001D4C89"/>
    <w:rsid w:val="001E0062"/>
    <w:rsid w:val="001E0952"/>
    <w:rsid w:val="001E1838"/>
    <w:rsid w:val="001E3145"/>
    <w:rsid w:val="001E40D4"/>
    <w:rsid w:val="001E6509"/>
    <w:rsid w:val="001E7968"/>
    <w:rsid w:val="001F61AA"/>
    <w:rsid w:val="002029F2"/>
    <w:rsid w:val="0021099B"/>
    <w:rsid w:val="00220096"/>
    <w:rsid w:val="0022180A"/>
    <w:rsid w:val="00223ABC"/>
    <w:rsid w:val="002241B9"/>
    <w:rsid w:val="00226B00"/>
    <w:rsid w:val="002274D9"/>
    <w:rsid w:val="002304D4"/>
    <w:rsid w:val="0023455A"/>
    <w:rsid w:val="00236DB0"/>
    <w:rsid w:val="002376F9"/>
    <w:rsid w:val="00237994"/>
    <w:rsid w:val="0024465B"/>
    <w:rsid w:val="002463D4"/>
    <w:rsid w:val="00251A8C"/>
    <w:rsid w:val="00251D58"/>
    <w:rsid w:val="00252CCF"/>
    <w:rsid w:val="002530EE"/>
    <w:rsid w:val="002549E6"/>
    <w:rsid w:val="00256602"/>
    <w:rsid w:val="00260A53"/>
    <w:rsid w:val="002629F4"/>
    <w:rsid w:val="0027087B"/>
    <w:rsid w:val="00271C8D"/>
    <w:rsid w:val="00273B53"/>
    <w:rsid w:val="0028080C"/>
    <w:rsid w:val="00295257"/>
    <w:rsid w:val="00297703"/>
    <w:rsid w:val="002A0826"/>
    <w:rsid w:val="002A0984"/>
    <w:rsid w:val="002A589B"/>
    <w:rsid w:val="002A7FB8"/>
    <w:rsid w:val="002B0BCD"/>
    <w:rsid w:val="002B1184"/>
    <w:rsid w:val="002B71B8"/>
    <w:rsid w:val="002B7469"/>
    <w:rsid w:val="002C22C6"/>
    <w:rsid w:val="002C6568"/>
    <w:rsid w:val="002C723B"/>
    <w:rsid w:val="002D39BC"/>
    <w:rsid w:val="002E1B15"/>
    <w:rsid w:val="002E1D3A"/>
    <w:rsid w:val="002E40C4"/>
    <w:rsid w:val="002E4725"/>
    <w:rsid w:val="003005F0"/>
    <w:rsid w:val="003016C6"/>
    <w:rsid w:val="003030BF"/>
    <w:rsid w:val="00304F89"/>
    <w:rsid w:val="00306023"/>
    <w:rsid w:val="00306531"/>
    <w:rsid w:val="00327D5D"/>
    <w:rsid w:val="00344914"/>
    <w:rsid w:val="00346917"/>
    <w:rsid w:val="00352E9E"/>
    <w:rsid w:val="00353792"/>
    <w:rsid w:val="00354A7B"/>
    <w:rsid w:val="00360FDA"/>
    <w:rsid w:val="00362500"/>
    <w:rsid w:val="00363075"/>
    <w:rsid w:val="00367D18"/>
    <w:rsid w:val="00372A1C"/>
    <w:rsid w:val="0037435A"/>
    <w:rsid w:val="00374500"/>
    <w:rsid w:val="00375656"/>
    <w:rsid w:val="00377D8F"/>
    <w:rsid w:val="00383679"/>
    <w:rsid w:val="00383A79"/>
    <w:rsid w:val="00383B7D"/>
    <w:rsid w:val="003A1E68"/>
    <w:rsid w:val="003B0122"/>
    <w:rsid w:val="003B0BE5"/>
    <w:rsid w:val="003B1681"/>
    <w:rsid w:val="003B1E02"/>
    <w:rsid w:val="003B4809"/>
    <w:rsid w:val="003B587F"/>
    <w:rsid w:val="003B647F"/>
    <w:rsid w:val="003B6946"/>
    <w:rsid w:val="003C6954"/>
    <w:rsid w:val="003C6A1C"/>
    <w:rsid w:val="003D18F1"/>
    <w:rsid w:val="003D48FC"/>
    <w:rsid w:val="003D4DDB"/>
    <w:rsid w:val="003D6D46"/>
    <w:rsid w:val="003E001E"/>
    <w:rsid w:val="003E2AC8"/>
    <w:rsid w:val="003E557E"/>
    <w:rsid w:val="003F7C4D"/>
    <w:rsid w:val="0040075F"/>
    <w:rsid w:val="00403300"/>
    <w:rsid w:val="004043B7"/>
    <w:rsid w:val="004118C0"/>
    <w:rsid w:val="0041251F"/>
    <w:rsid w:val="00417A31"/>
    <w:rsid w:val="0042004B"/>
    <w:rsid w:val="00433384"/>
    <w:rsid w:val="0043777D"/>
    <w:rsid w:val="004427D0"/>
    <w:rsid w:val="004440B4"/>
    <w:rsid w:val="00450066"/>
    <w:rsid w:val="004557C6"/>
    <w:rsid w:val="004563F7"/>
    <w:rsid w:val="0045767F"/>
    <w:rsid w:val="00463E9B"/>
    <w:rsid w:val="00465B5B"/>
    <w:rsid w:val="00467414"/>
    <w:rsid w:val="00470D3A"/>
    <w:rsid w:val="00473F30"/>
    <w:rsid w:val="00475559"/>
    <w:rsid w:val="0048148B"/>
    <w:rsid w:val="0048486A"/>
    <w:rsid w:val="0048591A"/>
    <w:rsid w:val="00486D86"/>
    <w:rsid w:val="0048721A"/>
    <w:rsid w:val="00491F9A"/>
    <w:rsid w:val="00492C38"/>
    <w:rsid w:val="004A0BD5"/>
    <w:rsid w:val="004A1BBF"/>
    <w:rsid w:val="004A73E5"/>
    <w:rsid w:val="004B2F24"/>
    <w:rsid w:val="004B3E68"/>
    <w:rsid w:val="004C19BF"/>
    <w:rsid w:val="004D2206"/>
    <w:rsid w:val="004D7640"/>
    <w:rsid w:val="004E1A9B"/>
    <w:rsid w:val="004E53CD"/>
    <w:rsid w:val="00500AB6"/>
    <w:rsid w:val="00510279"/>
    <w:rsid w:val="005155FB"/>
    <w:rsid w:val="00523907"/>
    <w:rsid w:val="00525595"/>
    <w:rsid w:val="00537C53"/>
    <w:rsid w:val="005438F5"/>
    <w:rsid w:val="00543FAC"/>
    <w:rsid w:val="00544901"/>
    <w:rsid w:val="005474D3"/>
    <w:rsid w:val="00547EBE"/>
    <w:rsid w:val="00550737"/>
    <w:rsid w:val="00550832"/>
    <w:rsid w:val="005542F3"/>
    <w:rsid w:val="00554A06"/>
    <w:rsid w:val="00555DD2"/>
    <w:rsid w:val="0056111D"/>
    <w:rsid w:val="00565ED9"/>
    <w:rsid w:val="005675CF"/>
    <w:rsid w:val="00567B58"/>
    <w:rsid w:val="005760C6"/>
    <w:rsid w:val="00585A1B"/>
    <w:rsid w:val="00591260"/>
    <w:rsid w:val="00591314"/>
    <w:rsid w:val="00593D40"/>
    <w:rsid w:val="00595F1B"/>
    <w:rsid w:val="005A0158"/>
    <w:rsid w:val="005A3BE0"/>
    <w:rsid w:val="005B1026"/>
    <w:rsid w:val="005B10AE"/>
    <w:rsid w:val="005B5F0F"/>
    <w:rsid w:val="005B642F"/>
    <w:rsid w:val="005C04C1"/>
    <w:rsid w:val="005C1785"/>
    <w:rsid w:val="005D15DF"/>
    <w:rsid w:val="005D2D87"/>
    <w:rsid w:val="005D5A65"/>
    <w:rsid w:val="005D681A"/>
    <w:rsid w:val="005D6A09"/>
    <w:rsid w:val="005E2B4B"/>
    <w:rsid w:val="005E5F63"/>
    <w:rsid w:val="005E6BA1"/>
    <w:rsid w:val="005F0506"/>
    <w:rsid w:val="00605867"/>
    <w:rsid w:val="0060596F"/>
    <w:rsid w:val="0060779A"/>
    <w:rsid w:val="006107E6"/>
    <w:rsid w:val="00612621"/>
    <w:rsid w:val="00622F13"/>
    <w:rsid w:val="0062521B"/>
    <w:rsid w:val="00625503"/>
    <w:rsid w:val="0062662D"/>
    <w:rsid w:val="00632E78"/>
    <w:rsid w:val="006344F1"/>
    <w:rsid w:val="00637186"/>
    <w:rsid w:val="00646DF4"/>
    <w:rsid w:val="00651B69"/>
    <w:rsid w:val="00651DE6"/>
    <w:rsid w:val="006523BB"/>
    <w:rsid w:val="0065347E"/>
    <w:rsid w:val="00654B49"/>
    <w:rsid w:val="00654C0F"/>
    <w:rsid w:val="00662505"/>
    <w:rsid w:val="0066674C"/>
    <w:rsid w:val="006760F7"/>
    <w:rsid w:val="006836E2"/>
    <w:rsid w:val="00685BA6"/>
    <w:rsid w:val="006861C7"/>
    <w:rsid w:val="00686DDF"/>
    <w:rsid w:val="00690055"/>
    <w:rsid w:val="00697B12"/>
    <w:rsid w:val="006A55BB"/>
    <w:rsid w:val="006A6343"/>
    <w:rsid w:val="006A669C"/>
    <w:rsid w:val="006A67A4"/>
    <w:rsid w:val="006A7613"/>
    <w:rsid w:val="006A76AB"/>
    <w:rsid w:val="006B2384"/>
    <w:rsid w:val="006B661A"/>
    <w:rsid w:val="006B7D00"/>
    <w:rsid w:val="006C6BC5"/>
    <w:rsid w:val="006D417B"/>
    <w:rsid w:val="006D52AE"/>
    <w:rsid w:val="006D61A2"/>
    <w:rsid w:val="006D6A7B"/>
    <w:rsid w:val="006E1DB4"/>
    <w:rsid w:val="006E3C44"/>
    <w:rsid w:val="006F1CBE"/>
    <w:rsid w:val="006F20DC"/>
    <w:rsid w:val="006F30C3"/>
    <w:rsid w:val="00705C1C"/>
    <w:rsid w:val="007509CE"/>
    <w:rsid w:val="00753DB6"/>
    <w:rsid w:val="00753EA7"/>
    <w:rsid w:val="00763847"/>
    <w:rsid w:val="00771FE3"/>
    <w:rsid w:val="0077430A"/>
    <w:rsid w:val="00776BDE"/>
    <w:rsid w:val="00776CE2"/>
    <w:rsid w:val="0078558C"/>
    <w:rsid w:val="00786870"/>
    <w:rsid w:val="00792237"/>
    <w:rsid w:val="0079272A"/>
    <w:rsid w:val="007A10CE"/>
    <w:rsid w:val="007A1DA9"/>
    <w:rsid w:val="007B2252"/>
    <w:rsid w:val="007B79D9"/>
    <w:rsid w:val="007C304A"/>
    <w:rsid w:val="007C58C4"/>
    <w:rsid w:val="007C5C0D"/>
    <w:rsid w:val="007C5F07"/>
    <w:rsid w:val="007C67B1"/>
    <w:rsid w:val="007D19B6"/>
    <w:rsid w:val="007E354A"/>
    <w:rsid w:val="007E3F45"/>
    <w:rsid w:val="007E69C8"/>
    <w:rsid w:val="007E6DAD"/>
    <w:rsid w:val="007F7B44"/>
    <w:rsid w:val="008008C4"/>
    <w:rsid w:val="00800FFA"/>
    <w:rsid w:val="0080444E"/>
    <w:rsid w:val="0080525B"/>
    <w:rsid w:val="00805683"/>
    <w:rsid w:val="008062C5"/>
    <w:rsid w:val="0080741A"/>
    <w:rsid w:val="008138CB"/>
    <w:rsid w:val="00814B5B"/>
    <w:rsid w:val="008234BF"/>
    <w:rsid w:val="008368B4"/>
    <w:rsid w:val="00836F34"/>
    <w:rsid w:val="00837374"/>
    <w:rsid w:val="00843E73"/>
    <w:rsid w:val="00844EBF"/>
    <w:rsid w:val="00847FF7"/>
    <w:rsid w:val="0085073F"/>
    <w:rsid w:val="00854F61"/>
    <w:rsid w:val="0086037D"/>
    <w:rsid w:val="00864202"/>
    <w:rsid w:val="00873B59"/>
    <w:rsid w:val="00873B6B"/>
    <w:rsid w:val="00875FF2"/>
    <w:rsid w:val="00876345"/>
    <w:rsid w:val="0087701F"/>
    <w:rsid w:val="00891315"/>
    <w:rsid w:val="0089283D"/>
    <w:rsid w:val="008A04AE"/>
    <w:rsid w:val="008A0ADC"/>
    <w:rsid w:val="008A1BAB"/>
    <w:rsid w:val="008B38B7"/>
    <w:rsid w:val="008B458E"/>
    <w:rsid w:val="008C4D4A"/>
    <w:rsid w:val="008C57AC"/>
    <w:rsid w:val="008E11AE"/>
    <w:rsid w:val="008E1708"/>
    <w:rsid w:val="008E4844"/>
    <w:rsid w:val="00904492"/>
    <w:rsid w:val="00904DFB"/>
    <w:rsid w:val="0091457B"/>
    <w:rsid w:val="00923763"/>
    <w:rsid w:val="00930ED6"/>
    <w:rsid w:val="0093293F"/>
    <w:rsid w:val="00933105"/>
    <w:rsid w:val="00937E5B"/>
    <w:rsid w:val="00942336"/>
    <w:rsid w:val="00945596"/>
    <w:rsid w:val="009474EF"/>
    <w:rsid w:val="0095229B"/>
    <w:rsid w:val="00954482"/>
    <w:rsid w:val="00962626"/>
    <w:rsid w:val="00972813"/>
    <w:rsid w:val="009767DD"/>
    <w:rsid w:val="00977AF2"/>
    <w:rsid w:val="00985FC5"/>
    <w:rsid w:val="00993BDD"/>
    <w:rsid w:val="009A6DFB"/>
    <w:rsid w:val="009B1CF9"/>
    <w:rsid w:val="009B1FC7"/>
    <w:rsid w:val="009B49B5"/>
    <w:rsid w:val="009B6EC0"/>
    <w:rsid w:val="009C23A7"/>
    <w:rsid w:val="009C7FAF"/>
    <w:rsid w:val="009D4199"/>
    <w:rsid w:val="009E3091"/>
    <w:rsid w:val="009E43CC"/>
    <w:rsid w:val="009E5C50"/>
    <w:rsid w:val="009E5E6A"/>
    <w:rsid w:val="009F0DD5"/>
    <w:rsid w:val="009F14CF"/>
    <w:rsid w:val="009F1B95"/>
    <w:rsid w:val="009F6C05"/>
    <w:rsid w:val="00A07EAF"/>
    <w:rsid w:val="00A13CB6"/>
    <w:rsid w:val="00A14A1A"/>
    <w:rsid w:val="00A17676"/>
    <w:rsid w:val="00A22CDD"/>
    <w:rsid w:val="00A25AEE"/>
    <w:rsid w:val="00A31EB1"/>
    <w:rsid w:val="00A3276C"/>
    <w:rsid w:val="00A33959"/>
    <w:rsid w:val="00A33AEA"/>
    <w:rsid w:val="00A44CA3"/>
    <w:rsid w:val="00A461CD"/>
    <w:rsid w:val="00A469C5"/>
    <w:rsid w:val="00A5317D"/>
    <w:rsid w:val="00A6284E"/>
    <w:rsid w:val="00A63DA8"/>
    <w:rsid w:val="00A63E81"/>
    <w:rsid w:val="00A8775A"/>
    <w:rsid w:val="00A92DA0"/>
    <w:rsid w:val="00A938AC"/>
    <w:rsid w:val="00AA5998"/>
    <w:rsid w:val="00AB07E7"/>
    <w:rsid w:val="00AB7127"/>
    <w:rsid w:val="00AD1BA8"/>
    <w:rsid w:val="00AE4D70"/>
    <w:rsid w:val="00AF74A3"/>
    <w:rsid w:val="00B02A29"/>
    <w:rsid w:val="00B03522"/>
    <w:rsid w:val="00B04AD6"/>
    <w:rsid w:val="00B10BE2"/>
    <w:rsid w:val="00B13B7F"/>
    <w:rsid w:val="00B14CAA"/>
    <w:rsid w:val="00B163E4"/>
    <w:rsid w:val="00B257CE"/>
    <w:rsid w:val="00B406E6"/>
    <w:rsid w:val="00B4666B"/>
    <w:rsid w:val="00B4746C"/>
    <w:rsid w:val="00B52B21"/>
    <w:rsid w:val="00B65354"/>
    <w:rsid w:val="00B70BB4"/>
    <w:rsid w:val="00B71A0E"/>
    <w:rsid w:val="00B81765"/>
    <w:rsid w:val="00B832F5"/>
    <w:rsid w:val="00BA2266"/>
    <w:rsid w:val="00BA2FAB"/>
    <w:rsid w:val="00BA7172"/>
    <w:rsid w:val="00BB5E28"/>
    <w:rsid w:val="00BB6B80"/>
    <w:rsid w:val="00BC1D7A"/>
    <w:rsid w:val="00BD15F3"/>
    <w:rsid w:val="00BD7986"/>
    <w:rsid w:val="00BD79D3"/>
    <w:rsid w:val="00C00833"/>
    <w:rsid w:val="00C04F82"/>
    <w:rsid w:val="00C147B9"/>
    <w:rsid w:val="00C15AC0"/>
    <w:rsid w:val="00C24E8A"/>
    <w:rsid w:val="00C26030"/>
    <w:rsid w:val="00C36516"/>
    <w:rsid w:val="00C41091"/>
    <w:rsid w:val="00C42CB7"/>
    <w:rsid w:val="00C5276D"/>
    <w:rsid w:val="00C6232C"/>
    <w:rsid w:val="00C63056"/>
    <w:rsid w:val="00C65BF2"/>
    <w:rsid w:val="00C661D1"/>
    <w:rsid w:val="00C67B8B"/>
    <w:rsid w:val="00C733FA"/>
    <w:rsid w:val="00C775BA"/>
    <w:rsid w:val="00C77BEF"/>
    <w:rsid w:val="00C81B84"/>
    <w:rsid w:val="00C85331"/>
    <w:rsid w:val="00C85A50"/>
    <w:rsid w:val="00C916E1"/>
    <w:rsid w:val="00C94D46"/>
    <w:rsid w:val="00C96805"/>
    <w:rsid w:val="00CA443A"/>
    <w:rsid w:val="00CB2461"/>
    <w:rsid w:val="00CB37FD"/>
    <w:rsid w:val="00CC4D65"/>
    <w:rsid w:val="00CC61E7"/>
    <w:rsid w:val="00CD161D"/>
    <w:rsid w:val="00CD25AD"/>
    <w:rsid w:val="00CD3760"/>
    <w:rsid w:val="00CD3FFC"/>
    <w:rsid w:val="00CD4664"/>
    <w:rsid w:val="00CE584E"/>
    <w:rsid w:val="00CF02F3"/>
    <w:rsid w:val="00CF565C"/>
    <w:rsid w:val="00D0079A"/>
    <w:rsid w:val="00D016A3"/>
    <w:rsid w:val="00D215EB"/>
    <w:rsid w:val="00D35C77"/>
    <w:rsid w:val="00D41C67"/>
    <w:rsid w:val="00D428AE"/>
    <w:rsid w:val="00D45BA2"/>
    <w:rsid w:val="00D50425"/>
    <w:rsid w:val="00D509C6"/>
    <w:rsid w:val="00D50ED8"/>
    <w:rsid w:val="00D512E3"/>
    <w:rsid w:val="00D602C9"/>
    <w:rsid w:val="00D623F7"/>
    <w:rsid w:val="00D64248"/>
    <w:rsid w:val="00D908EB"/>
    <w:rsid w:val="00D92183"/>
    <w:rsid w:val="00DA26A9"/>
    <w:rsid w:val="00DB01FF"/>
    <w:rsid w:val="00DB34ED"/>
    <w:rsid w:val="00DC0302"/>
    <w:rsid w:val="00DC7778"/>
    <w:rsid w:val="00DD5D12"/>
    <w:rsid w:val="00DE49F1"/>
    <w:rsid w:val="00DE552E"/>
    <w:rsid w:val="00DE7391"/>
    <w:rsid w:val="00DF2DB5"/>
    <w:rsid w:val="00DF5BF5"/>
    <w:rsid w:val="00DF6560"/>
    <w:rsid w:val="00E04CC0"/>
    <w:rsid w:val="00E136FF"/>
    <w:rsid w:val="00E2026B"/>
    <w:rsid w:val="00E318C6"/>
    <w:rsid w:val="00E32528"/>
    <w:rsid w:val="00E35F26"/>
    <w:rsid w:val="00E45F6A"/>
    <w:rsid w:val="00E4740F"/>
    <w:rsid w:val="00E53165"/>
    <w:rsid w:val="00E57F24"/>
    <w:rsid w:val="00E61EF7"/>
    <w:rsid w:val="00E663B4"/>
    <w:rsid w:val="00E74350"/>
    <w:rsid w:val="00E80CEB"/>
    <w:rsid w:val="00E819A7"/>
    <w:rsid w:val="00E85313"/>
    <w:rsid w:val="00E85321"/>
    <w:rsid w:val="00EA0052"/>
    <w:rsid w:val="00EA5103"/>
    <w:rsid w:val="00EA6FB9"/>
    <w:rsid w:val="00EB3D89"/>
    <w:rsid w:val="00EB5E6A"/>
    <w:rsid w:val="00EB6DEF"/>
    <w:rsid w:val="00EC2AD7"/>
    <w:rsid w:val="00ED7DE0"/>
    <w:rsid w:val="00EE7891"/>
    <w:rsid w:val="00EF49FE"/>
    <w:rsid w:val="00EF5341"/>
    <w:rsid w:val="00F02EAB"/>
    <w:rsid w:val="00F04908"/>
    <w:rsid w:val="00F07C21"/>
    <w:rsid w:val="00F12EF6"/>
    <w:rsid w:val="00F1388D"/>
    <w:rsid w:val="00F13916"/>
    <w:rsid w:val="00F168C2"/>
    <w:rsid w:val="00F2049A"/>
    <w:rsid w:val="00F21065"/>
    <w:rsid w:val="00F24CB4"/>
    <w:rsid w:val="00F31D54"/>
    <w:rsid w:val="00F43465"/>
    <w:rsid w:val="00F45475"/>
    <w:rsid w:val="00F51050"/>
    <w:rsid w:val="00F53AAB"/>
    <w:rsid w:val="00F64E72"/>
    <w:rsid w:val="00F70C7D"/>
    <w:rsid w:val="00F9272E"/>
    <w:rsid w:val="00F95236"/>
    <w:rsid w:val="00F96799"/>
    <w:rsid w:val="00F97743"/>
    <w:rsid w:val="00F97C1D"/>
    <w:rsid w:val="00FA0C98"/>
    <w:rsid w:val="00FA3ECF"/>
    <w:rsid w:val="00FA6114"/>
    <w:rsid w:val="00FA6DAF"/>
    <w:rsid w:val="00FB1BDD"/>
    <w:rsid w:val="00FB685D"/>
    <w:rsid w:val="00FC1F7C"/>
    <w:rsid w:val="00FC6884"/>
    <w:rsid w:val="00FE1185"/>
    <w:rsid w:val="00FE62F3"/>
    <w:rsid w:val="00FE6A63"/>
    <w:rsid w:val="00FF71D2"/>
    <w:rsid w:val="03DB240E"/>
    <w:rsid w:val="08B31007"/>
    <w:rsid w:val="0D10137A"/>
    <w:rsid w:val="0E5055E0"/>
    <w:rsid w:val="120E7E53"/>
    <w:rsid w:val="15C26F8A"/>
    <w:rsid w:val="1A2226ED"/>
    <w:rsid w:val="1B2418A5"/>
    <w:rsid w:val="1FBFC074"/>
    <w:rsid w:val="23360FB7"/>
    <w:rsid w:val="265363FD"/>
    <w:rsid w:val="27220C4A"/>
    <w:rsid w:val="295D729E"/>
    <w:rsid w:val="33305A23"/>
    <w:rsid w:val="36FB9E1F"/>
    <w:rsid w:val="3BDA652C"/>
    <w:rsid w:val="3BFA3B96"/>
    <w:rsid w:val="3CEF3472"/>
    <w:rsid w:val="3EFF16E9"/>
    <w:rsid w:val="54BF35C8"/>
    <w:rsid w:val="5B12588A"/>
    <w:rsid w:val="5C172F4C"/>
    <w:rsid w:val="69CB5582"/>
    <w:rsid w:val="6D3C6797"/>
    <w:rsid w:val="6F7E6BF3"/>
    <w:rsid w:val="77644920"/>
    <w:rsid w:val="77CF73AC"/>
    <w:rsid w:val="78FF0116"/>
    <w:rsid w:val="7BFF2E69"/>
    <w:rsid w:val="B7DDD54D"/>
    <w:rsid w:val="E3FFE6ED"/>
    <w:rsid w:val="F5DB8A63"/>
    <w:rsid w:val="F797912E"/>
    <w:rsid w:val="FE7B4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360" w:lineRule="auto"/>
      <w:ind w:firstLine="42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2"/>
    <w:autoRedefine/>
    <w:qFormat/>
    <w:uiPriority w:val="0"/>
    <w:pPr>
      <w:jc w:val="left"/>
    </w:pPr>
  </w:style>
  <w:style w:type="paragraph" w:styleId="4">
    <w:name w:val="footer"/>
    <w:basedOn w:val="1"/>
    <w:link w:val="18"/>
    <w:autoRedefine/>
    <w:qFormat/>
    <w:uiPriority w:val="0"/>
    <w:pPr>
      <w:tabs>
        <w:tab w:val="center" w:pos="4153"/>
        <w:tab w:val="right" w:pos="8306"/>
      </w:tabs>
      <w:jc w:val="left"/>
    </w:pPr>
    <w:rPr>
      <w:sz w:val="18"/>
      <w:szCs w:val="18"/>
    </w:rPr>
  </w:style>
  <w:style w:type="paragraph" w:styleId="5">
    <w:name w:val="header"/>
    <w:basedOn w:val="1"/>
    <w:link w:val="19"/>
    <w:autoRedefine/>
    <w:qFormat/>
    <w:uiPriority w:val="0"/>
    <w:pPr>
      <w:pBdr>
        <w:bottom w:val="single" w:color="auto" w:sz="6" w:space="1"/>
      </w:pBdr>
      <w:tabs>
        <w:tab w:val="center" w:pos="4153"/>
        <w:tab w:val="right" w:pos="8306"/>
      </w:tabs>
      <w:jc w:val="center"/>
    </w:pPr>
    <w:rPr>
      <w:sz w:val="18"/>
      <w:szCs w:val="18"/>
    </w:rPr>
  </w:style>
  <w:style w:type="paragraph" w:styleId="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Title"/>
    <w:basedOn w:val="1"/>
    <w:next w:val="1"/>
    <w:link w:val="26"/>
    <w:autoRedefine/>
    <w:qFormat/>
    <w:uiPriority w:val="0"/>
    <w:pPr>
      <w:spacing w:before="240" w:after="60"/>
      <w:jc w:val="center"/>
      <w:outlineLvl w:val="0"/>
    </w:pPr>
    <w:rPr>
      <w:rFonts w:asciiTheme="majorHAnsi" w:hAnsiTheme="majorHAnsi" w:eastAsiaTheme="majorEastAsia" w:cstheme="majorBidi"/>
      <w:b/>
      <w:bCs/>
      <w:sz w:val="32"/>
      <w:szCs w:val="32"/>
    </w:rPr>
  </w:style>
  <w:style w:type="paragraph" w:styleId="8">
    <w:name w:val="annotation subject"/>
    <w:basedOn w:val="3"/>
    <w:next w:val="3"/>
    <w:link w:val="23"/>
    <w:autoRedefine/>
    <w:qFormat/>
    <w:uiPriority w:val="0"/>
    <w:rPr>
      <w:b/>
      <w:bCs/>
    </w:rPr>
  </w:style>
  <w:style w:type="table" w:styleId="10">
    <w:name w:val="Table Grid"/>
    <w:basedOn w:val="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autoRedefine/>
    <w:qFormat/>
    <w:uiPriority w:val="0"/>
    <w:rPr>
      <w:color w:val="0000FF" w:themeColor="hyperlink"/>
      <w:u w:val="single"/>
      <w14:textFill>
        <w14:solidFill>
          <w14:schemeClr w14:val="hlink"/>
        </w14:solidFill>
      </w14:textFill>
    </w:rPr>
  </w:style>
  <w:style w:type="character" w:styleId="13">
    <w:name w:val="annotation reference"/>
    <w:basedOn w:val="11"/>
    <w:autoRedefine/>
    <w:qFormat/>
    <w:uiPriority w:val="0"/>
    <w:rPr>
      <w:sz w:val="21"/>
      <w:szCs w:val="21"/>
    </w:rPr>
  </w:style>
  <w:style w:type="paragraph" w:customStyle="1" w:styleId="14">
    <w:name w:val="_Style 6"/>
    <w:basedOn w:val="1"/>
    <w:autoRedefine/>
    <w:qFormat/>
    <w:uiPriority w:val="34"/>
    <w:rPr>
      <w:rFonts w:ascii="Calibri" w:hAnsi="Calibri"/>
      <w:szCs w:val="22"/>
    </w:rPr>
  </w:style>
  <w:style w:type="paragraph" w:customStyle="1" w:styleId="15">
    <w:name w:val="Char Char Char"/>
    <w:basedOn w:val="1"/>
    <w:autoRedefine/>
    <w:qFormat/>
    <w:uiPriority w:val="0"/>
    <w:rPr>
      <w:szCs w:val="21"/>
    </w:rPr>
  </w:style>
  <w:style w:type="paragraph" w:customStyle="1" w:styleId="16">
    <w:name w:val="Char Char Char Char Char Char Char Char Char Char Char Char Char Char Char Char"/>
    <w:basedOn w:val="1"/>
    <w:autoRedefine/>
    <w:qFormat/>
    <w:uiPriority w:val="0"/>
  </w:style>
  <w:style w:type="paragraph" w:customStyle="1" w:styleId="17">
    <w:name w:val="Char Char Char1"/>
    <w:basedOn w:val="1"/>
    <w:autoRedefine/>
    <w:qFormat/>
    <w:uiPriority w:val="0"/>
  </w:style>
  <w:style w:type="character" w:customStyle="1" w:styleId="18">
    <w:name w:val="页脚 Char"/>
    <w:basedOn w:val="11"/>
    <w:link w:val="4"/>
    <w:autoRedefine/>
    <w:qFormat/>
    <w:uiPriority w:val="0"/>
    <w:rPr>
      <w:kern w:val="2"/>
      <w:sz w:val="18"/>
      <w:szCs w:val="18"/>
    </w:rPr>
  </w:style>
  <w:style w:type="character" w:customStyle="1" w:styleId="19">
    <w:name w:val="页眉 Char"/>
    <w:basedOn w:val="11"/>
    <w:link w:val="5"/>
    <w:autoRedefine/>
    <w:qFormat/>
    <w:uiPriority w:val="0"/>
    <w:rPr>
      <w:kern w:val="2"/>
      <w:sz w:val="18"/>
      <w:szCs w:val="18"/>
    </w:rPr>
  </w:style>
  <w:style w:type="character" w:customStyle="1" w:styleId="20">
    <w:name w:val="未处理的提及1"/>
    <w:basedOn w:val="11"/>
    <w:autoRedefine/>
    <w:semiHidden/>
    <w:unhideWhenUsed/>
    <w:qFormat/>
    <w:uiPriority w:val="99"/>
    <w:rPr>
      <w:color w:val="605E5C"/>
      <w:shd w:val="clear" w:color="auto" w:fill="E1DFDD"/>
    </w:rPr>
  </w:style>
  <w:style w:type="paragraph" w:styleId="21">
    <w:name w:val="List Paragraph"/>
    <w:basedOn w:val="1"/>
    <w:autoRedefine/>
    <w:unhideWhenUsed/>
    <w:qFormat/>
    <w:uiPriority w:val="99"/>
  </w:style>
  <w:style w:type="character" w:customStyle="1" w:styleId="22">
    <w:name w:val="批注文字 Char"/>
    <w:basedOn w:val="11"/>
    <w:link w:val="3"/>
    <w:autoRedefine/>
    <w:qFormat/>
    <w:uiPriority w:val="0"/>
    <w:rPr>
      <w:kern w:val="2"/>
      <w:sz w:val="21"/>
      <w:szCs w:val="24"/>
    </w:rPr>
  </w:style>
  <w:style w:type="character" w:customStyle="1" w:styleId="23">
    <w:name w:val="批注主题 Char"/>
    <w:basedOn w:val="22"/>
    <w:link w:val="8"/>
    <w:autoRedefine/>
    <w:qFormat/>
    <w:uiPriority w:val="0"/>
    <w:rPr>
      <w:b/>
      <w:bCs/>
      <w:kern w:val="2"/>
      <w:sz w:val="21"/>
      <w:szCs w:val="24"/>
    </w:rPr>
  </w:style>
  <w:style w:type="paragraph" w:customStyle="1" w:styleId="24">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25">
    <w:name w:val="标题 1 Char"/>
    <w:basedOn w:val="11"/>
    <w:link w:val="2"/>
    <w:autoRedefine/>
    <w:qFormat/>
    <w:uiPriority w:val="0"/>
    <w:rPr>
      <w:b/>
      <w:bCs/>
      <w:kern w:val="44"/>
      <w:sz w:val="44"/>
      <w:szCs w:val="44"/>
    </w:rPr>
  </w:style>
  <w:style w:type="character" w:customStyle="1" w:styleId="26">
    <w:name w:val="标题 Char"/>
    <w:basedOn w:val="11"/>
    <w:link w:val="7"/>
    <w:autoRedefine/>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341</Words>
  <Characters>1945</Characters>
  <Lines>16</Lines>
  <Paragraphs>4</Paragraphs>
  <TotalTime>451</TotalTime>
  <ScaleCrop>false</ScaleCrop>
  <LinksUpToDate>false</LinksUpToDate>
  <CharactersWithSpaces>2282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2024-04-29T04:11:00Z</dcterms:created>
  <dc:creator>微软用户</dc:creator>
  <cp:lastModifiedBy>Shadows 。</cp:lastModifiedBy>
  <cp:lastPrinted>2014-02-21T05:34:00Z</cp:lastPrinted>
  <dcterms:modified xsi:type="dcterms:W3CDTF">2024-04-30T09:24:36Z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3378DF92D5494EA79182626F58817F75</vt:lpwstr>
  </property>
</Properties>
</file>