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rsidR="00F01EA1" w:rsidRDefault="00551C9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w:t>
      </w:r>
      <w:r w:rsidR="00DA47AD">
        <w:rPr>
          <w:rFonts w:asciiTheme="minorEastAsia" w:hAnsiTheme="minorEastAsia" w:hint="eastAsia"/>
          <w:sz w:val="24"/>
          <w:szCs w:val="28"/>
        </w:rPr>
        <w:t>2</w:t>
      </w:r>
      <w:r w:rsidR="00DA47AD">
        <w:rPr>
          <w:rFonts w:asciiTheme="minorEastAsia" w:hAnsiTheme="minorEastAsia"/>
          <w:sz w:val="24"/>
          <w:szCs w:val="28"/>
        </w:rPr>
        <w:t>024年</w:t>
      </w:r>
      <w:r w:rsidR="003F086D">
        <w:rPr>
          <w:rFonts w:asciiTheme="minorEastAsia" w:hAnsiTheme="minorEastAsia"/>
          <w:sz w:val="24"/>
          <w:szCs w:val="28"/>
        </w:rPr>
        <w:t>4</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F01EA1">
        <w:trPr>
          <w:trHeight w:val="2402"/>
        </w:trPr>
        <w:tc>
          <w:tcPr>
            <w:tcW w:w="1552" w:type="dxa"/>
            <w:vAlign w:val="center"/>
          </w:tcPr>
          <w:p w:rsidR="00F01EA1" w:rsidRDefault="00551C9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128" w:type="dxa"/>
            <w:vAlign w:val="center"/>
          </w:tcPr>
          <w:p w:rsidR="00F01EA1" w:rsidRDefault="00551C9C">
            <w:pPr>
              <w:pStyle w:val="TableParagraph"/>
              <w:numPr>
                <w:ilvl w:val="0"/>
                <w:numId w:val="1"/>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Pr>
                <w:rFonts w:asciiTheme="minorEastAsia" w:eastAsiaTheme="minorEastAsia" w:hAnsiTheme="minorEastAsia" w:hint="eastAsia"/>
                <w:sz w:val="24"/>
                <w:szCs w:val="24"/>
                <w:lang w:eastAsia="zh-CN"/>
              </w:rPr>
              <w:t xml:space="preserve"> </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rsidR="00F01EA1" w:rsidRDefault="00551C9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F01EA1">
        <w:trPr>
          <w:trHeight w:val="897"/>
        </w:trPr>
        <w:tc>
          <w:tcPr>
            <w:tcW w:w="1552" w:type="dxa"/>
            <w:vAlign w:val="center"/>
          </w:tcPr>
          <w:p w:rsidR="00F01EA1" w:rsidRDefault="00551C9C">
            <w:pPr>
              <w:pStyle w:val="TableParagraph"/>
              <w:spacing w:line="276" w:lineRule="auto"/>
              <w:ind w:left="113"/>
              <w:rPr>
                <w:rFonts w:asciiTheme="minorEastAsia" w:eastAsiaTheme="minorEastAsia" w:hAnsiTheme="minorEastAsia" w:cstheme="minorBidi"/>
                <w:kern w:val="2"/>
                <w:sz w:val="24"/>
                <w:szCs w:val="24"/>
                <w:lang w:val="en-US" w:bidi="ar-SA"/>
              </w:rPr>
            </w:pPr>
            <w:proofErr w:type="spellStart"/>
            <w:r>
              <w:rPr>
                <w:rFonts w:asciiTheme="minorEastAsia" w:eastAsiaTheme="minorEastAsia" w:hAnsiTheme="minorEastAsia" w:cstheme="minorBidi" w:hint="eastAsia"/>
                <w:kern w:val="2"/>
                <w:sz w:val="24"/>
                <w:szCs w:val="24"/>
                <w:lang w:val="en-US" w:bidi="ar-SA"/>
              </w:rPr>
              <w:t>参与单位名称</w:t>
            </w:r>
            <w:proofErr w:type="spellEnd"/>
          </w:p>
        </w:tc>
        <w:tc>
          <w:tcPr>
            <w:tcW w:w="7128" w:type="dxa"/>
            <w:vAlign w:val="center"/>
          </w:tcPr>
          <w:p w:rsidR="00F01EA1" w:rsidRPr="00CE4E12" w:rsidRDefault="003F086D">
            <w:pPr>
              <w:widowControl/>
              <w:spacing w:line="276" w:lineRule="auto"/>
              <w:rPr>
                <w:rFonts w:ascii="Arial" w:hAnsi="Arial" w:cs="Arial"/>
                <w:sz w:val="24"/>
                <w:szCs w:val="24"/>
                <w:lang w:eastAsia="zh-CN"/>
              </w:rPr>
            </w:pPr>
            <w:r>
              <w:rPr>
                <w:rFonts w:ascii="Arial" w:hAnsi="Arial" w:cs="Arial" w:hint="eastAsia"/>
                <w:sz w:val="24"/>
                <w:szCs w:val="24"/>
                <w:lang w:eastAsia="zh-CN"/>
              </w:rPr>
              <w:t>新思路</w:t>
            </w:r>
            <w:r>
              <w:rPr>
                <w:rFonts w:ascii="Arial" w:hAnsi="Arial" w:cs="Arial"/>
                <w:sz w:val="24"/>
                <w:szCs w:val="24"/>
                <w:lang w:eastAsia="zh-CN"/>
              </w:rPr>
              <w:t>投资</w:t>
            </w:r>
          </w:p>
        </w:tc>
      </w:tr>
      <w:tr w:rsidR="00F01EA1">
        <w:trPr>
          <w:trHeight w:val="625"/>
        </w:trPr>
        <w:tc>
          <w:tcPr>
            <w:tcW w:w="1552" w:type="dxa"/>
            <w:vAlign w:val="center"/>
          </w:tcPr>
          <w:p w:rsidR="00F01EA1" w:rsidRDefault="00551C9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7128" w:type="dxa"/>
            <w:vAlign w:val="center"/>
          </w:tcPr>
          <w:p w:rsidR="00F01EA1" w:rsidRPr="00CE4E12" w:rsidRDefault="003F086D">
            <w:pPr>
              <w:pStyle w:val="TableParagraph"/>
              <w:spacing w:before="4" w:line="360" w:lineRule="auto"/>
              <w:ind w:left="112"/>
              <w:jc w:val="both"/>
              <w:rPr>
                <w:rFonts w:ascii="Arial" w:eastAsiaTheme="minorEastAsia" w:hAnsi="Arial" w:cs="Arial"/>
                <w:sz w:val="24"/>
                <w:szCs w:val="24"/>
                <w:lang w:val="en-US" w:eastAsia="zh-CN"/>
              </w:rPr>
            </w:pPr>
            <w:r>
              <w:rPr>
                <w:rFonts w:ascii="Arial" w:eastAsiaTheme="minorEastAsia" w:hAnsi="Arial" w:cs="Arial"/>
                <w:sz w:val="24"/>
                <w:szCs w:val="24"/>
                <w:lang w:val="en-US" w:eastAsia="zh-CN"/>
              </w:rPr>
              <w:t>2024</w:t>
            </w:r>
            <w:r>
              <w:rPr>
                <w:rFonts w:ascii="Arial" w:eastAsiaTheme="minorEastAsia" w:hAnsi="Arial" w:cs="Arial"/>
                <w:sz w:val="24"/>
                <w:szCs w:val="24"/>
                <w:lang w:val="en-US" w:eastAsia="zh-CN"/>
              </w:rPr>
              <w:t>年</w:t>
            </w:r>
            <w:r>
              <w:rPr>
                <w:rFonts w:ascii="Arial" w:eastAsiaTheme="minorEastAsia" w:hAnsi="Arial" w:cs="Arial" w:hint="eastAsia"/>
                <w:sz w:val="24"/>
                <w:szCs w:val="24"/>
                <w:lang w:val="en-US" w:eastAsia="zh-CN"/>
              </w:rPr>
              <w:t>4</w:t>
            </w:r>
            <w:r>
              <w:rPr>
                <w:rFonts w:ascii="Arial" w:eastAsiaTheme="minorEastAsia" w:hAnsi="Arial" w:cs="Arial" w:hint="eastAsia"/>
                <w:sz w:val="24"/>
                <w:szCs w:val="24"/>
                <w:lang w:val="en-US" w:eastAsia="zh-CN"/>
              </w:rPr>
              <w:t>月</w:t>
            </w:r>
            <w:r>
              <w:rPr>
                <w:rFonts w:ascii="Arial" w:eastAsiaTheme="minorEastAsia" w:hAnsi="Arial" w:cs="Arial" w:hint="eastAsia"/>
                <w:sz w:val="24"/>
                <w:szCs w:val="24"/>
                <w:lang w:val="en-US" w:eastAsia="zh-CN"/>
              </w:rPr>
              <w:t>2</w:t>
            </w:r>
            <w:r>
              <w:rPr>
                <w:rFonts w:ascii="Arial" w:eastAsiaTheme="minorEastAsia" w:hAnsi="Arial" w:cs="Arial"/>
                <w:sz w:val="24"/>
                <w:szCs w:val="24"/>
                <w:lang w:val="en-US" w:eastAsia="zh-CN"/>
              </w:rPr>
              <w:t>6</w:t>
            </w:r>
            <w:r>
              <w:rPr>
                <w:rFonts w:ascii="Arial" w:eastAsiaTheme="minorEastAsia" w:hAnsi="Arial" w:cs="Arial"/>
                <w:sz w:val="24"/>
                <w:szCs w:val="24"/>
                <w:lang w:val="en-US" w:eastAsia="zh-CN"/>
              </w:rPr>
              <w:t>日</w:t>
            </w:r>
          </w:p>
        </w:tc>
      </w:tr>
      <w:tr w:rsidR="00F01EA1">
        <w:trPr>
          <w:trHeight w:val="699"/>
        </w:trPr>
        <w:tc>
          <w:tcPr>
            <w:tcW w:w="1552" w:type="dxa"/>
            <w:vAlign w:val="center"/>
          </w:tcPr>
          <w:p w:rsidR="00F01EA1" w:rsidRDefault="00551C9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rsidR="00F01EA1" w:rsidRPr="00CE4E12" w:rsidRDefault="003F3B5E" w:rsidP="003F3B5E">
            <w:pPr>
              <w:pStyle w:val="TableParagraph"/>
              <w:ind w:left="112"/>
              <w:rPr>
                <w:rFonts w:ascii="Arial" w:eastAsiaTheme="minorEastAsia" w:hAnsi="Arial" w:cs="Arial"/>
                <w:sz w:val="24"/>
                <w:szCs w:val="24"/>
                <w:lang w:eastAsia="zh-CN"/>
              </w:rPr>
            </w:pPr>
            <w:r w:rsidRPr="00CE4E12">
              <w:rPr>
                <w:rFonts w:ascii="Arial" w:eastAsiaTheme="minorEastAsia" w:hAnsi="Arial" w:cs="Arial"/>
                <w:sz w:val="24"/>
                <w:szCs w:val="24"/>
                <w:lang w:eastAsia="zh-CN"/>
              </w:rPr>
              <w:t>公司展厅参观、现场调研</w:t>
            </w:r>
          </w:p>
        </w:tc>
      </w:tr>
      <w:tr w:rsidR="00F01EA1">
        <w:trPr>
          <w:trHeight w:val="961"/>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rsidR="00F01EA1" w:rsidRPr="00CE4E12" w:rsidRDefault="00551C9C" w:rsidP="003F086D">
            <w:pPr>
              <w:pStyle w:val="TableParagraph"/>
              <w:spacing w:before="4"/>
              <w:ind w:left="112"/>
              <w:rPr>
                <w:rFonts w:ascii="Arial" w:eastAsiaTheme="minorEastAsia" w:hAnsi="Arial" w:cs="Arial"/>
                <w:sz w:val="24"/>
                <w:szCs w:val="24"/>
                <w:lang w:val="en-US" w:eastAsia="zh-CN"/>
              </w:rPr>
            </w:pPr>
            <w:r w:rsidRPr="00CE4E12">
              <w:rPr>
                <w:rFonts w:ascii="Arial" w:eastAsiaTheme="minorEastAsia" w:hAnsi="Arial" w:cs="Arial"/>
                <w:sz w:val="24"/>
                <w:szCs w:val="24"/>
                <w:lang w:val="en-US" w:eastAsia="zh-CN"/>
              </w:rPr>
              <w:t>董事会秘书、</w:t>
            </w:r>
            <w:proofErr w:type="gramStart"/>
            <w:r w:rsidRPr="00CE4E12">
              <w:rPr>
                <w:rFonts w:ascii="Arial" w:eastAsiaTheme="minorEastAsia" w:hAnsi="Arial" w:cs="Arial"/>
                <w:sz w:val="24"/>
                <w:szCs w:val="24"/>
                <w:lang w:val="en-US" w:eastAsia="zh-CN"/>
              </w:rPr>
              <w:t>投关总监</w:t>
            </w:r>
            <w:proofErr w:type="gramEnd"/>
          </w:p>
        </w:tc>
      </w:tr>
      <w:tr w:rsidR="00F01EA1">
        <w:trPr>
          <w:trHeight w:val="694"/>
        </w:trPr>
        <w:tc>
          <w:tcPr>
            <w:tcW w:w="1552" w:type="dxa"/>
            <w:vAlign w:val="center"/>
          </w:tcPr>
          <w:p w:rsidR="00F01EA1" w:rsidRDefault="00551C9C">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调研主要内容汇总</w:t>
            </w:r>
            <w:proofErr w:type="spellEnd"/>
          </w:p>
        </w:tc>
        <w:tc>
          <w:tcPr>
            <w:tcW w:w="7128" w:type="dxa"/>
            <w:vAlign w:val="center"/>
          </w:tcPr>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t>1</w:t>
            </w:r>
            <w:r w:rsidRPr="003F086D">
              <w:rPr>
                <w:rFonts w:ascii="Arial" w:hAnsi="Arial" w:cs="Arial" w:hint="eastAsia"/>
                <w:b/>
                <w:sz w:val="24"/>
                <w:szCs w:val="24"/>
                <w:lang w:eastAsia="zh-CN"/>
              </w:rPr>
              <w:t>、公司的核心竞争力、行业壁垒表现在哪些方面？</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矿山服务商的综合能力直接影响到矿山的经营成果、盈利能力，因此业主对服务商的选择非常慎重。公司深耕矿山服务行业，在科研、施工技术、充填技术、深部资源开发、装备及维修操作一体化和项目运营管理等方面积累了丰富的行业经验。通过对这些能力和经验的系统化综合运用，为矿山业主安全、高质量地实现矿山快速投产达产、缩短建设周期并节省建设投资是公司作为矿山服务商的核心能力。公司也凭借着卓越的执行力和优良的服务品质赢得了业主广泛的认可，在业内积累了较高的口碑和认可度。</w:t>
            </w:r>
          </w:p>
          <w:p w:rsidR="003F086D" w:rsidRPr="003F086D" w:rsidRDefault="003F086D" w:rsidP="003F086D">
            <w:pPr>
              <w:spacing w:line="360" w:lineRule="auto"/>
              <w:ind w:firstLineChars="200" w:firstLine="482"/>
              <w:rPr>
                <w:rFonts w:ascii="Arial" w:hAnsi="Arial" w:cs="Arial" w:hint="eastAsia"/>
                <w:sz w:val="24"/>
                <w:szCs w:val="24"/>
                <w:lang w:eastAsia="zh-CN"/>
              </w:rPr>
            </w:pPr>
            <w:r w:rsidRPr="003F086D">
              <w:rPr>
                <w:rFonts w:ascii="Arial" w:hAnsi="Arial" w:cs="Arial" w:hint="eastAsia"/>
                <w:b/>
                <w:sz w:val="24"/>
                <w:szCs w:val="24"/>
                <w:lang w:eastAsia="zh-CN"/>
              </w:rPr>
              <w:t>2</w:t>
            </w:r>
            <w:r w:rsidRPr="003F086D">
              <w:rPr>
                <w:rFonts w:ascii="Arial" w:hAnsi="Arial" w:cs="Arial" w:hint="eastAsia"/>
                <w:b/>
                <w:sz w:val="24"/>
                <w:szCs w:val="24"/>
                <w:lang w:eastAsia="zh-CN"/>
              </w:rPr>
              <w:t>、未来是否还有海外并购矿山的规划？</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长远来看，关注体量与公司规模相匹配的铜和贵金属资源。现阶段，我们认为通过在已有资源项目中进行勘探来增储是更加经济的资源获取方式。</w:t>
            </w:r>
          </w:p>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lastRenderedPageBreak/>
              <w:t>3</w:t>
            </w:r>
            <w:r w:rsidRPr="003F086D">
              <w:rPr>
                <w:rFonts w:ascii="Arial" w:hAnsi="Arial" w:cs="Arial" w:hint="eastAsia"/>
                <w:b/>
                <w:sz w:val="24"/>
                <w:szCs w:val="24"/>
                <w:lang w:eastAsia="zh-CN"/>
              </w:rPr>
              <w:t>、海外</w:t>
            </w:r>
            <w:proofErr w:type="gramStart"/>
            <w:r w:rsidRPr="003F086D">
              <w:rPr>
                <w:rFonts w:ascii="Arial" w:hAnsi="Arial" w:cs="Arial" w:hint="eastAsia"/>
                <w:b/>
                <w:sz w:val="24"/>
                <w:szCs w:val="24"/>
                <w:lang w:eastAsia="zh-CN"/>
              </w:rPr>
              <w:t>矿服占</w:t>
            </w:r>
            <w:proofErr w:type="gramEnd"/>
            <w:r w:rsidRPr="003F086D">
              <w:rPr>
                <w:rFonts w:ascii="Arial" w:hAnsi="Arial" w:cs="Arial" w:hint="eastAsia"/>
                <w:b/>
                <w:sz w:val="24"/>
                <w:szCs w:val="24"/>
                <w:lang w:eastAsia="zh-CN"/>
              </w:rPr>
              <w:t>比</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公司近年来大力发展海外市场，海外</w:t>
            </w:r>
            <w:proofErr w:type="gramStart"/>
            <w:r w:rsidRPr="003F086D">
              <w:rPr>
                <w:rFonts w:ascii="Arial" w:hAnsi="Arial" w:cs="Arial" w:hint="eastAsia"/>
                <w:sz w:val="24"/>
                <w:szCs w:val="24"/>
                <w:lang w:eastAsia="zh-CN"/>
              </w:rPr>
              <w:t>矿服业务占比逐步</w:t>
            </w:r>
            <w:proofErr w:type="gramEnd"/>
            <w:r w:rsidRPr="003F086D">
              <w:rPr>
                <w:rFonts w:ascii="Arial" w:hAnsi="Arial" w:cs="Arial" w:hint="eastAsia"/>
                <w:sz w:val="24"/>
                <w:szCs w:val="24"/>
                <w:lang w:eastAsia="zh-CN"/>
              </w:rPr>
              <w:t>提升，截止</w:t>
            </w:r>
            <w:r w:rsidRPr="003F086D">
              <w:rPr>
                <w:rFonts w:ascii="Arial" w:hAnsi="Arial" w:cs="Arial" w:hint="eastAsia"/>
                <w:sz w:val="24"/>
                <w:szCs w:val="24"/>
                <w:lang w:eastAsia="zh-CN"/>
              </w:rPr>
              <w:t>2023</w:t>
            </w:r>
            <w:r w:rsidRPr="003F086D">
              <w:rPr>
                <w:rFonts w:ascii="Arial" w:hAnsi="Arial" w:cs="Arial" w:hint="eastAsia"/>
                <w:sz w:val="24"/>
                <w:szCs w:val="24"/>
                <w:lang w:eastAsia="zh-CN"/>
              </w:rPr>
              <w:t>年底，海外</w:t>
            </w:r>
            <w:proofErr w:type="gramStart"/>
            <w:r w:rsidRPr="003F086D">
              <w:rPr>
                <w:rFonts w:ascii="Arial" w:hAnsi="Arial" w:cs="Arial" w:hint="eastAsia"/>
                <w:sz w:val="24"/>
                <w:szCs w:val="24"/>
                <w:lang w:eastAsia="zh-CN"/>
              </w:rPr>
              <w:t>矿服收入</w:t>
            </w:r>
            <w:proofErr w:type="gramEnd"/>
            <w:r w:rsidRPr="003F086D">
              <w:rPr>
                <w:rFonts w:ascii="Arial" w:hAnsi="Arial" w:cs="Arial" w:hint="eastAsia"/>
                <w:sz w:val="24"/>
                <w:szCs w:val="24"/>
                <w:lang w:eastAsia="zh-CN"/>
              </w:rPr>
              <w:t>占公司</w:t>
            </w:r>
            <w:proofErr w:type="gramStart"/>
            <w:r w:rsidRPr="003F086D">
              <w:rPr>
                <w:rFonts w:ascii="Arial" w:hAnsi="Arial" w:cs="Arial" w:hint="eastAsia"/>
                <w:sz w:val="24"/>
                <w:szCs w:val="24"/>
                <w:lang w:eastAsia="zh-CN"/>
              </w:rPr>
              <w:t>矿服业务</w:t>
            </w:r>
            <w:proofErr w:type="gramEnd"/>
            <w:r w:rsidRPr="003F086D">
              <w:rPr>
                <w:rFonts w:ascii="Arial" w:hAnsi="Arial" w:cs="Arial" w:hint="eastAsia"/>
                <w:sz w:val="24"/>
                <w:szCs w:val="24"/>
                <w:lang w:eastAsia="zh-CN"/>
              </w:rPr>
              <w:t>收入的比重已达到</w:t>
            </w:r>
            <w:r w:rsidRPr="003F086D">
              <w:rPr>
                <w:rFonts w:ascii="Arial" w:hAnsi="Arial" w:cs="Arial" w:hint="eastAsia"/>
                <w:sz w:val="24"/>
                <w:szCs w:val="24"/>
                <w:lang w:eastAsia="zh-CN"/>
              </w:rPr>
              <w:t>62.96%</w:t>
            </w:r>
            <w:r w:rsidRPr="003F086D">
              <w:rPr>
                <w:rFonts w:ascii="Arial" w:hAnsi="Arial" w:cs="Arial" w:hint="eastAsia"/>
                <w:sz w:val="24"/>
                <w:szCs w:val="24"/>
                <w:lang w:eastAsia="zh-CN"/>
              </w:rPr>
              <w:t>。</w:t>
            </w:r>
          </w:p>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t>4</w:t>
            </w:r>
            <w:r w:rsidRPr="003F086D">
              <w:rPr>
                <w:rFonts w:ascii="Arial" w:hAnsi="Arial" w:cs="Arial" w:hint="eastAsia"/>
                <w:b/>
                <w:sz w:val="24"/>
                <w:szCs w:val="24"/>
                <w:lang w:eastAsia="zh-CN"/>
              </w:rPr>
              <w:t>、</w:t>
            </w:r>
            <w:proofErr w:type="gramStart"/>
            <w:r w:rsidRPr="003F086D">
              <w:rPr>
                <w:rFonts w:ascii="Arial" w:hAnsi="Arial" w:cs="Arial" w:hint="eastAsia"/>
                <w:b/>
                <w:sz w:val="24"/>
                <w:szCs w:val="24"/>
                <w:lang w:eastAsia="zh-CN"/>
              </w:rPr>
              <w:t>矿服合同</w:t>
            </w:r>
            <w:proofErr w:type="gramEnd"/>
            <w:r w:rsidRPr="003F086D">
              <w:rPr>
                <w:rFonts w:ascii="Arial" w:hAnsi="Arial" w:cs="Arial" w:hint="eastAsia"/>
                <w:b/>
                <w:sz w:val="24"/>
                <w:szCs w:val="24"/>
                <w:lang w:eastAsia="zh-CN"/>
              </w:rPr>
              <w:t>期限</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基建合同一般按照工期来签；采矿合同视具体项目情况，有的在框架协议下定期签署施工协议、有的三年到五年签署一次、有的项目一年一签。</w:t>
            </w:r>
          </w:p>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t>5</w:t>
            </w:r>
            <w:r w:rsidRPr="003F086D">
              <w:rPr>
                <w:rFonts w:ascii="Arial" w:hAnsi="Arial" w:cs="Arial" w:hint="eastAsia"/>
                <w:b/>
                <w:sz w:val="24"/>
                <w:szCs w:val="24"/>
                <w:lang w:eastAsia="zh-CN"/>
              </w:rPr>
              <w:t>、资源品种</w:t>
            </w:r>
            <w:proofErr w:type="gramStart"/>
            <w:r w:rsidRPr="003F086D">
              <w:rPr>
                <w:rFonts w:ascii="Arial" w:hAnsi="Arial" w:cs="Arial" w:hint="eastAsia"/>
                <w:b/>
                <w:sz w:val="24"/>
                <w:szCs w:val="24"/>
                <w:lang w:eastAsia="zh-CN"/>
              </w:rPr>
              <w:t>对矿服的</w:t>
            </w:r>
            <w:proofErr w:type="gramEnd"/>
            <w:r w:rsidRPr="003F086D">
              <w:rPr>
                <w:rFonts w:ascii="Arial" w:hAnsi="Arial" w:cs="Arial" w:hint="eastAsia"/>
                <w:b/>
                <w:sz w:val="24"/>
                <w:szCs w:val="24"/>
                <w:lang w:eastAsia="zh-CN"/>
              </w:rPr>
              <w:t>定价是否有影响？</w:t>
            </w:r>
          </w:p>
          <w:p w:rsidR="003F086D" w:rsidRPr="003F086D" w:rsidRDefault="003F086D" w:rsidP="003F086D">
            <w:pPr>
              <w:spacing w:line="360" w:lineRule="auto"/>
              <w:ind w:firstLineChars="200" w:firstLine="480"/>
              <w:rPr>
                <w:rFonts w:ascii="Arial" w:hAnsi="Arial" w:cs="Arial" w:hint="eastAsia"/>
                <w:sz w:val="24"/>
                <w:szCs w:val="24"/>
                <w:lang w:eastAsia="zh-CN"/>
              </w:rPr>
            </w:pPr>
            <w:proofErr w:type="gramStart"/>
            <w:r w:rsidRPr="003F086D">
              <w:rPr>
                <w:rFonts w:ascii="Arial" w:hAnsi="Arial" w:cs="Arial" w:hint="eastAsia"/>
                <w:sz w:val="24"/>
                <w:szCs w:val="24"/>
                <w:lang w:eastAsia="zh-CN"/>
              </w:rPr>
              <w:t>矿服采用</w:t>
            </w:r>
            <w:proofErr w:type="gramEnd"/>
            <w:r w:rsidRPr="003F086D">
              <w:rPr>
                <w:rFonts w:ascii="Arial" w:hAnsi="Arial" w:cs="Arial" w:hint="eastAsia"/>
                <w:sz w:val="24"/>
                <w:szCs w:val="24"/>
                <w:lang w:eastAsia="zh-CN"/>
              </w:rPr>
              <w:t>成本加成的方式进行定价，价格与资源禀赋、开采的技术难度和开采成本有关。不同的资源品种，受上述因素影响，定价可能有一定的差异。</w:t>
            </w:r>
          </w:p>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t>6</w:t>
            </w:r>
            <w:r w:rsidRPr="003F086D">
              <w:rPr>
                <w:rFonts w:ascii="Arial" w:hAnsi="Arial" w:cs="Arial" w:hint="eastAsia"/>
                <w:b/>
                <w:sz w:val="24"/>
                <w:szCs w:val="24"/>
                <w:lang w:eastAsia="zh-CN"/>
              </w:rPr>
              <w:t>、不同种类的资源，矿山开发服务在技术方面是否有差异？</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我们的业务范围是非煤地下固体矿山的开发服务业务，非煤、固体各类矿种的生产和开采技术基本上是相通的。</w:t>
            </w:r>
          </w:p>
          <w:p w:rsidR="003F086D" w:rsidRPr="003F086D" w:rsidRDefault="003F086D" w:rsidP="003F086D">
            <w:pPr>
              <w:spacing w:line="360" w:lineRule="auto"/>
              <w:ind w:firstLineChars="200" w:firstLine="482"/>
              <w:rPr>
                <w:rFonts w:ascii="Arial" w:hAnsi="Arial" w:cs="Arial" w:hint="eastAsia"/>
                <w:b/>
                <w:sz w:val="24"/>
                <w:szCs w:val="24"/>
                <w:lang w:eastAsia="zh-CN"/>
              </w:rPr>
            </w:pPr>
            <w:r w:rsidRPr="003F086D">
              <w:rPr>
                <w:rFonts w:ascii="Arial" w:hAnsi="Arial" w:cs="Arial" w:hint="eastAsia"/>
                <w:b/>
                <w:sz w:val="24"/>
                <w:szCs w:val="24"/>
                <w:lang w:eastAsia="zh-CN"/>
              </w:rPr>
              <w:t>7</w:t>
            </w:r>
            <w:r w:rsidRPr="003F086D">
              <w:rPr>
                <w:rFonts w:ascii="Arial" w:hAnsi="Arial" w:cs="Arial" w:hint="eastAsia"/>
                <w:b/>
                <w:sz w:val="24"/>
                <w:szCs w:val="24"/>
                <w:lang w:eastAsia="zh-CN"/>
              </w:rPr>
              <w:t>、海外用人问题</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p w:rsidR="003F086D" w:rsidRPr="003F086D" w:rsidRDefault="003F086D" w:rsidP="003F086D">
            <w:pPr>
              <w:spacing w:line="360" w:lineRule="auto"/>
              <w:ind w:firstLineChars="200" w:firstLine="482"/>
              <w:rPr>
                <w:rFonts w:ascii="Arial" w:hAnsi="Arial" w:cs="Arial" w:hint="eastAsia"/>
                <w:b/>
                <w:sz w:val="24"/>
                <w:szCs w:val="24"/>
                <w:lang w:eastAsia="zh-CN"/>
              </w:rPr>
            </w:pPr>
            <w:bookmarkStart w:id="0" w:name="_GoBack"/>
            <w:r w:rsidRPr="003F086D">
              <w:rPr>
                <w:rFonts w:ascii="Arial" w:hAnsi="Arial" w:cs="Arial" w:hint="eastAsia"/>
                <w:b/>
                <w:sz w:val="24"/>
                <w:szCs w:val="24"/>
                <w:lang w:eastAsia="zh-CN"/>
              </w:rPr>
              <w:t>8</w:t>
            </w:r>
            <w:r w:rsidRPr="003F086D">
              <w:rPr>
                <w:rFonts w:ascii="Arial" w:hAnsi="Arial" w:cs="Arial" w:hint="eastAsia"/>
                <w:b/>
                <w:sz w:val="24"/>
                <w:szCs w:val="24"/>
                <w:lang w:eastAsia="zh-CN"/>
              </w:rPr>
              <w:t>、应收</w:t>
            </w:r>
            <w:proofErr w:type="gramStart"/>
            <w:r w:rsidRPr="003F086D">
              <w:rPr>
                <w:rFonts w:ascii="Arial" w:hAnsi="Arial" w:cs="Arial" w:hint="eastAsia"/>
                <w:b/>
                <w:sz w:val="24"/>
                <w:szCs w:val="24"/>
                <w:lang w:eastAsia="zh-CN"/>
              </w:rPr>
              <w:t>款账期</w:t>
            </w:r>
            <w:proofErr w:type="gramEnd"/>
          </w:p>
          <w:bookmarkEnd w:id="0"/>
          <w:p w:rsidR="003F086D" w:rsidRPr="003F086D" w:rsidRDefault="003F086D" w:rsidP="003F086D">
            <w:pPr>
              <w:spacing w:line="360" w:lineRule="auto"/>
              <w:ind w:firstLineChars="200" w:firstLine="480"/>
              <w:rPr>
                <w:rFonts w:ascii="Arial" w:hAnsi="Arial" w:cs="Arial" w:hint="eastAsia"/>
                <w:sz w:val="24"/>
                <w:szCs w:val="24"/>
                <w:lang w:eastAsia="zh-CN"/>
              </w:rPr>
            </w:pPr>
            <w:proofErr w:type="gramStart"/>
            <w:r w:rsidRPr="003F086D">
              <w:rPr>
                <w:rFonts w:ascii="Arial" w:hAnsi="Arial" w:cs="Arial" w:hint="eastAsia"/>
                <w:sz w:val="24"/>
                <w:szCs w:val="24"/>
                <w:lang w:eastAsia="zh-CN"/>
              </w:rPr>
              <w:t>矿服业务</w:t>
            </w:r>
            <w:proofErr w:type="gramEnd"/>
            <w:r w:rsidRPr="003F086D">
              <w:rPr>
                <w:rFonts w:ascii="Arial" w:hAnsi="Arial" w:cs="Arial" w:hint="eastAsia"/>
                <w:sz w:val="24"/>
                <w:szCs w:val="24"/>
                <w:lang w:eastAsia="zh-CN"/>
              </w:rPr>
              <w:t>按照行业惯例，应收账款分为应收工程进度款、应收工程进度扣款（保留金）和应收质量保证金。其中：</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1</w:t>
            </w:r>
            <w:r w:rsidRPr="003F086D">
              <w:rPr>
                <w:rFonts w:ascii="Arial" w:hAnsi="Arial" w:cs="Arial" w:hint="eastAsia"/>
                <w:sz w:val="24"/>
                <w:szCs w:val="24"/>
                <w:lang w:eastAsia="zh-CN"/>
              </w:rPr>
              <w:t>）工程进度款系根据合同约定，每月按照完成的工作量进行结算需支付一定比例的工程款。应收部分主要由结算和支付的时间差造成。</w:t>
            </w:r>
            <w:r w:rsidRPr="003F086D">
              <w:rPr>
                <w:rFonts w:ascii="Arial" w:hAnsi="Arial" w:cs="Arial" w:hint="eastAsia"/>
                <w:sz w:val="24"/>
                <w:szCs w:val="24"/>
                <w:lang w:eastAsia="zh-CN"/>
              </w:rPr>
              <w:t xml:space="preserve"> </w:t>
            </w:r>
          </w:p>
          <w:p w:rsidR="003F086D" w:rsidRPr="003F086D" w:rsidRDefault="003F086D" w:rsidP="003F086D">
            <w:pPr>
              <w:spacing w:line="360" w:lineRule="auto"/>
              <w:ind w:firstLineChars="200" w:firstLine="480"/>
              <w:rPr>
                <w:rFonts w:ascii="Arial" w:hAnsi="Arial" w:cs="Arial" w:hint="eastAsia"/>
                <w:sz w:val="24"/>
                <w:szCs w:val="24"/>
                <w:lang w:eastAsia="zh-CN"/>
              </w:rPr>
            </w:pPr>
            <w:r w:rsidRPr="003F086D">
              <w:rPr>
                <w:rFonts w:ascii="Arial" w:hAnsi="Arial" w:cs="Arial" w:hint="eastAsia"/>
                <w:sz w:val="24"/>
                <w:szCs w:val="24"/>
                <w:lang w:eastAsia="zh-CN"/>
              </w:rPr>
              <w:t>2</w:t>
            </w:r>
            <w:r w:rsidRPr="003F086D">
              <w:rPr>
                <w:rFonts w:ascii="Arial" w:hAnsi="Arial" w:cs="Arial" w:hint="eastAsia"/>
                <w:sz w:val="24"/>
                <w:szCs w:val="24"/>
                <w:lang w:eastAsia="zh-CN"/>
              </w:rPr>
              <w:t>）工程进度扣款（保留金），为根据合同约定，在进行结算时，业主按照一定比例扣留与公司结算的工程进度款作为工程保留金，待工程竣工验收合格（基建合同）或年度结算后（采矿合同）一并支付</w:t>
            </w:r>
            <w:r w:rsidRPr="003F086D">
              <w:rPr>
                <w:rFonts w:ascii="Arial" w:hAnsi="Arial" w:cs="Arial" w:hint="eastAsia"/>
                <w:sz w:val="24"/>
                <w:szCs w:val="24"/>
                <w:lang w:eastAsia="zh-CN"/>
              </w:rPr>
              <w:lastRenderedPageBreak/>
              <w:t>给公司。</w:t>
            </w:r>
          </w:p>
          <w:p w:rsidR="003F3B5E" w:rsidRPr="001262DD" w:rsidRDefault="003F086D" w:rsidP="003F086D">
            <w:pPr>
              <w:tabs>
                <w:tab w:val="left" w:pos="738"/>
              </w:tabs>
              <w:spacing w:line="360" w:lineRule="auto"/>
              <w:ind w:firstLineChars="200" w:firstLine="480"/>
              <w:rPr>
                <w:rFonts w:asciiTheme="minorEastAsia" w:hAnsiTheme="minorEastAsia"/>
                <w:sz w:val="24"/>
                <w:szCs w:val="24"/>
                <w:lang w:eastAsia="zh-CN"/>
              </w:rPr>
            </w:pPr>
            <w:r w:rsidRPr="003F086D">
              <w:rPr>
                <w:rFonts w:ascii="Arial" w:hAnsi="Arial" w:cs="Arial" w:hint="eastAsia"/>
                <w:sz w:val="24"/>
                <w:szCs w:val="24"/>
                <w:lang w:eastAsia="zh-CN"/>
              </w:rPr>
              <w:t>3</w:t>
            </w:r>
            <w:r w:rsidRPr="003F086D">
              <w:rPr>
                <w:rFonts w:ascii="Arial" w:hAnsi="Arial" w:cs="Arial" w:hint="eastAsia"/>
                <w:sz w:val="24"/>
                <w:szCs w:val="24"/>
                <w:lang w:eastAsia="zh-CN"/>
              </w:rPr>
              <w:t>）质量保证金，对于基建合同，业主会按照合同约定比例扣留部分工程进度款作为工程质量保证金，扣留时间视合同期限长短确定，待工程竣工验收合格一年后支付给公司。</w:t>
            </w:r>
          </w:p>
        </w:tc>
      </w:tr>
    </w:tbl>
    <w:p w:rsidR="00F01EA1" w:rsidRDefault="00F01EA1">
      <w:pPr>
        <w:widowControl/>
        <w:jc w:val="left"/>
        <w:rPr>
          <w:rFonts w:asciiTheme="minorEastAsia" w:hAnsiTheme="minorEastAsia"/>
          <w:sz w:val="24"/>
          <w:szCs w:val="24"/>
        </w:rPr>
      </w:pPr>
    </w:p>
    <w:sectPr w:rsidR="00F01E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32" w:rsidRDefault="004E3A32">
      <w:r>
        <w:separator/>
      </w:r>
    </w:p>
  </w:endnote>
  <w:endnote w:type="continuationSeparator" w:id="0">
    <w:p w:rsidR="004E3A32" w:rsidRDefault="004E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32" w:rsidRDefault="004E3A32">
      <w:r>
        <w:separator/>
      </w:r>
    </w:p>
  </w:footnote>
  <w:footnote w:type="continuationSeparator" w:id="0">
    <w:p w:rsidR="004E3A32" w:rsidRDefault="004E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6F2C"/>
    <w:multiLevelType w:val="multilevel"/>
    <w:tmpl w:val="26AA6F2C"/>
    <w:lvl w:ilvl="0">
      <w:start w:val="1"/>
      <w:numFmt w:val="bullet"/>
      <w:suff w:val="nothing"/>
      <w:lvlText w:val=""/>
      <w:lvlJc w:val="left"/>
      <w:pPr>
        <w:ind w:left="532" w:hanging="420"/>
      </w:pPr>
      <w:rPr>
        <w:rFonts w:ascii="Wingdings" w:hAnsi="Wingdings" w:hint="default"/>
      </w:rPr>
    </w:lvl>
    <w:lvl w:ilvl="1">
      <w:start w:val="1"/>
      <w:numFmt w:val="bullet"/>
      <w:lvlText w:val=""/>
      <w:lvlJc w:val="left"/>
      <w:pPr>
        <w:ind w:left="952" w:hanging="420"/>
      </w:pPr>
      <w:rPr>
        <w:rFonts w:ascii="Wingdings" w:hAnsi="Wingdings" w:hint="default"/>
      </w:rPr>
    </w:lvl>
    <w:lvl w:ilvl="2">
      <w:start w:val="1"/>
      <w:numFmt w:val="bullet"/>
      <w:lvlText w:val=""/>
      <w:lvlJc w:val="left"/>
      <w:pPr>
        <w:ind w:left="1372" w:hanging="420"/>
      </w:pPr>
      <w:rPr>
        <w:rFonts w:ascii="Wingdings" w:hAnsi="Wingdings" w:hint="default"/>
      </w:rPr>
    </w:lvl>
    <w:lvl w:ilvl="3">
      <w:start w:val="1"/>
      <w:numFmt w:val="bullet"/>
      <w:lvlText w:val=""/>
      <w:lvlJc w:val="left"/>
      <w:pPr>
        <w:ind w:left="1792" w:hanging="420"/>
      </w:pPr>
      <w:rPr>
        <w:rFonts w:ascii="Wingdings" w:hAnsi="Wingdings" w:hint="default"/>
      </w:rPr>
    </w:lvl>
    <w:lvl w:ilvl="4">
      <w:start w:val="1"/>
      <w:numFmt w:val="bullet"/>
      <w:lvlText w:val=""/>
      <w:lvlJc w:val="left"/>
      <w:pPr>
        <w:ind w:left="2212" w:hanging="420"/>
      </w:pPr>
      <w:rPr>
        <w:rFonts w:ascii="Wingdings" w:hAnsi="Wingdings" w:hint="default"/>
      </w:rPr>
    </w:lvl>
    <w:lvl w:ilvl="5">
      <w:start w:val="1"/>
      <w:numFmt w:val="bullet"/>
      <w:lvlText w:val=""/>
      <w:lvlJc w:val="left"/>
      <w:pPr>
        <w:ind w:left="2632" w:hanging="420"/>
      </w:pPr>
      <w:rPr>
        <w:rFonts w:ascii="Wingdings" w:hAnsi="Wingdings" w:hint="default"/>
      </w:rPr>
    </w:lvl>
    <w:lvl w:ilvl="6">
      <w:start w:val="1"/>
      <w:numFmt w:val="bullet"/>
      <w:lvlText w:val=""/>
      <w:lvlJc w:val="left"/>
      <w:pPr>
        <w:ind w:left="3052" w:hanging="420"/>
      </w:pPr>
      <w:rPr>
        <w:rFonts w:ascii="Wingdings" w:hAnsi="Wingdings" w:hint="default"/>
      </w:rPr>
    </w:lvl>
    <w:lvl w:ilvl="7">
      <w:start w:val="1"/>
      <w:numFmt w:val="bullet"/>
      <w:lvlText w:val=""/>
      <w:lvlJc w:val="left"/>
      <w:pPr>
        <w:ind w:left="3472" w:hanging="420"/>
      </w:pPr>
      <w:rPr>
        <w:rFonts w:ascii="Wingdings" w:hAnsi="Wingdings" w:hint="default"/>
      </w:rPr>
    </w:lvl>
    <w:lvl w:ilvl="8">
      <w:start w:val="1"/>
      <w:numFmt w:val="bullet"/>
      <w:lvlText w:val=""/>
      <w:lvlJc w:val="left"/>
      <w:pPr>
        <w:ind w:left="3892" w:hanging="420"/>
      </w:pPr>
      <w:rPr>
        <w:rFonts w:ascii="Wingdings" w:hAnsi="Wingdings" w:hint="default"/>
      </w:rPr>
    </w:lvl>
  </w:abstractNum>
  <w:abstractNum w:abstractNumId="1" w15:restartNumberingAfterBreak="0">
    <w:nsid w:val="4A850976"/>
    <w:multiLevelType w:val="multilevel"/>
    <w:tmpl w:val="4A850976"/>
    <w:lvl w:ilvl="0">
      <w:start w:val="1"/>
      <w:numFmt w:val="decimal"/>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MzdmYmI5ZjQ3OTkyNjllYzJjYjk3ZWIwOWI1YzkifQ=="/>
  </w:docVars>
  <w:rsids>
    <w:rsidRoot w:val="001F3D24"/>
    <w:rsid w:val="00000B9F"/>
    <w:rsid w:val="000044B2"/>
    <w:rsid w:val="00005A90"/>
    <w:rsid w:val="00011F6D"/>
    <w:rsid w:val="00015DAA"/>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195B"/>
    <w:rsid w:val="00113CBC"/>
    <w:rsid w:val="00115DA9"/>
    <w:rsid w:val="001215B2"/>
    <w:rsid w:val="001262DD"/>
    <w:rsid w:val="00127FBD"/>
    <w:rsid w:val="00132BA1"/>
    <w:rsid w:val="0014384C"/>
    <w:rsid w:val="0016124A"/>
    <w:rsid w:val="00162D58"/>
    <w:rsid w:val="0016491F"/>
    <w:rsid w:val="00172045"/>
    <w:rsid w:val="0017241B"/>
    <w:rsid w:val="001730A2"/>
    <w:rsid w:val="00174D1C"/>
    <w:rsid w:val="001865BD"/>
    <w:rsid w:val="00190F17"/>
    <w:rsid w:val="00192555"/>
    <w:rsid w:val="00194807"/>
    <w:rsid w:val="001A1C4C"/>
    <w:rsid w:val="001A5434"/>
    <w:rsid w:val="001A6EDB"/>
    <w:rsid w:val="001B3497"/>
    <w:rsid w:val="001D110D"/>
    <w:rsid w:val="001D2148"/>
    <w:rsid w:val="001D2ACE"/>
    <w:rsid w:val="001D301F"/>
    <w:rsid w:val="001D4975"/>
    <w:rsid w:val="001F1DD4"/>
    <w:rsid w:val="001F3D24"/>
    <w:rsid w:val="00200985"/>
    <w:rsid w:val="002013F4"/>
    <w:rsid w:val="00202713"/>
    <w:rsid w:val="002048C6"/>
    <w:rsid w:val="00217632"/>
    <w:rsid w:val="00220C67"/>
    <w:rsid w:val="002228E5"/>
    <w:rsid w:val="00226DF0"/>
    <w:rsid w:val="00231F83"/>
    <w:rsid w:val="00237F9E"/>
    <w:rsid w:val="00246553"/>
    <w:rsid w:val="00254649"/>
    <w:rsid w:val="0025747C"/>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037F6"/>
    <w:rsid w:val="00310262"/>
    <w:rsid w:val="00311EAC"/>
    <w:rsid w:val="00315190"/>
    <w:rsid w:val="00321F72"/>
    <w:rsid w:val="00331F0C"/>
    <w:rsid w:val="0034001F"/>
    <w:rsid w:val="003566BA"/>
    <w:rsid w:val="003622B8"/>
    <w:rsid w:val="003624DF"/>
    <w:rsid w:val="003629D1"/>
    <w:rsid w:val="00367D04"/>
    <w:rsid w:val="00367DB9"/>
    <w:rsid w:val="003702C6"/>
    <w:rsid w:val="00373D14"/>
    <w:rsid w:val="00376AE7"/>
    <w:rsid w:val="003779D3"/>
    <w:rsid w:val="003805CF"/>
    <w:rsid w:val="003844B6"/>
    <w:rsid w:val="0039221B"/>
    <w:rsid w:val="003A142F"/>
    <w:rsid w:val="003A2483"/>
    <w:rsid w:val="003B1E7C"/>
    <w:rsid w:val="003B20D4"/>
    <w:rsid w:val="003C0A37"/>
    <w:rsid w:val="003C4C29"/>
    <w:rsid w:val="003D037B"/>
    <w:rsid w:val="003D59D3"/>
    <w:rsid w:val="003D609A"/>
    <w:rsid w:val="003E5568"/>
    <w:rsid w:val="003F086D"/>
    <w:rsid w:val="003F223C"/>
    <w:rsid w:val="003F3B5E"/>
    <w:rsid w:val="004011DD"/>
    <w:rsid w:val="00402C59"/>
    <w:rsid w:val="004072E8"/>
    <w:rsid w:val="004126A7"/>
    <w:rsid w:val="00412899"/>
    <w:rsid w:val="0041457D"/>
    <w:rsid w:val="004324A5"/>
    <w:rsid w:val="00436D6C"/>
    <w:rsid w:val="00442DCD"/>
    <w:rsid w:val="00456942"/>
    <w:rsid w:val="00460C13"/>
    <w:rsid w:val="0046579D"/>
    <w:rsid w:val="00471214"/>
    <w:rsid w:val="0048337B"/>
    <w:rsid w:val="00486345"/>
    <w:rsid w:val="004906DE"/>
    <w:rsid w:val="00493958"/>
    <w:rsid w:val="00495D65"/>
    <w:rsid w:val="004A699A"/>
    <w:rsid w:val="004B2252"/>
    <w:rsid w:val="004C06FE"/>
    <w:rsid w:val="004C2EF9"/>
    <w:rsid w:val="004D0AE9"/>
    <w:rsid w:val="004D1E8C"/>
    <w:rsid w:val="004D4CB1"/>
    <w:rsid w:val="004E3A32"/>
    <w:rsid w:val="004E482C"/>
    <w:rsid w:val="004F1485"/>
    <w:rsid w:val="00513606"/>
    <w:rsid w:val="00525465"/>
    <w:rsid w:val="00526A32"/>
    <w:rsid w:val="00540C52"/>
    <w:rsid w:val="0054117C"/>
    <w:rsid w:val="00541608"/>
    <w:rsid w:val="00551C9C"/>
    <w:rsid w:val="00553554"/>
    <w:rsid w:val="00556A08"/>
    <w:rsid w:val="0055738A"/>
    <w:rsid w:val="00571CA2"/>
    <w:rsid w:val="00573838"/>
    <w:rsid w:val="00575E92"/>
    <w:rsid w:val="00577E5A"/>
    <w:rsid w:val="00582003"/>
    <w:rsid w:val="005832C0"/>
    <w:rsid w:val="00583702"/>
    <w:rsid w:val="005840D3"/>
    <w:rsid w:val="00596061"/>
    <w:rsid w:val="00597676"/>
    <w:rsid w:val="005B2DC9"/>
    <w:rsid w:val="005B4018"/>
    <w:rsid w:val="005D37A0"/>
    <w:rsid w:val="005D522B"/>
    <w:rsid w:val="005E530E"/>
    <w:rsid w:val="006017C8"/>
    <w:rsid w:val="00606C53"/>
    <w:rsid w:val="00616DAE"/>
    <w:rsid w:val="006173BB"/>
    <w:rsid w:val="0062265A"/>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2B21"/>
    <w:rsid w:val="006A6CC7"/>
    <w:rsid w:val="006B40F1"/>
    <w:rsid w:val="006C15B5"/>
    <w:rsid w:val="006C1A31"/>
    <w:rsid w:val="006D0991"/>
    <w:rsid w:val="006D499B"/>
    <w:rsid w:val="006D7F9B"/>
    <w:rsid w:val="006E356D"/>
    <w:rsid w:val="006E49EC"/>
    <w:rsid w:val="006E4E80"/>
    <w:rsid w:val="006E5B7C"/>
    <w:rsid w:val="006F025D"/>
    <w:rsid w:val="006F131E"/>
    <w:rsid w:val="006F5BE6"/>
    <w:rsid w:val="006F6482"/>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14E60"/>
    <w:rsid w:val="00824C56"/>
    <w:rsid w:val="00851DE8"/>
    <w:rsid w:val="008579DC"/>
    <w:rsid w:val="0088101C"/>
    <w:rsid w:val="008831FC"/>
    <w:rsid w:val="008914A5"/>
    <w:rsid w:val="008A0C7A"/>
    <w:rsid w:val="008B01F8"/>
    <w:rsid w:val="008B1EC5"/>
    <w:rsid w:val="008C0E58"/>
    <w:rsid w:val="008C27F1"/>
    <w:rsid w:val="008C35F9"/>
    <w:rsid w:val="008E18F2"/>
    <w:rsid w:val="008E2A56"/>
    <w:rsid w:val="008E7851"/>
    <w:rsid w:val="008F3344"/>
    <w:rsid w:val="008F7019"/>
    <w:rsid w:val="008F7D80"/>
    <w:rsid w:val="0090109E"/>
    <w:rsid w:val="0090169F"/>
    <w:rsid w:val="00903674"/>
    <w:rsid w:val="0092382D"/>
    <w:rsid w:val="00937BD0"/>
    <w:rsid w:val="00942052"/>
    <w:rsid w:val="009428E2"/>
    <w:rsid w:val="00942C8F"/>
    <w:rsid w:val="009446EE"/>
    <w:rsid w:val="009449AA"/>
    <w:rsid w:val="00945BA2"/>
    <w:rsid w:val="00945F65"/>
    <w:rsid w:val="0095159A"/>
    <w:rsid w:val="00956D4C"/>
    <w:rsid w:val="009576D3"/>
    <w:rsid w:val="0096292A"/>
    <w:rsid w:val="00964A9E"/>
    <w:rsid w:val="00967007"/>
    <w:rsid w:val="0096743B"/>
    <w:rsid w:val="00970E12"/>
    <w:rsid w:val="00974466"/>
    <w:rsid w:val="0098570E"/>
    <w:rsid w:val="00987F7C"/>
    <w:rsid w:val="00990EA1"/>
    <w:rsid w:val="00995253"/>
    <w:rsid w:val="0099656F"/>
    <w:rsid w:val="009A33EC"/>
    <w:rsid w:val="009A7377"/>
    <w:rsid w:val="009B44D2"/>
    <w:rsid w:val="009C3371"/>
    <w:rsid w:val="009C35BF"/>
    <w:rsid w:val="009C7B5C"/>
    <w:rsid w:val="009D6B21"/>
    <w:rsid w:val="009E67A5"/>
    <w:rsid w:val="00A01B1A"/>
    <w:rsid w:val="00A01C7F"/>
    <w:rsid w:val="00A02D2F"/>
    <w:rsid w:val="00A055E3"/>
    <w:rsid w:val="00A079AE"/>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622"/>
    <w:rsid w:val="00AA6F26"/>
    <w:rsid w:val="00AB0289"/>
    <w:rsid w:val="00AB06C4"/>
    <w:rsid w:val="00AC2FE3"/>
    <w:rsid w:val="00AC5A80"/>
    <w:rsid w:val="00AC65FC"/>
    <w:rsid w:val="00AC661E"/>
    <w:rsid w:val="00AD2DE2"/>
    <w:rsid w:val="00AD3B15"/>
    <w:rsid w:val="00AE1879"/>
    <w:rsid w:val="00AE4770"/>
    <w:rsid w:val="00AE6BA4"/>
    <w:rsid w:val="00AF7433"/>
    <w:rsid w:val="00B02E19"/>
    <w:rsid w:val="00B03E0B"/>
    <w:rsid w:val="00B06300"/>
    <w:rsid w:val="00B300D5"/>
    <w:rsid w:val="00B32A26"/>
    <w:rsid w:val="00B351C6"/>
    <w:rsid w:val="00B4022D"/>
    <w:rsid w:val="00B411A2"/>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45FD"/>
    <w:rsid w:val="00C4677F"/>
    <w:rsid w:val="00C474D9"/>
    <w:rsid w:val="00C50191"/>
    <w:rsid w:val="00C56B60"/>
    <w:rsid w:val="00C74BB1"/>
    <w:rsid w:val="00C75F5C"/>
    <w:rsid w:val="00CA052E"/>
    <w:rsid w:val="00CB78D7"/>
    <w:rsid w:val="00CC1132"/>
    <w:rsid w:val="00CC12FE"/>
    <w:rsid w:val="00CC17C9"/>
    <w:rsid w:val="00CC2510"/>
    <w:rsid w:val="00CC5EEA"/>
    <w:rsid w:val="00CC6EFA"/>
    <w:rsid w:val="00CD0C48"/>
    <w:rsid w:val="00CD5F26"/>
    <w:rsid w:val="00CE2D0E"/>
    <w:rsid w:val="00CE2F81"/>
    <w:rsid w:val="00CE4E12"/>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A04"/>
    <w:rsid w:val="00D60ED2"/>
    <w:rsid w:val="00D66D76"/>
    <w:rsid w:val="00D67867"/>
    <w:rsid w:val="00D70AFD"/>
    <w:rsid w:val="00D71A2C"/>
    <w:rsid w:val="00D720FE"/>
    <w:rsid w:val="00D76F3F"/>
    <w:rsid w:val="00D8002D"/>
    <w:rsid w:val="00D81408"/>
    <w:rsid w:val="00D82780"/>
    <w:rsid w:val="00D838B6"/>
    <w:rsid w:val="00D8571C"/>
    <w:rsid w:val="00D92B4D"/>
    <w:rsid w:val="00DA2DD3"/>
    <w:rsid w:val="00DA47AD"/>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3F52"/>
    <w:rsid w:val="00EB5557"/>
    <w:rsid w:val="00EB7EAA"/>
    <w:rsid w:val="00EC4688"/>
    <w:rsid w:val="00EC675A"/>
    <w:rsid w:val="00ED4BC3"/>
    <w:rsid w:val="00EE2AFD"/>
    <w:rsid w:val="00EE520A"/>
    <w:rsid w:val="00EF000B"/>
    <w:rsid w:val="00F01EA1"/>
    <w:rsid w:val="00F033A7"/>
    <w:rsid w:val="00F10E0F"/>
    <w:rsid w:val="00F12609"/>
    <w:rsid w:val="00F15559"/>
    <w:rsid w:val="00F21C70"/>
    <w:rsid w:val="00F37414"/>
    <w:rsid w:val="00F37EB4"/>
    <w:rsid w:val="00F42EF3"/>
    <w:rsid w:val="00F458B5"/>
    <w:rsid w:val="00F557B4"/>
    <w:rsid w:val="00F57C60"/>
    <w:rsid w:val="00F743E9"/>
    <w:rsid w:val="00F77E8B"/>
    <w:rsid w:val="00FA6860"/>
    <w:rsid w:val="00FA797C"/>
    <w:rsid w:val="00FA7DD4"/>
    <w:rsid w:val="00FB5728"/>
    <w:rsid w:val="00FD299D"/>
    <w:rsid w:val="00FE3D29"/>
    <w:rsid w:val="02D50705"/>
    <w:rsid w:val="035E39F9"/>
    <w:rsid w:val="0C8E2713"/>
    <w:rsid w:val="17710C9F"/>
    <w:rsid w:val="2243299B"/>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B6A1A-57EF-4416-BCF2-54CF238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D28B-F669-4E36-AC80-5E917B87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232</cp:revision>
  <cp:lastPrinted>2023-08-01T08:51:00Z</cp:lastPrinted>
  <dcterms:created xsi:type="dcterms:W3CDTF">2022-04-22T07:41:00Z</dcterms:created>
  <dcterms:modified xsi:type="dcterms:W3CDTF">2024-05-06T09:32:00Z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789F25911BCC4D47A9B069E5AB7FBA1A</vt:lpwstr>
  </property>
</Properties>
</file>