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1" w:line="219" w:lineRule="auto"/>
        <w:ind w:left="23"/>
        <w:rPr>
          <w:rFonts w:hint="default" w:ascii="Arial Narrow" w:hAnsi="Arial Narrow" w:eastAsia="宋体" w:cs="宋体"/>
          <w:sz w:val="24"/>
          <w:szCs w:val="24"/>
          <w:lang w:val="en-US" w:eastAsia="zh-CN"/>
        </w:rPr>
      </w:pPr>
      <w:r>
        <w:rPr>
          <w:rFonts w:ascii="Arial Narrow" w:hAnsi="Arial Narrow" w:eastAsia="宋体" w:cs="宋体"/>
          <w:sz w:val="24"/>
          <w:szCs w:val="24"/>
          <w:lang w:eastAsia="zh-CN"/>
        </w:rPr>
        <w:t>证券代码：60</w:t>
      </w:r>
      <w:r>
        <w:rPr>
          <w:rFonts w:hint="eastAsia" w:ascii="Arial Narrow" w:hAnsi="Arial Narrow" w:eastAsia="宋体" w:cs="宋体"/>
          <w:sz w:val="24"/>
          <w:szCs w:val="24"/>
          <w:lang w:eastAsia="zh-CN"/>
        </w:rPr>
        <w:t>0438</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ascii="Arial Narrow" w:hAnsi="Arial Narrow" w:eastAsia="宋体" w:cs="宋体"/>
          <w:spacing w:val="-1"/>
          <w:sz w:val="24"/>
          <w:szCs w:val="24"/>
          <w:lang w:eastAsia="zh-CN"/>
        </w:rPr>
        <w:t>证券简称：</w:t>
      </w:r>
      <w:r>
        <w:rPr>
          <w:rFonts w:hint="eastAsia" w:ascii="Arial Narrow" w:hAnsi="Arial Narrow" w:eastAsia="宋体" w:cs="宋体"/>
          <w:spacing w:val="-1"/>
          <w:sz w:val="24"/>
          <w:szCs w:val="24"/>
          <w:lang w:eastAsia="zh-CN"/>
        </w:rPr>
        <w:t>通威股份</w:t>
      </w:r>
      <w:r>
        <w:rPr>
          <w:rFonts w:hint="eastAsia" w:ascii="Arial Narrow" w:hAnsi="Arial Narrow" w:eastAsia="宋体" w:cs="宋体"/>
          <w:spacing w:val="-1"/>
          <w:sz w:val="24"/>
          <w:szCs w:val="24"/>
          <w:lang w:val="en-US" w:eastAsia="zh-CN"/>
        </w:rPr>
        <w:t xml:space="preserve">                                        编号：2024-01</w:t>
      </w:r>
    </w:p>
    <w:p>
      <w:pPr>
        <w:keepNext w:val="0"/>
        <w:keepLines w:val="0"/>
        <w:pageBreakBefore w:val="0"/>
        <w:widowControl/>
        <w:kinsoku w:val="0"/>
        <w:wordWrap/>
        <w:overflowPunct/>
        <w:topLinePunct w:val="0"/>
        <w:autoSpaceDE w:val="0"/>
        <w:autoSpaceDN w:val="0"/>
        <w:bidi w:val="0"/>
        <w:adjustRightInd w:val="0"/>
        <w:snapToGrid w:val="0"/>
        <w:spacing w:before="0" w:beforeLines="200" w:line="360" w:lineRule="auto"/>
        <w:ind w:left="0" w:right="0" w:firstLine="0"/>
        <w:jc w:val="center"/>
        <w:textAlignment w:val="baseline"/>
        <w:outlineLvl w:val="0"/>
        <w:rPr>
          <w:rFonts w:ascii="Arial Narrow" w:hAnsi="Arial Narrow" w:eastAsia="宋体" w:cs="宋体"/>
          <w:spacing w:val="3"/>
          <w:sz w:val="32"/>
          <w:szCs w:val="32"/>
          <w:lang w:eastAsia="zh-CN"/>
        </w:rPr>
      </w:pPr>
      <w:r>
        <w:rPr>
          <w:rFonts w:hint="eastAsia" w:ascii="Arial Narrow" w:hAnsi="Arial Narrow" w:eastAsia="宋体" w:cs="宋体"/>
          <w:b/>
          <w:bCs/>
          <w:spacing w:val="-4"/>
          <w:sz w:val="32"/>
          <w:szCs w:val="32"/>
          <w:lang w:eastAsia="zh-CN"/>
        </w:rPr>
        <w:t>通威股份</w:t>
      </w:r>
      <w:r>
        <w:rPr>
          <w:rFonts w:ascii="Arial Narrow" w:hAnsi="Arial Narrow" w:eastAsia="宋体" w:cs="宋体"/>
          <w:b/>
          <w:bCs/>
          <w:spacing w:val="-4"/>
          <w:sz w:val="32"/>
          <w:szCs w:val="32"/>
          <w:lang w:eastAsia="zh-CN"/>
        </w:rPr>
        <w:t>股份有限公司</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0"/>
        <w:jc w:val="center"/>
        <w:textAlignment w:val="baseline"/>
        <w:outlineLvl w:val="0"/>
        <w:rPr>
          <w:rFonts w:ascii="Arial Narrow" w:hAnsi="Arial Narrow" w:eastAsia="宋体" w:cs="宋体"/>
          <w:sz w:val="32"/>
          <w:szCs w:val="32"/>
          <w:lang w:eastAsia="zh-CN"/>
        </w:rPr>
      </w:pPr>
      <w:r>
        <w:rPr>
          <w:rFonts w:ascii="Arial Narrow" w:hAnsi="Arial Narrow" w:eastAsia="宋体" w:cs="宋体"/>
          <w:b/>
          <w:bCs/>
          <w:spacing w:val="-3"/>
          <w:sz w:val="32"/>
          <w:szCs w:val="32"/>
          <w:lang w:eastAsia="zh-CN"/>
        </w:rPr>
        <w:t>投资者关系活动记录表</w:t>
      </w:r>
    </w:p>
    <w:p>
      <w:pPr>
        <w:spacing w:line="69" w:lineRule="exact"/>
        <w:rPr>
          <w:rFonts w:ascii="Arial Narrow" w:hAnsi="Arial Narrow" w:eastAsia="宋体"/>
          <w:lang w:eastAsia="zh-CN"/>
        </w:rPr>
      </w:pPr>
    </w:p>
    <w:tbl>
      <w:tblPr>
        <w:tblStyle w:val="6"/>
        <w:tblW w:w="502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006"/>
        <w:gridCol w:w="3859"/>
        <w:gridCol w:w="39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9" w:hRule="atLeast"/>
        </w:trPr>
        <w:tc>
          <w:tcPr>
            <w:tcW w:w="1024" w:type="pct"/>
            <w:vAlign w:val="center"/>
          </w:tcPr>
          <w:p>
            <w:pPr>
              <w:pStyle w:val="7"/>
              <w:spacing w:before="78" w:line="347" w:lineRule="auto"/>
              <w:ind w:left="118" w:right="109" w:firstLine="1"/>
              <w:jc w:val="left"/>
              <w:rPr>
                <w:rFonts w:ascii="Arial Narrow" w:hAnsi="Arial Narrow" w:eastAsia="宋体"/>
              </w:rPr>
            </w:pPr>
            <w:r>
              <w:rPr>
                <w:rFonts w:ascii="Arial Narrow" w:hAnsi="Arial Narrow" w:eastAsia="宋体"/>
                <w:spacing w:val="27"/>
              </w:rPr>
              <w:t>投资者关系活</w:t>
            </w:r>
            <w:r>
              <w:rPr>
                <w:rFonts w:ascii="Arial Narrow" w:hAnsi="Arial Narrow" w:eastAsia="宋体"/>
                <w:spacing w:val="-3"/>
              </w:rPr>
              <w:t>动类别</w:t>
            </w:r>
          </w:p>
        </w:tc>
        <w:tc>
          <w:tcPr>
            <w:tcW w:w="1970" w:type="pct"/>
            <w:tcBorders>
              <w:right w:val="nil"/>
            </w:tcBorders>
          </w:tcPr>
          <w:p>
            <w:pPr>
              <w:pStyle w:val="7"/>
              <w:spacing w:before="117" w:line="220" w:lineRule="auto"/>
              <w:ind w:left="137"/>
              <w:rPr>
                <w:rFonts w:ascii="Arial Narrow" w:hAnsi="Arial Narrow" w:eastAsia="宋体"/>
                <w:lang w:eastAsia="zh-CN"/>
              </w:rPr>
            </w:pPr>
            <w:r>
              <w:rPr>
                <w:rFonts w:ascii="Arial Narrow" w:hAnsi="Arial Narrow" w:eastAsia="宋体"/>
                <w:spacing w:val="-6"/>
                <w:lang w:eastAsia="zh-CN"/>
              </w:rPr>
              <w:t>■</w:t>
            </w:r>
            <w:r>
              <w:rPr>
                <w:rFonts w:ascii="Arial Narrow" w:hAnsi="Arial Narrow" w:eastAsia="宋体"/>
                <w:spacing w:val="-5"/>
                <w:lang w:eastAsia="zh-CN"/>
              </w:rPr>
              <w:t>特定对象调研</w:t>
            </w:r>
          </w:p>
          <w:p>
            <w:pPr>
              <w:pStyle w:val="7"/>
              <w:spacing w:before="182" w:line="219" w:lineRule="auto"/>
              <w:ind w:left="137"/>
              <w:rPr>
                <w:rFonts w:ascii="Arial Narrow" w:hAnsi="Arial Narrow" w:eastAsia="宋体"/>
                <w:lang w:eastAsia="zh-CN"/>
              </w:rPr>
            </w:pPr>
            <w:r>
              <w:rPr>
                <w:rFonts w:ascii="Arial Narrow" w:hAnsi="Arial Narrow" w:eastAsia="宋体"/>
                <w:spacing w:val="-6"/>
                <w:lang w:eastAsia="zh-CN"/>
              </w:rPr>
              <w:t>□媒体采访</w:t>
            </w:r>
          </w:p>
          <w:p>
            <w:pPr>
              <w:pStyle w:val="7"/>
              <w:spacing w:before="183" w:line="219" w:lineRule="auto"/>
              <w:ind w:left="137"/>
              <w:rPr>
                <w:rFonts w:ascii="Arial Narrow" w:hAnsi="Arial Narrow" w:eastAsia="宋体"/>
                <w:lang w:eastAsia="zh-CN"/>
              </w:rPr>
            </w:pPr>
            <w:r>
              <w:rPr>
                <w:rFonts w:ascii="Arial Narrow" w:hAnsi="Arial Narrow" w:eastAsia="宋体"/>
                <w:spacing w:val="-5"/>
                <w:lang w:eastAsia="zh-CN"/>
              </w:rPr>
              <w:t>□新闻发布会</w:t>
            </w:r>
          </w:p>
          <w:p>
            <w:pPr>
              <w:pStyle w:val="7"/>
              <w:spacing w:before="183" w:line="220" w:lineRule="auto"/>
              <w:ind w:left="137"/>
              <w:rPr>
                <w:rFonts w:ascii="Arial Narrow" w:hAnsi="Arial Narrow" w:eastAsia="宋体"/>
                <w:lang w:eastAsia="zh-CN"/>
              </w:rPr>
            </w:pPr>
            <w:r>
              <w:rPr>
                <w:rFonts w:ascii="Arial Narrow" w:hAnsi="Arial Narrow" w:eastAsia="宋体"/>
                <w:spacing w:val="-5"/>
                <w:lang w:eastAsia="zh-CN"/>
              </w:rPr>
              <w:t>□</w:t>
            </w:r>
            <w:r>
              <w:rPr>
                <w:rFonts w:ascii="Arial Narrow" w:hAnsi="Arial Narrow" w:eastAsia="宋体"/>
                <w:spacing w:val="-6"/>
                <w:lang w:eastAsia="zh-CN"/>
              </w:rPr>
              <w:t>现场参观</w:t>
            </w:r>
          </w:p>
          <w:p>
            <w:pPr>
              <w:pStyle w:val="7"/>
              <w:spacing w:before="182" w:line="220" w:lineRule="auto"/>
              <w:ind w:left="137"/>
              <w:rPr>
                <w:rFonts w:hint="default" w:ascii="Arial Narrow" w:hAnsi="Arial Narrow" w:eastAsia="宋体"/>
                <w:lang w:val="en-US" w:eastAsia="zh-CN"/>
              </w:rPr>
            </w:pPr>
            <w:r>
              <w:rPr>
                <w:rFonts w:ascii="Arial Narrow" w:hAnsi="Arial Narrow" w:eastAsia="宋体"/>
                <w:spacing w:val="-6"/>
                <w:lang w:eastAsia="zh-CN"/>
              </w:rPr>
              <w:t>■</w:t>
            </w:r>
            <w:r>
              <w:rPr>
                <w:rFonts w:ascii="Arial Narrow" w:hAnsi="Arial Narrow" w:eastAsia="宋体"/>
                <w:spacing w:val="-12"/>
                <w:lang w:eastAsia="zh-CN"/>
              </w:rPr>
              <w:t>其他</w:t>
            </w:r>
            <w:r>
              <w:rPr>
                <w:rFonts w:hint="eastAsia" w:ascii="Arial Narrow" w:hAnsi="Arial Narrow"/>
                <w:spacing w:val="-12"/>
                <w:lang w:eastAsia="zh-CN"/>
              </w:rPr>
              <w:t>：</w:t>
            </w:r>
            <w:r>
              <w:rPr>
                <w:rFonts w:hint="eastAsia" w:ascii="Arial Narrow" w:hAnsi="Arial Narrow" w:eastAsia="宋体"/>
                <w:u w:val="single"/>
                <w:lang w:eastAsia="zh-CN"/>
              </w:rPr>
              <w:t>线上会议</w:t>
            </w:r>
            <w:r>
              <w:rPr>
                <w:rFonts w:hint="eastAsia" w:ascii="Arial Narrow" w:hAnsi="Arial Narrow"/>
                <w:u w:val="single"/>
                <w:lang w:eastAsia="zh-CN"/>
              </w:rPr>
              <w:t>、</w:t>
            </w:r>
            <w:r>
              <w:rPr>
                <w:rFonts w:hint="eastAsia" w:ascii="Arial Narrow" w:hAnsi="Arial Narrow"/>
                <w:u w:val="single"/>
                <w:lang w:val="en-US" w:eastAsia="zh-CN"/>
              </w:rPr>
              <w:t>策略会</w:t>
            </w:r>
          </w:p>
        </w:tc>
        <w:tc>
          <w:tcPr>
            <w:tcW w:w="2005" w:type="pct"/>
            <w:tcBorders>
              <w:left w:val="nil"/>
            </w:tcBorders>
          </w:tcPr>
          <w:p>
            <w:pPr>
              <w:pStyle w:val="7"/>
              <w:spacing w:before="117" w:line="219" w:lineRule="auto"/>
              <w:ind w:left="197"/>
              <w:rPr>
                <w:rFonts w:ascii="Arial Narrow" w:hAnsi="Arial Narrow" w:eastAsia="宋体"/>
                <w:lang w:eastAsia="zh-CN"/>
              </w:rPr>
            </w:pPr>
            <w:r>
              <w:rPr>
                <w:rFonts w:ascii="Arial Narrow" w:hAnsi="Arial Narrow" w:eastAsia="宋体"/>
                <w:spacing w:val="-5"/>
                <w:lang w:eastAsia="zh-CN"/>
              </w:rPr>
              <w:t>□分析师会议</w:t>
            </w:r>
          </w:p>
          <w:p>
            <w:pPr>
              <w:pStyle w:val="7"/>
              <w:spacing w:before="183" w:line="219" w:lineRule="auto"/>
              <w:ind w:left="197"/>
              <w:rPr>
                <w:rFonts w:ascii="Arial Narrow" w:hAnsi="Arial Narrow" w:eastAsia="宋体"/>
                <w:lang w:eastAsia="zh-CN"/>
              </w:rPr>
            </w:pPr>
            <w:r>
              <w:rPr>
                <w:rFonts w:ascii="Arial Narrow" w:hAnsi="Arial Narrow" w:eastAsia="宋体"/>
                <w:spacing w:val="-5"/>
                <w:lang w:eastAsia="zh-CN"/>
              </w:rPr>
              <w:t>□</w:t>
            </w:r>
            <w:r>
              <w:rPr>
                <w:rFonts w:ascii="Arial Narrow" w:hAnsi="Arial Narrow" w:eastAsia="宋体"/>
                <w:spacing w:val="-6"/>
                <w:lang w:eastAsia="zh-CN"/>
              </w:rPr>
              <w:t>业绩说明会</w:t>
            </w:r>
          </w:p>
          <w:p>
            <w:pPr>
              <w:pStyle w:val="7"/>
              <w:spacing w:before="182" w:line="220" w:lineRule="auto"/>
              <w:ind w:left="197"/>
              <w:rPr>
                <w:rFonts w:ascii="Arial Narrow" w:hAnsi="Arial Narrow" w:eastAsia="宋体"/>
              </w:rPr>
            </w:pPr>
            <w:r>
              <w:rPr>
                <w:rFonts w:ascii="Arial Narrow" w:hAnsi="Arial Narrow" w:eastAsia="宋体"/>
                <w:spacing w:val="-6"/>
              </w:rPr>
              <w:t>□路演活动</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1" w:hRule="atLeast"/>
        </w:trPr>
        <w:tc>
          <w:tcPr>
            <w:tcW w:w="1024" w:type="pct"/>
            <w:vAlign w:val="center"/>
          </w:tcPr>
          <w:p>
            <w:pPr>
              <w:pStyle w:val="7"/>
              <w:spacing w:before="78" w:line="347" w:lineRule="auto"/>
              <w:ind w:left="116" w:right="109" w:firstLine="2"/>
              <w:jc w:val="both"/>
              <w:rPr>
                <w:rFonts w:ascii="Arial Narrow" w:hAnsi="Arial Narrow" w:eastAsia="宋体"/>
                <w:lang w:eastAsia="zh-CN"/>
              </w:rPr>
            </w:pPr>
            <w:r>
              <w:rPr>
                <w:rFonts w:ascii="Arial Narrow" w:hAnsi="Arial Narrow" w:eastAsia="宋体"/>
                <w:spacing w:val="28"/>
                <w:lang w:eastAsia="zh-CN"/>
              </w:rPr>
              <w:t>参与单位名称</w:t>
            </w:r>
            <w:r>
              <w:rPr>
                <w:rFonts w:ascii="Arial Narrow" w:hAnsi="Arial Narrow" w:eastAsia="宋体"/>
                <w:spacing w:val="-2"/>
                <w:lang w:eastAsia="zh-CN"/>
              </w:rPr>
              <w:t>及人员姓名</w:t>
            </w:r>
          </w:p>
        </w:tc>
        <w:tc>
          <w:tcPr>
            <w:tcW w:w="3975" w:type="pct"/>
            <w:gridSpan w:val="2"/>
          </w:tcPr>
          <w:p>
            <w:pPr>
              <w:pStyle w:val="7"/>
              <w:numPr>
                <w:ilvl w:val="0"/>
                <w:numId w:val="1"/>
              </w:numPr>
              <w:spacing w:before="109" w:line="345" w:lineRule="auto"/>
              <w:ind w:right="23"/>
              <w:jc w:val="both"/>
              <w:rPr>
                <w:rFonts w:ascii="Arial Narrow" w:hAnsi="Arial Narrow" w:eastAsia="宋体"/>
                <w:b/>
                <w:bCs/>
                <w:lang w:eastAsia="zh-CN"/>
              </w:rPr>
            </w:pPr>
            <w:r>
              <w:rPr>
                <w:rFonts w:hint="eastAsia" w:ascii="Arial Narrow" w:hAnsi="Arial Narrow" w:eastAsia="宋体"/>
                <w:b/>
                <w:bCs/>
                <w:spacing w:val="-2"/>
                <w:lang w:eastAsia="zh-CN"/>
              </w:rPr>
              <w:t>现场调研</w:t>
            </w:r>
          </w:p>
          <w:p>
            <w:pPr>
              <w:pStyle w:val="7"/>
              <w:spacing w:before="109" w:line="276" w:lineRule="auto"/>
              <w:ind w:left="136" w:right="23" w:firstLine="240" w:firstLineChars="100"/>
              <w:jc w:val="both"/>
              <w:rPr>
                <w:rFonts w:ascii="Arial Narrow" w:hAnsi="Arial Narrow" w:eastAsia="宋体"/>
                <w:lang w:eastAsia="zh-CN"/>
              </w:rPr>
            </w:pPr>
            <w:r>
              <w:rPr>
                <w:rFonts w:hint="eastAsia" w:ascii="Arial Narrow" w:hAnsi="Arial Narrow" w:eastAsia="宋体"/>
                <w:lang w:eastAsia="zh-CN"/>
              </w:rPr>
              <w:t>本月公司在成都总部接待的机构有博时基金、国寿养老基金等。</w:t>
            </w:r>
          </w:p>
          <w:p>
            <w:pPr>
              <w:pStyle w:val="7"/>
              <w:numPr>
                <w:ilvl w:val="0"/>
                <w:numId w:val="1"/>
              </w:numPr>
              <w:spacing w:before="109" w:line="345" w:lineRule="auto"/>
              <w:ind w:right="23"/>
              <w:jc w:val="both"/>
              <w:rPr>
                <w:rFonts w:ascii="Arial Narrow" w:hAnsi="Arial Narrow" w:eastAsia="宋体"/>
                <w:b/>
                <w:bCs/>
                <w:lang w:eastAsia="zh-CN"/>
              </w:rPr>
            </w:pPr>
            <w:r>
              <w:rPr>
                <w:rFonts w:hint="eastAsia" w:ascii="Arial Narrow" w:hAnsi="Arial Narrow" w:eastAsia="宋体"/>
                <w:b/>
                <w:bCs/>
                <w:spacing w:val="-2"/>
                <w:lang w:eastAsia="zh-CN"/>
              </w:rPr>
              <w:t>线上会议</w:t>
            </w:r>
          </w:p>
          <w:p>
            <w:pPr>
              <w:pStyle w:val="7"/>
              <w:spacing w:before="109" w:line="276" w:lineRule="auto"/>
              <w:ind w:left="136" w:right="23" w:firstLine="240" w:firstLineChars="100"/>
              <w:jc w:val="both"/>
              <w:rPr>
                <w:rFonts w:hint="default" w:ascii="Arial Narrow" w:hAnsi="Arial Narrow" w:eastAsia="宋体"/>
                <w:lang w:val="en-US" w:eastAsia="zh-CN"/>
              </w:rPr>
            </w:pPr>
            <w:r>
              <w:rPr>
                <w:rFonts w:hint="eastAsia" w:ascii="Arial Narrow" w:hAnsi="Arial Narrow" w:eastAsia="宋体"/>
                <w:lang w:eastAsia="zh-CN"/>
              </w:rPr>
              <w:t>本月公司与摩根</w:t>
            </w:r>
            <w:r>
              <w:rPr>
                <w:rFonts w:hint="eastAsia" w:ascii="Arial Narrow" w:hAnsi="Arial Narrow"/>
                <w:lang w:val="en-US" w:eastAsia="zh-CN"/>
              </w:rPr>
              <w:t>资产管理</w:t>
            </w:r>
            <w:r>
              <w:rPr>
                <w:rFonts w:hint="eastAsia" w:ascii="Arial Narrow" w:hAnsi="Arial Narrow" w:eastAsia="宋体"/>
                <w:lang w:eastAsia="zh-CN"/>
              </w:rPr>
              <w:t>、鑫巢资本、BAM资产、富国基金、浙商证券、中信里昂证券等机构进行了线上交流</w:t>
            </w:r>
            <w:r>
              <w:rPr>
                <w:rFonts w:hint="eastAsia" w:ascii="Arial Narrow" w:hAnsi="Arial Narrow"/>
                <w:lang w:eastAsia="zh-CN"/>
              </w:rPr>
              <w:t>。</w:t>
            </w:r>
          </w:p>
          <w:p>
            <w:pPr>
              <w:pStyle w:val="7"/>
              <w:numPr>
                <w:ilvl w:val="0"/>
                <w:numId w:val="1"/>
              </w:numPr>
              <w:spacing w:before="109" w:line="345" w:lineRule="auto"/>
              <w:ind w:right="23"/>
              <w:jc w:val="both"/>
              <w:rPr>
                <w:rFonts w:ascii="Arial Narrow" w:hAnsi="Arial Narrow" w:eastAsia="宋体"/>
                <w:b/>
                <w:bCs/>
                <w:lang w:eastAsia="zh-CN"/>
              </w:rPr>
            </w:pPr>
            <w:r>
              <w:rPr>
                <w:rFonts w:hint="eastAsia" w:ascii="Arial Narrow" w:hAnsi="Arial Narrow" w:eastAsia="宋体"/>
                <w:b/>
                <w:bCs/>
                <w:spacing w:val="-2"/>
                <w:lang w:eastAsia="zh-CN"/>
              </w:rPr>
              <w:t>策略会</w:t>
            </w:r>
          </w:p>
          <w:p>
            <w:pPr>
              <w:pStyle w:val="7"/>
              <w:spacing w:before="109" w:line="276" w:lineRule="auto"/>
              <w:ind w:left="136" w:right="23" w:firstLine="240" w:firstLineChars="100"/>
              <w:jc w:val="both"/>
              <w:rPr>
                <w:rFonts w:ascii="Arial Narrow" w:hAnsi="Arial Narrow" w:eastAsia="宋体"/>
                <w:lang w:eastAsia="zh-CN"/>
              </w:rPr>
            </w:pPr>
            <w:r>
              <w:rPr>
                <w:rFonts w:hint="eastAsia" w:ascii="Arial Narrow" w:hAnsi="Arial Narrow" w:eastAsia="宋体"/>
                <w:lang w:eastAsia="zh-CN"/>
              </w:rPr>
              <w:t>本月公司参加了汇丰前海证券及摩根士丹利证券组织的策略会，参加策略会并与公司交流的投资机构有富达基金、Point72、Perseverance Asset、Grand Alliance Asset</w:t>
            </w:r>
            <w:r>
              <w:rPr>
                <w:rFonts w:hint="eastAsia" w:ascii="Arial Narrow" w:hAnsi="Arial Narrow"/>
                <w:lang w:val="en-US" w:eastAsia="zh-CN"/>
              </w:rPr>
              <w:t xml:space="preserve"> Management</w:t>
            </w:r>
            <w:r>
              <w:rPr>
                <w:rFonts w:hint="eastAsia" w:ascii="Arial Narrow" w:hAnsi="Arial Narrow" w:eastAsia="宋体"/>
                <w:lang w:eastAsia="zh-CN"/>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024" w:type="pct"/>
          </w:tcPr>
          <w:p>
            <w:pPr>
              <w:pStyle w:val="7"/>
              <w:spacing w:before="148" w:line="222" w:lineRule="auto"/>
              <w:ind w:left="128"/>
              <w:rPr>
                <w:rFonts w:ascii="Arial Narrow" w:hAnsi="Arial Narrow" w:eastAsia="宋体"/>
              </w:rPr>
            </w:pPr>
            <w:r>
              <w:rPr>
                <w:rFonts w:ascii="Arial Narrow" w:hAnsi="Arial Narrow" w:eastAsia="宋体"/>
                <w:spacing w:val="-6"/>
              </w:rPr>
              <w:t>时间</w:t>
            </w:r>
          </w:p>
        </w:tc>
        <w:tc>
          <w:tcPr>
            <w:tcW w:w="3975" w:type="pct"/>
            <w:gridSpan w:val="2"/>
          </w:tcPr>
          <w:p>
            <w:pPr>
              <w:pStyle w:val="7"/>
              <w:spacing w:before="148" w:line="220" w:lineRule="auto"/>
              <w:ind w:left="116"/>
              <w:rPr>
                <w:rFonts w:hint="default" w:ascii="Arial Narrow" w:hAnsi="Arial Narrow" w:eastAsia="宋体"/>
                <w:lang w:val="en-US" w:eastAsia="zh-CN"/>
              </w:rPr>
            </w:pPr>
            <w:r>
              <w:rPr>
                <w:rFonts w:ascii="Arial Narrow" w:hAnsi="Arial Narrow" w:eastAsia="宋体"/>
                <w:spacing w:val="-7"/>
              </w:rPr>
              <w:t>202</w:t>
            </w:r>
            <w:r>
              <w:rPr>
                <w:rFonts w:hint="eastAsia" w:ascii="Arial Narrow" w:hAnsi="Arial Narrow" w:eastAsia="宋体"/>
                <w:spacing w:val="-7"/>
                <w:lang w:eastAsia="zh-CN"/>
              </w:rPr>
              <w:t>4</w:t>
            </w:r>
            <w:r>
              <w:rPr>
                <w:rFonts w:ascii="Arial Narrow" w:hAnsi="Arial Narrow" w:eastAsia="宋体"/>
                <w:spacing w:val="-7"/>
              </w:rPr>
              <w:t>年4月</w:t>
            </w:r>
            <w:r>
              <w:rPr>
                <w:rFonts w:hint="eastAsia" w:ascii="Arial Narrow" w:hAnsi="Arial Narrow" w:eastAsia="宋体"/>
                <w:spacing w:val="-7"/>
                <w:lang w:val="en-US" w:eastAsia="zh-CN"/>
              </w:rPr>
              <w:t>1</w:t>
            </w:r>
            <w:r>
              <w:rPr>
                <w:rFonts w:ascii="Arial Narrow" w:hAnsi="Arial Narrow" w:eastAsia="宋体"/>
                <w:spacing w:val="-7"/>
              </w:rPr>
              <w:t>日</w:t>
            </w:r>
            <w:r>
              <w:rPr>
                <w:rFonts w:hint="eastAsia" w:ascii="Arial Narrow" w:hAnsi="Arial Narrow" w:eastAsia="宋体"/>
                <w:spacing w:val="-7"/>
                <w:lang w:val="en-US" w:eastAsia="zh-CN"/>
              </w:rPr>
              <w:t>-2024年4月30日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24" w:type="pct"/>
          </w:tcPr>
          <w:p>
            <w:pPr>
              <w:pStyle w:val="7"/>
              <w:spacing w:before="166" w:line="224" w:lineRule="auto"/>
              <w:ind w:left="117"/>
              <w:rPr>
                <w:rFonts w:ascii="Arial Narrow" w:hAnsi="Arial Narrow" w:eastAsia="宋体"/>
              </w:rPr>
            </w:pPr>
            <w:r>
              <w:rPr>
                <w:rFonts w:ascii="Arial Narrow" w:hAnsi="Arial Narrow" w:eastAsia="宋体"/>
                <w:spacing w:val="-3"/>
              </w:rPr>
              <w:t>地点</w:t>
            </w:r>
          </w:p>
        </w:tc>
        <w:tc>
          <w:tcPr>
            <w:tcW w:w="3975" w:type="pct"/>
            <w:gridSpan w:val="2"/>
          </w:tcPr>
          <w:p>
            <w:pPr>
              <w:pStyle w:val="7"/>
              <w:spacing w:before="166" w:line="220" w:lineRule="auto"/>
              <w:ind w:left="128"/>
              <w:rPr>
                <w:rFonts w:ascii="Arial Narrow" w:hAnsi="Arial Narrow" w:eastAsia="宋体"/>
                <w:lang w:eastAsia="zh-CN"/>
              </w:rPr>
            </w:pPr>
            <w:r>
              <w:rPr>
                <w:rFonts w:hint="eastAsia" w:ascii="Arial Narrow" w:hAnsi="Arial Narrow" w:eastAsia="宋体"/>
                <w:spacing w:val="-4"/>
                <w:lang w:eastAsia="zh-CN"/>
              </w:rPr>
              <w:t>通威股份成都</w:t>
            </w:r>
            <w:r>
              <w:rPr>
                <w:rFonts w:ascii="Arial Narrow" w:hAnsi="Arial Narrow" w:eastAsia="宋体"/>
                <w:spacing w:val="-4"/>
                <w:lang w:eastAsia="zh-CN"/>
              </w:rPr>
              <w:t>总部</w:t>
            </w:r>
            <w:r>
              <w:rPr>
                <w:rFonts w:hint="eastAsia" w:ascii="Arial Narrow" w:hAnsi="Arial Narrow" w:eastAsia="宋体"/>
                <w:spacing w:val="-4"/>
                <w:lang w:eastAsia="zh-CN"/>
              </w:rPr>
              <w:t>、深圳、香港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trPr>
        <w:tc>
          <w:tcPr>
            <w:tcW w:w="1024" w:type="pct"/>
            <w:vAlign w:val="center"/>
          </w:tcPr>
          <w:p>
            <w:pPr>
              <w:pStyle w:val="7"/>
              <w:spacing w:before="78" w:line="347" w:lineRule="auto"/>
              <w:ind w:left="119" w:right="109"/>
              <w:jc w:val="left"/>
              <w:rPr>
                <w:rFonts w:ascii="Arial Narrow" w:hAnsi="Arial Narrow" w:eastAsia="宋体"/>
                <w:lang w:eastAsia="zh-CN"/>
              </w:rPr>
            </w:pPr>
            <w:r>
              <w:rPr>
                <w:rFonts w:ascii="Arial Narrow" w:hAnsi="Arial Narrow" w:eastAsia="宋体"/>
                <w:spacing w:val="28"/>
                <w:lang w:eastAsia="zh-CN"/>
              </w:rPr>
              <w:t>上市公司接待</w:t>
            </w:r>
            <w:r>
              <w:rPr>
                <w:rFonts w:ascii="Arial Narrow" w:hAnsi="Arial Narrow" w:eastAsia="宋体"/>
                <w:spacing w:val="-3"/>
                <w:lang w:eastAsia="zh-CN"/>
              </w:rPr>
              <w:t>人员姓名</w:t>
            </w:r>
          </w:p>
        </w:tc>
        <w:tc>
          <w:tcPr>
            <w:tcW w:w="3975" w:type="pct"/>
            <w:gridSpan w:val="2"/>
            <w:vAlign w:val="center"/>
          </w:tcPr>
          <w:p>
            <w:pPr>
              <w:pStyle w:val="7"/>
              <w:spacing w:line="276" w:lineRule="auto"/>
              <w:ind w:left="113"/>
              <w:jc w:val="left"/>
              <w:rPr>
                <w:rFonts w:ascii="Arial Narrow" w:hAnsi="Arial Narrow" w:eastAsia="宋体"/>
                <w:lang w:eastAsia="zh-CN"/>
              </w:rPr>
            </w:pPr>
            <w:r>
              <w:rPr>
                <w:rFonts w:hint="eastAsia" w:ascii="Arial Narrow" w:hAnsi="Arial Narrow" w:eastAsia="宋体"/>
                <w:lang w:eastAsia="zh-CN"/>
              </w:rPr>
              <w:t>董事会秘书</w:t>
            </w:r>
            <w:r>
              <w:rPr>
                <w:rFonts w:hint="eastAsia" w:ascii="Arial Narrow" w:hAnsi="Arial Narrow"/>
                <w:lang w:val="en-US" w:eastAsia="zh-CN"/>
              </w:rPr>
              <w:t xml:space="preserve">  </w:t>
            </w:r>
            <w:r>
              <w:rPr>
                <w:rFonts w:hint="eastAsia" w:ascii="Arial Narrow" w:hAnsi="Arial Narrow" w:eastAsia="宋体"/>
                <w:lang w:eastAsia="zh-CN"/>
              </w:rPr>
              <w:t>严轲</w:t>
            </w:r>
          </w:p>
          <w:p>
            <w:pPr>
              <w:pStyle w:val="7"/>
              <w:spacing w:before="34" w:line="276" w:lineRule="auto"/>
              <w:ind w:left="115"/>
              <w:jc w:val="left"/>
              <w:rPr>
                <w:rFonts w:ascii="Arial Narrow" w:hAnsi="Arial Narrow" w:eastAsia="宋体"/>
                <w:lang w:eastAsia="zh-CN"/>
              </w:rPr>
            </w:pPr>
            <w:r>
              <w:rPr>
                <w:rFonts w:hint="eastAsia" w:ascii="Arial Narrow" w:hAnsi="Arial Narrow" w:eastAsia="宋体"/>
                <w:lang w:eastAsia="zh-CN"/>
              </w:rPr>
              <w:t>投资者关系经理</w:t>
            </w:r>
            <w:r>
              <w:rPr>
                <w:rFonts w:hint="eastAsia" w:ascii="Arial Narrow" w:hAnsi="Arial Narrow"/>
                <w:lang w:val="en-US" w:eastAsia="zh-CN"/>
              </w:rPr>
              <w:t xml:space="preserve">  </w:t>
            </w:r>
            <w:r>
              <w:rPr>
                <w:rFonts w:hint="eastAsia" w:ascii="Arial Narrow" w:hAnsi="Arial Narrow" w:eastAsia="宋体"/>
                <w:lang w:eastAsia="zh-CN"/>
              </w:rPr>
              <w:t>钟秋实</w:t>
            </w:r>
          </w:p>
          <w:p>
            <w:pPr>
              <w:pStyle w:val="7"/>
              <w:spacing w:before="34" w:line="276" w:lineRule="auto"/>
              <w:ind w:left="115"/>
              <w:jc w:val="left"/>
              <w:rPr>
                <w:rFonts w:ascii="Arial Narrow" w:hAnsi="Arial Narrow" w:eastAsia="宋体"/>
                <w:lang w:eastAsia="zh-CN"/>
              </w:rPr>
            </w:pPr>
            <w:r>
              <w:rPr>
                <w:rFonts w:hint="eastAsia" w:ascii="Arial Narrow" w:hAnsi="Arial Narrow" w:eastAsia="宋体"/>
                <w:lang w:eastAsia="zh-CN"/>
              </w:rPr>
              <w:t>投资者关系经理</w:t>
            </w:r>
            <w:r>
              <w:rPr>
                <w:rFonts w:hint="eastAsia" w:ascii="Arial Narrow" w:hAnsi="Arial Narrow"/>
                <w:lang w:val="en-US" w:eastAsia="zh-CN"/>
              </w:rPr>
              <w:t xml:space="preserve">  </w:t>
            </w:r>
            <w:r>
              <w:rPr>
                <w:rFonts w:hint="eastAsia" w:ascii="Arial Narrow" w:hAnsi="Arial Narrow" w:eastAsia="宋体"/>
                <w:lang w:eastAsia="zh-CN"/>
              </w:rPr>
              <w:t>孙书恒</w:t>
            </w:r>
          </w:p>
          <w:p>
            <w:pPr>
              <w:pStyle w:val="7"/>
              <w:spacing w:line="276" w:lineRule="auto"/>
              <w:ind w:left="113"/>
              <w:jc w:val="left"/>
              <w:rPr>
                <w:rFonts w:ascii="Arial Narrow" w:hAnsi="Arial Narrow" w:eastAsia="宋体"/>
                <w:lang w:eastAsia="zh-CN"/>
              </w:rPr>
            </w:pPr>
            <w:r>
              <w:rPr>
                <w:rFonts w:hint="eastAsia" w:ascii="Arial Narrow" w:hAnsi="Arial Narrow" w:eastAsia="宋体"/>
                <w:lang w:eastAsia="zh-CN"/>
              </w:rPr>
              <w:t>投资者关系专员</w:t>
            </w:r>
            <w:r>
              <w:rPr>
                <w:rFonts w:hint="eastAsia" w:ascii="Arial Narrow" w:hAnsi="Arial Narrow"/>
                <w:lang w:val="en-US" w:eastAsia="zh-CN"/>
              </w:rPr>
              <w:t xml:space="preserve">  </w:t>
            </w:r>
            <w:r>
              <w:rPr>
                <w:rFonts w:hint="eastAsia" w:ascii="Arial Narrow" w:hAnsi="Arial Narrow" w:eastAsia="宋体"/>
                <w:lang w:eastAsia="zh-CN"/>
              </w:rPr>
              <w:t>甘雨佳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0" w:hRule="atLeast"/>
        </w:trPr>
        <w:tc>
          <w:tcPr>
            <w:tcW w:w="1024" w:type="pct"/>
            <w:vAlign w:val="center"/>
          </w:tcPr>
          <w:p>
            <w:pPr>
              <w:pStyle w:val="7"/>
              <w:spacing w:before="78" w:line="353" w:lineRule="auto"/>
              <w:ind w:left="118" w:right="109" w:firstLine="1"/>
              <w:jc w:val="both"/>
              <w:rPr>
                <w:rFonts w:ascii="Arial Narrow" w:hAnsi="Arial Narrow" w:eastAsia="宋体"/>
                <w:lang w:eastAsia="zh-CN"/>
              </w:rPr>
            </w:pPr>
            <w:r>
              <w:rPr>
                <w:rFonts w:ascii="Arial Narrow" w:hAnsi="Arial Narrow" w:eastAsia="宋体"/>
                <w:spacing w:val="27"/>
                <w:lang w:eastAsia="zh-CN"/>
              </w:rPr>
              <w:t>投资者关系活</w:t>
            </w:r>
            <w:r>
              <w:rPr>
                <w:rFonts w:ascii="Arial Narrow" w:hAnsi="Arial Narrow" w:eastAsia="宋体"/>
                <w:spacing w:val="28"/>
                <w:lang w:eastAsia="zh-CN"/>
              </w:rPr>
              <w:t>动主要内容介</w:t>
            </w:r>
            <w:r>
              <w:rPr>
                <w:rFonts w:ascii="Arial Narrow" w:hAnsi="Arial Narrow" w:eastAsia="宋体"/>
                <w:lang w:eastAsia="zh-CN"/>
              </w:rPr>
              <w:t>绍</w:t>
            </w:r>
          </w:p>
        </w:tc>
        <w:tc>
          <w:tcPr>
            <w:tcW w:w="3975" w:type="pct"/>
            <w:gridSpan w:val="2"/>
          </w:tcPr>
          <w:p>
            <w:pPr>
              <w:pStyle w:val="7"/>
              <w:spacing w:before="273" w:line="346" w:lineRule="auto"/>
              <w:ind w:left="122" w:right="107" w:firstLine="491"/>
              <w:rPr>
                <w:rFonts w:ascii="Arial Narrow" w:hAnsi="Arial Narrow" w:eastAsia="宋体"/>
                <w:lang w:eastAsia="zh-CN"/>
              </w:rPr>
            </w:pPr>
            <w:r>
              <w:rPr>
                <w:rFonts w:ascii="Arial Narrow" w:hAnsi="Arial Narrow" w:eastAsia="宋体"/>
                <w:b/>
                <w:bCs/>
                <w:lang w:eastAsia="zh-CN"/>
              </w:rPr>
              <w:t>1、</w:t>
            </w:r>
            <w:r>
              <w:rPr>
                <w:rFonts w:hint="eastAsia" w:ascii="Arial Narrow" w:hAnsi="Arial Narrow" w:eastAsia="宋体"/>
                <w:b/>
                <w:bCs/>
                <w:lang w:eastAsia="zh-CN"/>
              </w:rPr>
              <w:t>如何看待多晶硅竞争格局拐点，预计何时出现落后产能出清？过程中公司会采取怎样的价格或竞争策略？</w:t>
            </w:r>
          </w:p>
          <w:p>
            <w:pPr>
              <w:pStyle w:val="7"/>
              <w:spacing w:before="34" w:line="347" w:lineRule="auto"/>
              <w:ind w:left="113" w:right="107" w:firstLine="480"/>
              <w:rPr>
                <w:rFonts w:ascii="Arial Narrow" w:hAnsi="Arial Narrow" w:eastAsia="宋体"/>
                <w:lang w:eastAsia="zh-CN"/>
              </w:rPr>
            </w:pPr>
            <w:r>
              <w:rPr>
                <w:rFonts w:hint="eastAsia" w:ascii="Arial Narrow" w:hAnsi="Arial Narrow" w:eastAsia="宋体"/>
                <w:spacing w:val="-2"/>
                <w:lang w:eastAsia="zh-CN"/>
              </w:rPr>
              <w:t>回顾历史上多晶硅行业的每轮周期，呈现的根本原因都在于供应和需求的错配，本轮也不例外。结合历史数据表现，我们判断2024年将是行业深度调整期，过剩产能将逐步出清。长期以来，公司客户结构稳健，与主要下游企业皆签订了长单协议，且已建和在建项目大部分为保障下游客户供应安全的战略合资项目，出货保障力强</w:t>
            </w:r>
            <w:r>
              <w:rPr>
                <w:rFonts w:hint="eastAsia" w:ascii="Arial Narrow" w:hAnsi="Arial Narrow"/>
                <w:spacing w:val="-2"/>
                <w:lang w:eastAsia="zh-CN"/>
              </w:rPr>
              <w:t>，</w:t>
            </w:r>
            <w:r>
              <w:rPr>
                <w:rFonts w:hint="eastAsia" w:ascii="Arial Narrow" w:hAnsi="Arial Narrow" w:eastAsia="宋体"/>
                <w:spacing w:val="-2"/>
                <w:lang w:eastAsia="zh-CN"/>
              </w:rPr>
              <w:t>总结下来就是股权战略合作+长单模式。与此同时，公司依托产业链优势，与主要客户互为上下游，相同条件下客户更倾向于优先选择通威硅料，在市场波动时期，出货更加稳定。公司不会主动发起价格战，而是继续采取随行就市原则，更希望看到行业的平稳发展和市场的自动调节</w:t>
            </w:r>
            <w:r>
              <w:rPr>
                <w:rFonts w:hint="eastAsia" w:ascii="Arial Narrow" w:hAnsi="Arial Narrow" w:eastAsia="宋体"/>
                <w:lang w:eastAsia="zh-CN"/>
              </w:rPr>
              <w:t>。</w:t>
            </w:r>
          </w:p>
          <w:p>
            <w:pPr>
              <w:pStyle w:val="7"/>
              <w:spacing w:before="36" w:line="329" w:lineRule="auto"/>
              <w:ind w:left="113" w:right="105" w:firstLine="503"/>
              <w:jc w:val="both"/>
              <w:rPr>
                <w:rFonts w:ascii="Arial Narrow" w:hAnsi="Arial Narrow" w:eastAsia="宋体"/>
                <w:b/>
                <w:bCs/>
                <w:lang w:eastAsia="zh-CN"/>
              </w:rPr>
            </w:pPr>
            <w:r>
              <w:rPr>
                <w:rFonts w:hint="eastAsia" w:ascii="Arial Narrow" w:hAnsi="Arial Narrow" w:eastAsia="宋体"/>
                <w:b/>
                <w:bCs/>
                <w:lang w:eastAsia="zh-CN"/>
              </w:rPr>
              <w:t>2</w:t>
            </w:r>
            <w:r>
              <w:rPr>
                <w:rFonts w:ascii="Arial Narrow" w:hAnsi="Arial Narrow" w:eastAsia="宋体"/>
                <w:b/>
                <w:bCs/>
                <w:lang w:eastAsia="zh-CN"/>
              </w:rPr>
              <w:t>、</w:t>
            </w:r>
            <w:r>
              <w:rPr>
                <w:rFonts w:hint="eastAsia" w:ascii="Arial Narrow" w:hAnsi="Arial Narrow" w:eastAsia="宋体"/>
                <w:b/>
                <w:bCs/>
                <w:lang w:eastAsia="zh-CN"/>
              </w:rPr>
              <w:t>在当前多晶硅激烈的竞争环境下，公司在建项目是否会放缓？</w:t>
            </w:r>
          </w:p>
          <w:p>
            <w:pPr>
              <w:pStyle w:val="7"/>
              <w:spacing w:before="36" w:line="329" w:lineRule="auto"/>
              <w:ind w:left="113" w:right="105" w:firstLine="503"/>
              <w:jc w:val="both"/>
              <w:rPr>
                <w:rFonts w:ascii="Arial Narrow" w:hAnsi="Arial Narrow" w:eastAsia="宋体"/>
                <w:spacing w:val="-2"/>
                <w:lang w:eastAsia="zh-CN"/>
              </w:rPr>
            </w:pPr>
            <w:r>
              <w:rPr>
                <w:rFonts w:hint="eastAsia" w:ascii="Arial Narrow" w:hAnsi="Arial Narrow" w:eastAsia="宋体"/>
                <w:spacing w:val="-2"/>
                <w:lang w:eastAsia="zh-CN"/>
              </w:rPr>
              <w:t>公司目前所有的高纯晶硅在建项目都经历了长期的研判和充分的论证，且是在公司2024-2026年产能规划的指引下进行的。在全球能源转型和国家双碳战略目标的大背景下，发展以晶硅光伏为代表的可再生能源已成为全球共识，公司也相信光伏在能源供应体系中的比例会加速提升，T瓦时代也会提前到来。与此同时，公司在高纯晶硅环节具备技术、成本、管理、出货渠道等方面的核心竞争优势，经营上有较强的抗风险能力。公司云南二期20万吨和包头三期20万吨高纯晶硅项目将在今年如期投产，基于公司“第八代永祥法”，预计新项目投产后将实现更优的品质、成本、环保等目标，继续巩固公司在高纯晶硅环节的竞争力。</w:t>
            </w:r>
          </w:p>
          <w:p>
            <w:pPr>
              <w:pStyle w:val="7"/>
              <w:spacing w:before="36" w:line="329" w:lineRule="auto"/>
              <w:ind w:left="113" w:right="105" w:firstLine="503"/>
              <w:jc w:val="both"/>
              <w:rPr>
                <w:rFonts w:ascii="Arial Narrow" w:hAnsi="Arial Narrow" w:eastAsia="宋体"/>
                <w:b/>
                <w:bCs/>
                <w:lang w:eastAsia="zh-CN"/>
              </w:rPr>
            </w:pPr>
            <w:r>
              <w:rPr>
                <w:rFonts w:hint="eastAsia" w:ascii="Arial Narrow" w:hAnsi="Arial Narrow" w:eastAsia="宋体"/>
                <w:b/>
                <w:bCs/>
                <w:lang w:eastAsia="zh-CN"/>
              </w:rPr>
              <w:t>3</w:t>
            </w:r>
            <w:r>
              <w:rPr>
                <w:rFonts w:ascii="Arial Narrow" w:hAnsi="Arial Narrow" w:eastAsia="宋体"/>
                <w:b/>
                <w:bCs/>
                <w:lang w:eastAsia="zh-CN"/>
              </w:rPr>
              <w:t>、</w:t>
            </w:r>
            <w:r>
              <w:rPr>
                <w:rFonts w:hint="eastAsia" w:ascii="Arial Narrow" w:hAnsi="Arial Narrow" w:eastAsia="宋体"/>
                <w:b/>
                <w:bCs/>
                <w:lang w:eastAsia="zh-CN"/>
              </w:rPr>
              <w:t>当前，光伏电池技术更迭十分迅速。公司对哪一技术的押注更多或更为看好？2024年有什么规划？</w:t>
            </w:r>
          </w:p>
          <w:p>
            <w:pPr>
              <w:pStyle w:val="7"/>
              <w:spacing w:before="36" w:line="329" w:lineRule="auto"/>
              <w:ind w:left="113" w:right="105" w:firstLine="503"/>
              <w:jc w:val="both"/>
              <w:rPr>
                <w:rFonts w:ascii="Arial Narrow" w:hAnsi="Arial Narrow" w:eastAsia="宋体"/>
                <w:lang w:eastAsia="zh-CN"/>
              </w:rPr>
            </w:pPr>
            <w:r>
              <w:rPr>
                <w:rFonts w:hint="eastAsia" w:ascii="Arial Narrow" w:hAnsi="Arial Narrow" w:eastAsia="宋体"/>
                <w:lang w:eastAsia="zh-CN"/>
              </w:rPr>
              <w:t>当前电池新技术“百花齐放”，在电池新技术的研发上，公司会密切关注市场变化，不会全部押注单一技术路线，而是保持多技术路线并行研发。目前公司在TOPCon、HJT、XBC、钙钛矿/硅叠层等电池技术上均有布局，并将围绕度电成本及产品可靠性，动态评估新技术规模量产的可行性，后期公司电池技术选型请关注公司公告。</w:t>
            </w:r>
          </w:p>
          <w:p>
            <w:pPr>
              <w:pStyle w:val="7"/>
              <w:spacing w:before="36" w:line="329" w:lineRule="auto"/>
              <w:ind w:left="113" w:right="105" w:firstLine="503"/>
              <w:jc w:val="both"/>
              <w:rPr>
                <w:rFonts w:ascii="Arial Narrow" w:hAnsi="Arial Narrow" w:eastAsia="宋体"/>
                <w:b/>
                <w:bCs/>
                <w:lang w:eastAsia="zh-CN"/>
              </w:rPr>
            </w:pPr>
            <w:r>
              <w:rPr>
                <w:rFonts w:hint="eastAsia" w:ascii="Arial Narrow" w:hAnsi="Arial Narrow" w:eastAsia="宋体"/>
                <w:b/>
                <w:bCs/>
                <w:lang w:eastAsia="zh-CN"/>
              </w:rPr>
              <w:t>4</w:t>
            </w:r>
            <w:r>
              <w:rPr>
                <w:rFonts w:ascii="Arial Narrow" w:hAnsi="Arial Narrow" w:eastAsia="宋体"/>
                <w:b/>
                <w:bCs/>
                <w:lang w:eastAsia="zh-CN"/>
              </w:rPr>
              <w:t>、</w:t>
            </w:r>
            <w:r>
              <w:rPr>
                <w:rFonts w:hint="eastAsia" w:ascii="Arial Narrow" w:hAnsi="Arial Narrow" w:eastAsia="宋体"/>
                <w:b/>
                <w:bCs/>
                <w:lang w:eastAsia="zh-CN"/>
              </w:rPr>
              <w:t>请介绍公司</w:t>
            </w:r>
            <w:r>
              <w:rPr>
                <w:rFonts w:hint="eastAsia" w:ascii="Arial Narrow" w:hAnsi="Arial Narrow"/>
                <w:b/>
                <w:bCs/>
                <w:lang w:val="en-US" w:eastAsia="zh-CN"/>
              </w:rPr>
              <w:t>在</w:t>
            </w:r>
            <w:r>
              <w:rPr>
                <w:rFonts w:hint="eastAsia" w:ascii="Arial Narrow" w:hAnsi="Arial Narrow" w:eastAsia="宋体"/>
                <w:b/>
                <w:bCs/>
                <w:lang w:eastAsia="zh-CN"/>
              </w:rPr>
              <w:t>TOPCon电池</w:t>
            </w:r>
            <w:r>
              <w:rPr>
                <w:rFonts w:hint="eastAsia" w:ascii="Arial Narrow" w:hAnsi="Arial Narrow"/>
                <w:b/>
                <w:bCs/>
                <w:lang w:val="en-US" w:eastAsia="zh-CN"/>
              </w:rPr>
              <w:t>技术方面的优势以及产能规划情况</w:t>
            </w:r>
            <w:r>
              <w:rPr>
                <w:rFonts w:hint="eastAsia" w:ascii="Arial Narrow" w:hAnsi="Arial Narrow" w:eastAsia="宋体"/>
                <w:b/>
                <w:bCs/>
                <w:lang w:eastAsia="zh-CN"/>
              </w:rPr>
              <w:t>？</w:t>
            </w:r>
          </w:p>
          <w:p>
            <w:pPr>
              <w:pStyle w:val="7"/>
              <w:spacing w:before="36" w:line="329" w:lineRule="auto"/>
              <w:ind w:left="113" w:right="105" w:firstLine="503"/>
              <w:jc w:val="both"/>
              <w:rPr>
                <w:rFonts w:ascii="Arial Narrow" w:hAnsi="Arial Narrow" w:eastAsia="宋体"/>
                <w:lang w:eastAsia="zh-CN"/>
              </w:rPr>
            </w:pPr>
            <w:r>
              <w:rPr>
                <w:rFonts w:hint="eastAsia" w:ascii="Arial Narrow" w:hAnsi="Arial Narrow"/>
                <w:lang w:val="en-US" w:eastAsia="zh-CN"/>
              </w:rPr>
              <w:t>2023年以来，</w:t>
            </w:r>
            <w:r>
              <w:rPr>
                <w:rFonts w:hint="eastAsia" w:ascii="Arial Narrow" w:hAnsi="Arial Narrow" w:eastAsia="宋体"/>
                <w:lang w:eastAsia="zh-CN"/>
              </w:rPr>
              <w:t>TOPCon</w:t>
            </w:r>
            <w:r>
              <w:rPr>
                <w:rFonts w:hint="eastAsia" w:ascii="Arial Narrow" w:hAnsi="Arial Narrow"/>
                <w:lang w:val="en-US" w:eastAsia="zh-CN"/>
              </w:rPr>
              <w:t>电池技术凭借</w:t>
            </w:r>
            <w:r>
              <w:rPr>
                <w:rFonts w:hint="eastAsia" w:ascii="Arial Narrow" w:hAnsi="Arial Narrow" w:eastAsia="宋体"/>
                <w:lang w:eastAsia="zh-CN"/>
              </w:rPr>
              <w:t>更高性价比</w:t>
            </w:r>
            <w:r>
              <w:rPr>
                <w:rFonts w:hint="eastAsia" w:ascii="Arial Narrow" w:hAnsi="Arial Narrow"/>
                <w:lang w:val="en-US" w:eastAsia="zh-CN"/>
              </w:rPr>
              <w:t>以及</w:t>
            </w:r>
            <w:r>
              <w:rPr>
                <w:rFonts w:hint="eastAsia" w:ascii="Arial Narrow" w:hAnsi="Arial Narrow" w:eastAsia="宋体"/>
                <w:lang w:eastAsia="zh-CN"/>
              </w:rPr>
              <w:t>成熟产业链配套等优势，率先进入</w:t>
            </w:r>
            <w:r>
              <w:rPr>
                <w:rFonts w:hint="eastAsia" w:ascii="Arial Narrow" w:hAnsi="Arial Narrow"/>
                <w:lang w:val="en-US" w:eastAsia="zh-CN"/>
              </w:rPr>
              <w:t>大</w:t>
            </w:r>
            <w:r>
              <w:rPr>
                <w:rFonts w:hint="eastAsia" w:ascii="Arial Narrow" w:hAnsi="Arial Narrow" w:eastAsia="宋体"/>
                <w:lang w:eastAsia="zh-CN"/>
              </w:rPr>
              <w:t>规模量产</w:t>
            </w:r>
            <w:r>
              <w:rPr>
                <w:rFonts w:hint="eastAsia" w:ascii="Arial Narrow" w:hAnsi="Arial Narrow"/>
                <w:lang w:eastAsia="zh-CN"/>
              </w:rPr>
              <w:t>“</w:t>
            </w:r>
            <w:r>
              <w:rPr>
                <w:rFonts w:hint="eastAsia" w:ascii="Arial Narrow" w:hAnsi="Arial Narrow"/>
                <w:lang w:val="en-US" w:eastAsia="zh-CN"/>
              </w:rPr>
              <w:t>元年</w:t>
            </w:r>
            <w:r>
              <w:rPr>
                <w:rFonts w:hint="eastAsia" w:ascii="Arial Narrow" w:hAnsi="Arial Narrow"/>
                <w:lang w:eastAsia="zh-CN"/>
              </w:rPr>
              <w:t>”</w:t>
            </w:r>
            <w:r>
              <w:rPr>
                <w:rFonts w:hint="eastAsia" w:ascii="Arial Narrow" w:hAnsi="Arial Narrow" w:eastAsia="宋体"/>
                <w:lang w:eastAsia="zh-CN"/>
              </w:rPr>
              <w:t>。据In</w:t>
            </w:r>
            <w:r>
              <w:rPr>
                <w:rFonts w:hint="eastAsia" w:ascii="Arial Narrow" w:hAnsi="Arial Narrow"/>
                <w:lang w:val="en-US" w:eastAsia="zh-CN"/>
              </w:rPr>
              <w:t>f</w:t>
            </w:r>
            <w:r>
              <w:rPr>
                <w:rFonts w:hint="eastAsia" w:ascii="Arial Narrow" w:hAnsi="Arial Narrow" w:eastAsia="宋体"/>
                <w:lang w:eastAsia="zh-CN"/>
              </w:rPr>
              <w:t>oLink Consulting预计，2024年TOPCon</w:t>
            </w:r>
            <w:r>
              <w:rPr>
                <w:rFonts w:hint="eastAsia" w:ascii="Arial Narrow" w:hAnsi="Arial Narrow"/>
                <w:lang w:val="en-US" w:eastAsia="zh-CN"/>
              </w:rPr>
              <w:t>电池</w:t>
            </w:r>
            <w:r>
              <w:rPr>
                <w:rFonts w:hint="eastAsia" w:ascii="Arial Narrow" w:hAnsi="Arial Narrow" w:eastAsia="宋体"/>
                <w:lang w:eastAsia="zh-CN"/>
              </w:rPr>
              <w:t>市占率将达到70%，成为</w:t>
            </w:r>
            <w:r>
              <w:rPr>
                <w:rFonts w:hint="eastAsia" w:ascii="Arial Narrow" w:hAnsi="Arial Narrow"/>
                <w:lang w:val="en-US" w:eastAsia="zh-CN"/>
              </w:rPr>
              <w:t>下游客户的主要选择</w:t>
            </w:r>
            <w:r>
              <w:rPr>
                <w:rFonts w:hint="eastAsia" w:ascii="Arial Narrow" w:hAnsi="Arial Narrow"/>
                <w:lang w:eastAsia="zh-CN"/>
              </w:rPr>
              <w:t>。</w:t>
            </w:r>
            <w:r>
              <w:rPr>
                <w:rFonts w:hint="eastAsia" w:ascii="Arial Narrow" w:hAnsi="Arial Narrow" w:eastAsia="宋体"/>
                <w:lang w:eastAsia="zh-CN"/>
              </w:rPr>
              <w:t>公司作为行业TOPCon PECVD技术发展的领头企业，</w:t>
            </w:r>
            <w:r>
              <w:rPr>
                <w:rFonts w:hint="eastAsia" w:ascii="Arial Narrow" w:hAnsi="Arial Narrow"/>
                <w:lang w:val="en-US" w:eastAsia="zh-CN"/>
              </w:rPr>
              <w:t>TNC</w:t>
            </w:r>
            <w:r>
              <w:rPr>
                <w:rFonts w:hint="eastAsia" w:ascii="Arial Narrow" w:hAnsi="Arial Narrow" w:eastAsia="宋体"/>
                <w:lang w:eastAsia="zh-CN"/>
              </w:rPr>
              <w:t>产品转换效率、良率、非硅成本等指标全面领先，推动PECVD技术逐步成为行业主流</w:t>
            </w:r>
            <w:r>
              <w:rPr>
                <w:rFonts w:hint="eastAsia" w:ascii="Arial Narrow" w:hAnsi="Arial Narrow"/>
                <w:lang w:eastAsia="zh-CN"/>
              </w:rPr>
              <w:t>，</w:t>
            </w:r>
            <w:r>
              <w:rPr>
                <w:rFonts w:hint="eastAsia" w:ascii="Arial Narrow" w:hAnsi="Arial Narrow" w:eastAsia="宋体"/>
                <w:lang w:eastAsia="zh-CN"/>
              </w:rPr>
              <w:t>截至2023年末</w:t>
            </w:r>
            <w:r>
              <w:rPr>
                <w:rFonts w:hint="eastAsia" w:ascii="Arial Narrow" w:hAnsi="Arial Narrow"/>
                <w:lang w:eastAsia="zh-CN"/>
              </w:rPr>
              <w:t>，</w:t>
            </w:r>
            <w:r>
              <w:rPr>
                <w:rFonts w:hint="eastAsia" w:ascii="Arial Narrow" w:hAnsi="Arial Narrow" w:eastAsia="宋体"/>
                <w:lang w:eastAsia="zh-CN"/>
              </w:rPr>
              <w:t>行业TOPCon</w:t>
            </w:r>
            <w:r>
              <w:rPr>
                <w:rFonts w:hint="eastAsia" w:ascii="Arial Narrow" w:hAnsi="Arial Narrow"/>
                <w:lang w:val="en-US" w:eastAsia="zh-CN"/>
              </w:rPr>
              <w:t>电池</w:t>
            </w:r>
            <w:r>
              <w:rPr>
                <w:rFonts w:hint="eastAsia" w:ascii="Arial Narrow" w:hAnsi="Arial Narrow" w:eastAsia="宋体"/>
                <w:lang w:eastAsia="zh-CN"/>
              </w:rPr>
              <w:t>建成及规划产能中超一半使用该技术路线。</w:t>
            </w:r>
            <w:r>
              <w:rPr>
                <w:rFonts w:hint="eastAsia" w:ascii="Arial Narrow" w:hAnsi="Arial Narrow"/>
                <w:lang w:val="en-US" w:eastAsia="zh-CN"/>
              </w:rPr>
              <w:t>基于公司领先的TNC电池技术与不断增长的市场需求，公司正按计划</w:t>
            </w:r>
            <w:r>
              <w:rPr>
                <w:rFonts w:hint="eastAsia" w:ascii="Arial Narrow" w:hAnsi="Arial Narrow" w:eastAsia="宋体"/>
                <w:lang w:eastAsia="zh-CN"/>
              </w:rPr>
              <w:t>推进存量PERC产能升级</w:t>
            </w:r>
            <w:r>
              <w:rPr>
                <w:rFonts w:hint="eastAsia" w:ascii="Arial Narrow" w:hAnsi="Arial Narrow"/>
                <w:lang w:val="en-US" w:eastAsia="zh-CN"/>
              </w:rPr>
              <w:t>与双流、眉山</w:t>
            </w:r>
            <w:r>
              <w:rPr>
                <w:rFonts w:hint="eastAsia" w:ascii="Arial Narrow" w:hAnsi="Arial Narrow" w:eastAsia="宋体"/>
                <w:lang w:eastAsia="zh-CN"/>
              </w:rPr>
              <w:t>TNC新</w:t>
            </w:r>
            <w:r>
              <w:rPr>
                <w:rFonts w:hint="eastAsia" w:ascii="Arial Narrow" w:hAnsi="Arial Narrow"/>
                <w:lang w:val="en-US" w:eastAsia="zh-CN"/>
              </w:rPr>
              <w:t>项目</w:t>
            </w:r>
            <w:r>
              <w:rPr>
                <w:rFonts w:hint="eastAsia" w:ascii="Arial Narrow" w:hAnsi="Arial Narrow" w:eastAsia="宋体"/>
                <w:lang w:eastAsia="zh-CN"/>
              </w:rPr>
              <w:t>建设，预计将在2024年</w:t>
            </w:r>
            <w:r>
              <w:rPr>
                <w:rFonts w:hint="eastAsia" w:ascii="Arial Narrow" w:hAnsi="Arial Narrow"/>
                <w:lang w:val="en-US" w:eastAsia="zh-CN"/>
              </w:rPr>
              <w:t xml:space="preserve">形成超100GW </w:t>
            </w:r>
            <w:r>
              <w:rPr>
                <w:rFonts w:hint="eastAsia" w:ascii="Arial Narrow" w:hAnsi="Arial Narrow" w:eastAsia="宋体"/>
                <w:lang w:eastAsia="zh-CN"/>
              </w:rPr>
              <w:t>TNC电池产能</w:t>
            </w:r>
            <w:r>
              <w:rPr>
                <w:rFonts w:hint="eastAsia" w:ascii="Arial Narrow" w:hAnsi="Arial Narrow"/>
                <w:lang w:eastAsia="zh-CN"/>
              </w:rPr>
              <w:t>，</w:t>
            </w:r>
            <w:r>
              <w:rPr>
                <w:rFonts w:hint="eastAsia" w:ascii="Arial Narrow" w:hAnsi="Arial Narrow" w:eastAsia="宋体"/>
                <w:lang w:eastAsia="zh-CN"/>
              </w:rPr>
              <w:t>产能</w:t>
            </w:r>
            <w:r>
              <w:rPr>
                <w:rFonts w:hint="eastAsia" w:ascii="Arial Narrow" w:hAnsi="Arial Narrow"/>
                <w:lang w:val="en-US" w:eastAsia="zh-CN"/>
              </w:rPr>
              <w:t>结构持续领先。</w:t>
            </w:r>
          </w:p>
          <w:p>
            <w:pPr>
              <w:pStyle w:val="7"/>
              <w:spacing w:before="36" w:line="329" w:lineRule="auto"/>
              <w:ind w:left="113" w:right="105" w:firstLine="503"/>
              <w:jc w:val="both"/>
              <w:rPr>
                <w:rFonts w:ascii="Arial Narrow" w:hAnsi="Arial Narrow" w:eastAsia="宋体"/>
                <w:b/>
                <w:bCs/>
                <w:lang w:eastAsia="zh-CN"/>
              </w:rPr>
            </w:pPr>
            <w:r>
              <w:rPr>
                <w:rFonts w:hint="eastAsia" w:ascii="Arial Narrow" w:hAnsi="Arial Narrow" w:eastAsia="宋体"/>
                <w:b/>
                <w:bCs/>
                <w:lang w:eastAsia="zh-CN"/>
              </w:rPr>
              <w:t>5</w:t>
            </w:r>
            <w:r>
              <w:rPr>
                <w:rFonts w:ascii="Arial Narrow" w:hAnsi="Arial Narrow" w:eastAsia="宋体"/>
                <w:b/>
                <w:bCs/>
                <w:lang w:eastAsia="zh-CN"/>
              </w:rPr>
              <w:t>、</w:t>
            </w:r>
            <w:r>
              <w:rPr>
                <w:rFonts w:hint="eastAsia" w:ascii="Arial Narrow" w:hAnsi="Arial Narrow" w:eastAsia="宋体"/>
                <w:b/>
                <w:bCs/>
                <w:lang w:eastAsia="zh-CN"/>
              </w:rPr>
              <w:t>公司是否考虑出海建设组件产能，会优先考虑哪些区域建厂？</w:t>
            </w:r>
          </w:p>
          <w:p>
            <w:pPr>
              <w:pStyle w:val="7"/>
              <w:spacing w:before="36" w:line="329" w:lineRule="auto"/>
              <w:ind w:left="113" w:right="105" w:firstLine="503"/>
              <w:jc w:val="both"/>
              <w:rPr>
                <w:rFonts w:ascii="Arial Narrow" w:hAnsi="Arial Narrow" w:eastAsia="宋体"/>
                <w:lang w:eastAsia="zh-CN"/>
              </w:rPr>
            </w:pPr>
            <w:r>
              <w:rPr>
                <w:rFonts w:hint="eastAsia" w:ascii="Arial Narrow" w:hAnsi="Arial Narrow" w:eastAsia="宋体"/>
                <w:lang w:eastAsia="zh-CN"/>
              </w:rPr>
              <w:t>鉴于部分海外市场存在的贸易壁垒问题，部分厂家选择通过海外设厂的方式实现产能的转移，以此规避相关壁垒。通威自2022年下半年大规模布局组件环节以来，在坚持以国内市场为核心的同时，也致力于海外市场的布局，聚焦重点市场，并已经实现了对海外头部客户的全面覆盖。通威将持续关注全球市场的动态变化、贸易形势和政策调整，持续论证组件产能海外布局的可行性。</w:t>
            </w:r>
          </w:p>
          <w:p>
            <w:pPr>
              <w:pStyle w:val="7"/>
              <w:spacing w:before="36" w:line="329" w:lineRule="auto"/>
              <w:ind w:left="113" w:right="105" w:firstLine="503"/>
              <w:jc w:val="both"/>
              <w:rPr>
                <w:rFonts w:ascii="Arial Narrow" w:hAnsi="Arial Narrow" w:eastAsia="宋体"/>
                <w:b/>
                <w:bCs/>
                <w:lang w:eastAsia="zh-CN"/>
              </w:rPr>
            </w:pPr>
            <w:r>
              <w:rPr>
                <w:rFonts w:hint="eastAsia" w:ascii="Arial Narrow" w:hAnsi="Arial Narrow" w:eastAsia="宋体"/>
                <w:b/>
                <w:bCs/>
                <w:lang w:eastAsia="zh-CN"/>
              </w:rPr>
              <w:t>6</w:t>
            </w:r>
            <w:r>
              <w:rPr>
                <w:rFonts w:ascii="Arial Narrow" w:hAnsi="Arial Narrow" w:eastAsia="宋体"/>
                <w:b/>
                <w:bCs/>
                <w:lang w:eastAsia="zh-CN"/>
              </w:rPr>
              <w:t>、</w:t>
            </w:r>
            <w:r>
              <w:rPr>
                <w:rFonts w:hint="eastAsia" w:ascii="Arial Narrow" w:hAnsi="Arial Narrow" w:eastAsia="宋体"/>
                <w:b/>
                <w:bCs/>
                <w:lang w:eastAsia="zh-CN"/>
              </w:rPr>
              <w:t>公司矩形（大尺寸硅片）组件的优势在哪里？如何展望未来市场份额？</w:t>
            </w:r>
          </w:p>
          <w:p>
            <w:pPr>
              <w:pStyle w:val="7"/>
              <w:spacing w:before="36" w:line="329" w:lineRule="auto"/>
              <w:ind w:left="113" w:right="105" w:firstLine="503"/>
              <w:jc w:val="both"/>
              <w:rPr>
                <w:rFonts w:ascii="Arial Narrow" w:hAnsi="Arial Narrow" w:eastAsia="宋体"/>
                <w:lang w:eastAsia="zh-CN"/>
              </w:rPr>
            </w:pPr>
            <w:r>
              <w:rPr>
                <w:rFonts w:hint="eastAsia" w:ascii="Arial Narrow" w:hAnsi="Arial Narrow" w:eastAsia="宋体"/>
                <w:lang w:eastAsia="zh-CN"/>
              </w:rPr>
              <w:t>通威G12R矩形组件产品凭借其优化的尺寸设计，能够有效降低运输成本，特别是在当前长途海运中展现出了显著的成本优势。此外，矩形片方案还推动了主流大版型组件进入600W+时代，实现了BOS成本的节约，能为终端电站客户创造更好的收益。从经济性的角度来看，未来矩形组件产品的市场份额有望大幅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24" w:type="pct"/>
            <w:vAlign w:val="center"/>
          </w:tcPr>
          <w:p>
            <w:pPr>
              <w:pStyle w:val="7"/>
              <w:spacing w:before="148" w:line="222" w:lineRule="auto"/>
              <w:ind w:left="128"/>
              <w:rPr>
                <w:rFonts w:hint="default" w:ascii="Arial Narrow" w:hAnsi="Arial Narrow" w:eastAsia="宋体"/>
                <w:spacing w:val="-6"/>
                <w:lang w:val="en-US" w:eastAsia="zh-CN"/>
              </w:rPr>
            </w:pPr>
            <w:r>
              <w:rPr>
                <w:rFonts w:hint="eastAsia" w:ascii="Arial Narrow" w:hAnsi="Arial Narrow" w:eastAsia="宋体"/>
                <w:spacing w:val="-6"/>
                <w:lang w:val="en-US" w:eastAsia="zh-CN"/>
              </w:rPr>
              <w:t>附件清单（如有）</w:t>
            </w:r>
          </w:p>
        </w:tc>
        <w:tc>
          <w:tcPr>
            <w:tcW w:w="3975" w:type="pct"/>
            <w:gridSpan w:val="2"/>
            <w:vAlign w:val="center"/>
          </w:tcPr>
          <w:p>
            <w:pPr>
              <w:pStyle w:val="7"/>
              <w:spacing w:before="166" w:line="220" w:lineRule="auto"/>
              <w:ind w:left="128"/>
              <w:jc w:val="left"/>
              <w:rPr>
                <w:rFonts w:hint="default" w:ascii="Arial Narrow" w:hAnsi="Arial Narrow" w:eastAsia="宋体"/>
                <w:spacing w:val="-4"/>
                <w:lang w:val="en-US" w:eastAsia="zh-CN"/>
              </w:rPr>
            </w:pPr>
            <w:r>
              <w:rPr>
                <w:rFonts w:hint="eastAsia" w:ascii="Arial Narrow" w:hAnsi="Arial Narrow" w:eastAsia="宋体"/>
                <w:spacing w:val="-4"/>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24" w:type="pct"/>
            <w:vAlign w:val="center"/>
          </w:tcPr>
          <w:p>
            <w:pPr>
              <w:pStyle w:val="7"/>
              <w:spacing w:before="148" w:line="222" w:lineRule="auto"/>
              <w:ind w:left="128"/>
              <w:rPr>
                <w:rFonts w:hint="default" w:ascii="Arial Narrow" w:hAnsi="Arial Narrow" w:eastAsia="宋体"/>
                <w:spacing w:val="-6"/>
                <w:lang w:val="en-US" w:eastAsia="zh-CN"/>
              </w:rPr>
            </w:pPr>
            <w:r>
              <w:rPr>
                <w:rFonts w:hint="eastAsia" w:ascii="Arial Narrow" w:hAnsi="Arial Narrow" w:eastAsia="宋体"/>
                <w:spacing w:val="-6"/>
                <w:lang w:val="en-US" w:eastAsia="zh-CN"/>
              </w:rPr>
              <w:t>日期</w:t>
            </w:r>
          </w:p>
        </w:tc>
        <w:tc>
          <w:tcPr>
            <w:tcW w:w="3975" w:type="pct"/>
            <w:gridSpan w:val="2"/>
            <w:vAlign w:val="center"/>
          </w:tcPr>
          <w:p>
            <w:pPr>
              <w:pStyle w:val="7"/>
              <w:spacing w:before="166" w:line="220" w:lineRule="auto"/>
              <w:ind w:left="128"/>
              <w:jc w:val="left"/>
              <w:rPr>
                <w:rFonts w:hint="default" w:ascii="Arial Narrow" w:hAnsi="Arial Narrow" w:eastAsia="宋体"/>
                <w:spacing w:val="-4"/>
                <w:lang w:val="en-US" w:eastAsia="zh-CN"/>
              </w:rPr>
            </w:pPr>
            <w:r>
              <w:rPr>
                <w:rFonts w:hint="eastAsia" w:ascii="Arial Narrow" w:hAnsi="Arial Narrow" w:eastAsia="宋体"/>
                <w:spacing w:val="-4"/>
                <w:lang w:val="en-US" w:eastAsia="zh-CN"/>
              </w:rPr>
              <w:t>2024年5月7日</w:t>
            </w:r>
          </w:p>
        </w:tc>
      </w:tr>
    </w:tbl>
    <w:p>
      <w:pPr>
        <w:spacing w:line="91" w:lineRule="auto"/>
        <w:rPr>
          <w:rFonts w:ascii="Arial Narrow" w:hAnsi="Arial Narrow" w:eastAsia="宋体"/>
          <w:sz w:val="2"/>
          <w:lang w:eastAsia="zh-CN"/>
        </w:rPr>
      </w:pPr>
    </w:p>
    <w:sectPr>
      <w:pgSz w:w="11907" w:h="16839"/>
      <w:pgMar w:top="1440" w:right="1080" w:bottom="1440" w:left="10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C01F0"/>
    <w:multiLevelType w:val="multilevel"/>
    <w:tmpl w:val="30EC01F0"/>
    <w:lvl w:ilvl="0" w:tentative="0">
      <w:start w:val="1"/>
      <w:numFmt w:val="decimal"/>
      <w:lvlText w:val="%1."/>
      <w:lvlJc w:val="left"/>
      <w:pPr>
        <w:ind w:left="496" w:hanging="360"/>
      </w:pPr>
      <w:rPr>
        <w:rFonts w:hint="default"/>
      </w:rPr>
    </w:lvl>
    <w:lvl w:ilvl="1" w:tentative="0">
      <w:start w:val="1"/>
      <w:numFmt w:val="lowerLetter"/>
      <w:lvlText w:val="%2)"/>
      <w:lvlJc w:val="left"/>
      <w:pPr>
        <w:ind w:left="1016" w:hanging="440"/>
      </w:pPr>
    </w:lvl>
    <w:lvl w:ilvl="2" w:tentative="0">
      <w:start w:val="1"/>
      <w:numFmt w:val="lowerRoman"/>
      <w:lvlText w:val="%3."/>
      <w:lvlJc w:val="right"/>
      <w:pPr>
        <w:ind w:left="1456" w:hanging="440"/>
      </w:pPr>
    </w:lvl>
    <w:lvl w:ilvl="3" w:tentative="0">
      <w:start w:val="1"/>
      <w:numFmt w:val="decimal"/>
      <w:lvlText w:val="%4."/>
      <w:lvlJc w:val="left"/>
      <w:pPr>
        <w:ind w:left="1896" w:hanging="440"/>
      </w:pPr>
    </w:lvl>
    <w:lvl w:ilvl="4" w:tentative="0">
      <w:start w:val="1"/>
      <w:numFmt w:val="lowerLetter"/>
      <w:lvlText w:val="%5)"/>
      <w:lvlJc w:val="left"/>
      <w:pPr>
        <w:ind w:left="2336" w:hanging="440"/>
      </w:pPr>
    </w:lvl>
    <w:lvl w:ilvl="5" w:tentative="0">
      <w:start w:val="1"/>
      <w:numFmt w:val="lowerRoman"/>
      <w:lvlText w:val="%6."/>
      <w:lvlJc w:val="right"/>
      <w:pPr>
        <w:ind w:left="2776" w:hanging="440"/>
      </w:pPr>
    </w:lvl>
    <w:lvl w:ilvl="6" w:tentative="0">
      <w:start w:val="1"/>
      <w:numFmt w:val="decimal"/>
      <w:lvlText w:val="%7."/>
      <w:lvlJc w:val="left"/>
      <w:pPr>
        <w:ind w:left="3216" w:hanging="440"/>
      </w:pPr>
    </w:lvl>
    <w:lvl w:ilvl="7" w:tentative="0">
      <w:start w:val="1"/>
      <w:numFmt w:val="lowerLetter"/>
      <w:lvlText w:val="%8)"/>
      <w:lvlJc w:val="left"/>
      <w:pPr>
        <w:ind w:left="3656" w:hanging="440"/>
      </w:pPr>
    </w:lvl>
    <w:lvl w:ilvl="8" w:tentative="0">
      <w:start w:val="1"/>
      <w:numFmt w:val="lowerRoman"/>
      <w:lvlText w:val="%9."/>
      <w:lvlJc w:val="right"/>
      <w:pPr>
        <w:ind w:left="4096"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MjIyY2ZmMWE0OGYwN2MxZDFiZGYyNzEwMTMzYTYyZTIifQ=="/>
  </w:docVars>
  <w:rsids>
    <w:rsidRoot w:val="00132B6D"/>
    <w:rsid w:val="00132B6D"/>
    <w:rsid w:val="00331F12"/>
    <w:rsid w:val="003A6CFD"/>
    <w:rsid w:val="00683645"/>
    <w:rsid w:val="007F42C5"/>
    <w:rsid w:val="0091362C"/>
    <w:rsid w:val="009F4741"/>
    <w:rsid w:val="00A9039C"/>
    <w:rsid w:val="00AB4538"/>
    <w:rsid w:val="00C317EF"/>
    <w:rsid w:val="00C429A0"/>
    <w:rsid w:val="00C508A0"/>
    <w:rsid w:val="00E051F7"/>
    <w:rsid w:val="00EE2C33"/>
    <w:rsid w:val="00F72996"/>
    <w:rsid w:val="00F979D6"/>
    <w:rsid w:val="0C6C2BF0"/>
    <w:rsid w:val="10E6168C"/>
    <w:rsid w:val="15977F8D"/>
    <w:rsid w:val="16F90164"/>
    <w:rsid w:val="17076A0C"/>
    <w:rsid w:val="1D790048"/>
    <w:rsid w:val="283261F1"/>
    <w:rsid w:val="2A4734EC"/>
    <w:rsid w:val="2D4466F9"/>
    <w:rsid w:val="3A1C0471"/>
    <w:rsid w:val="3C406CD7"/>
    <w:rsid w:val="3E3266DF"/>
    <w:rsid w:val="3E6F35EF"/>
    <w:rsid w:val="44AA254B"/>
    <w:rsid w:val="490F0CE9"/>
    <w:rsid w:val="51855177"/>
    <w:rsid w:val="548465C9"/>
    <w:rsid w:val="560759DB"/>
    <w:rsid w:val="6CFC00DB"/>
    <w:rsid w:val="6E737F96"/>
    <w:rsid w:val="7FDB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pPr>
    <w:rPr>
      <w:sz w:val="18"/>
      <w:szCs w:val="18"/>
    </w:rPr>
  </w:style>
  <w:style w:type="paragraph" w:styleId="3">
    <w:name w:val="header"/>
    <w:basedOn w:val="1"/>
    <w:link w:val="8"/>
    <w:autoRedefine/>
    <w:unhideWhenUsed/>
    <w:qFormat/>
    <w:uiPriority w:val="99"/>
    <w:pPr>
      <w:tabs>
        <w:tab w:val="center" w:pos="4153"/>
        <w:tab w:val="right" w:pos="8306"/>
      </w:tabs>
      <w:jc w:val="center"/>
    </w:pPr>
    <w:rPr>
      <w:sz w:val="18"/>
      <w:szCs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4"/>
      <w:szCs w:val="24"/>
    </w:rPr>
  </w:style>
  <w:style w:type="character" w:customStyle="1" w:styleId="8">
    <w:name w:val="页眉 字符"/>
    <w:basedOn w:val="5"/>
    <w:link w:val="3"/>
    <w:autoRedefine/>
    <w:qFormat/>
    <w:uiPriority w:val="99"/>
    <w:rPr>
      <w:sz w:val="18"/>
      <w:szCs w:val="18"/>
    </w:rPr>
  </w:style>
  <w:style w:type="character" w:customStyle="1" w:styleId="9">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955</Words>
  <Characters>976</Characters>
  <Lines>33</Lines>
  <Paragraphs>17</Paragraphs>
  <TotalTime>0</TotalTime>
  <ScaleCrop>false</ScaleCrop>
  <LinksUpToDate>false</LinksUpToDate>
  <CharactersWithSpaces>1914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2022-05-06T15:20:00Z</dcterms:created>
  <dc:creator>毋晓妮</dc:creator>
  <cp:lastModifiedBy>何卓佳</cp:lastModifiedBy>
  <cp:lastPrinted>2024-05-07T06:54:00Z</cp:lastPrinted>
  <dcterms:modified xsi:type="dcterms:W3CDTF">2024-05-07T08:11:00Z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2024-05-03T16:40:34Z</vt:filetime>
  </property>
  <property fmtid="{D5CDD505-2E9C-101B-9397-08002B2CF9AE}" pid="4" name="KSOProductBuildVer">
    <vt:lpwstr>2052-12.1.0.16120</vt:lpwstr>
  </property>
  <property fmtid="{D5CDD505-2E9C-101B-9397-08002B2CF9AE}" pid="5" name="ICV">
    <vt:lpwstr>4674A26CC921401CB1F7B91463E0DE0E_13</vt:lpwstr>
  </property>
</Properties>
</file>