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eastAsia="宋体"/>
          <w:szCs w:val="32"/>
        </w:rPr>
      </w:pPr>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路德环境</w:t>
      </w:r>
    </w:p>
    <w:p>
      <w:pPr>
        <w:spacing w:line="360" w:lineRule="auto"/>
        <w:ind w:firstLine="0" w:firstLineChars="0"/>
        <w:rPr>
          <w:rFonts w:eastAsia="宋体"/>
          <w:szCs w:val="32"/>
        </w:rPr>
      </w:pPr>
    </w:p>
    <w:p>
      <w:pPr>
        <w:spacing w:line="360" w:lineRule="auto"/>
        <w:ind w:firstLine="0" w:firstLineChars="0"/>
        <w:jc w:val="center"/>
        <w:rPr>
          <w:rFonts w:eastAsia="宋体"/>
          <w:b/>
          <w:iCs/>
          <w:color w:val="000000"/>
          <w:sz w:val="44"/>
          <w:szCs w:val="44"/>
        </w:rPr>
      </w:pPr>
      <w:r>
        <w:rPr>
          <w:rFonts w:eastAsia="宋体"/>
          <w:b/>
          <w:iCs/>
          <w:color w:val="000000"/>
          <w:sz w:val="44"/>
          <w:szCs w:val="44"/>
        </w:rPr>
        <w:t>路德环境科技股份有限公司</w:t>
      </w:r>
    </w:p>
    <w:p>
      <w:pPr>
        <w:spacing w:line="360" w:lineRule="auto"/>
        <w:ind w:firstLine="0" w:firstLineChars="0"/>
        <w:jc w:val="center"/>
        <w:rPr>
          <w:rFonts w:eastAsia="宋体"/>
          <w:b/>
          <w:iCs/>
          <w:color w:val="000000"/>
          <w:sz w:val="44"/>
          <w:szCs w:val="44"/>
        </w:rPr>
      </w:pPr>
      <w:r>
        <w:rPr>
          <w:rFonts w:eastAsia="宋体"/>
          <w:b/>
          <w:iCs/>
          <w:color w:val="000000"/>
          <w:sz w:val="44"/>
          <w:szCs w:val="44"/>
        </w:rPr>
        <w:t>投资者关系活动记录表</w:t>
      </w:r>
    </w:p>
    <w:p>
      <w:pPr>
        <w:spacing w:line="360" w:lineRule="auto"/>
        <w:ind w:firstLine="0" w:firstLineChars="0"/>
        <w:jc w:val="center"/>
        <w:rPr>
          <w:rFonts w:eastAsia="宋体"/>
          <w:b/>
          <w:iCs/>
          <w:color w:val="000000"/>
          <w:sz w:val="24"/>
          <w:szCs w:val="24"/>
        </w:rPr>
      </w:pPr>
    </w:p>
    <w:p>
      <w:pPr>
        <w:spacing w:line="360" w:lineRule="auto"/>
        <w:ind w:firstLine="0" w:firstLineChars="0"/>
        <w:rPr>
          <w:rFonts w:hint="default" w:eastAsia="宋体"/>
          <w:bCs/>
          <w:iCs/>
          <w:color w:val="000000"/>
          <w:sz w:val="24"/>
          <w:szCs w:val="24"/>
          <w:lang w:val="en-US" w:eastAsia="zh-CN"/>
        </w:rPr>
      </w:pPr>
      <w:r>
        <w:rPr>
          <w:rFonts w:eastAsia="宋体"/>
          <w:bCs/>
          <w:iCs/>
          <w:color w:val="000000"/>
          <w:sz w:val="24"/>
          <w:szCs w:val="24"/>
        </w:rPr>
        <w:t xml:space="preserve">                                          </w:t>
      </w:r>
      <w:r>
        <w:rPr>
          <w:rFonts w:hint="eastAsia" w:eastAsia="宋体"/>
          <w:bCs/>
          <w:iCs/>
          <w:color w:val="000000"/>
          <w:sz w:val="24"/>
          <w:szCs w:val="24"/>
        </w:rPr>
        <w:t xml:space="preserve"> </w:t>
      </w:r>
      <w:r>
        <w:rPr>
          <w:rFonts w:eastAsia="宋体"/>
          <w:bCs/>
          <w:iCs/>
          <w:color w:val="000000"/>
          <w:sz w:val="24"/>
          <w:szCs w:val="24"/>
        </w:rPr>
        <w:t xml:space="preserve">编号：LDHJ </w:t>
      </w:r>
      <w:r>
        <w:rPr>
          <w:rFonts w:hint="eastAsia" w:eastAsia="宋体"/>
          <w:bCs/>
          <w:iCs/>
          <w:color w:val="000000"/>
          <w:sz w:val="24"/>
          <w:szCs w:val="24"/>
          <w:lang w:val="en-US" w:eastAsia="zh-CN"/>
        </w:rPr>
        <w:t xml:space="preserve"> </w:t>
      </w:r>
      <w:r>
        <w:rPr>
          <w:rFonts w:eastAsia="宋体"/>
          <w:bCs/>
          <w:iCs/>
          <w:color w:val="000000"/>
          <w:sz w:val="24"/>
          <w:szCs w:val="24"/>
        </w:rPr>
        <w:t>202</w:t>
      </w:r>
      <w:r>
        <w:rPr>
          <w:rFonts w:hint="eastAsia" w:eastAsia="宋体"/>
          <w:bCs/>
          <w:iCs/>
          <w:color w:val="000000"/>
          <w:sz w:val="24"/>
          <w:szCs w:val="24"/>
          <w:lang w:val="en-US" w:eastAsia="zh-CN"/>
        </w:rPr>
        <w:t>4</w:t>
      </w:r>
      <w:r>
        <w:rPr>
          <w:rFonts w:hint="eastAsia" w:eastAsia="宋体"/>
          <w:bCs/>
          <w:iCs/>
          <w:color w:val="000000"/>
          <w:sz w:val="24"/>
          <w:szCs w:val="24"/>
        </w:rPr>
        <w:t>-0</w:t>
      </w:r>
      <w:r>
        <w:rPr>
          <w:rFonts w:hint="eastAsia" w:eastAsia="宋体"/>
          <w:bCs/>
          <w:iCs/>
          <w:color w:val="000000"/>
          <w:sz w:val="24"/>
          <w:szCs w:val="24"/>
          <w:lang w:val="en-US" w:eastAsia="zh-CN"/>
        </w:rPr>
        <w:t>05至007</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投资者关系活动类别</w:t>
            </w:r>
          </w:p>
          <w:p>
            <w:pPr>
              <w:spacing w:line="360" w:lineRule="auto"/>
              <w:ind w:firstLine="0" w:firstLineChars="0"/>
              <w:jc w:val="center"/>
              <w:rPr>
                <w:rFonts w:ascii="宋体" w:hAnsi="宋体" w:eastAsia="宋体" w:cs="宋体"/>
                <w:bCs/>
                <w:iCs/>
                <w:color w:val="000000"/>
                <w:sz w:val="21"/>
                <w:szCs w:val="21"/>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□特定对象调研        □分析师会议</w:t>
            </w:r>
          </w:p>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 xml:space="preserve">□媒体采访            </w:t>
            </w:r>
            <w:r>
              <w:rPr>
                <w:rFonts w:hint="eastAsia" w:ascii="宋体" w:hAnsi="宋体" w:eastAsia="宋体" w:cs="宋体"/>
                <w:bCs/>
                <w:iCs/>
                <w:color w:val="000000"/>
                <w:sz w:val="21"/>
                <w:szCs w:val="21"/>
              </w:rPr>
              <w:sym w:font="Wingdings 2" w:char="00A3"/>
            </w:r>
            <w:r>
              <w:rPr>
                <w:rFonts w:hint="eastAsia" w:ascii="宋体" w:hAnsi="宋体" w:eastAsia="宋体" w:cs="宋体"/>
                <w:bCs/>
                <w:iCs/>
                <w:color w:val="000000"/>
                <w:sz w:val="21"/>
                <w:szCs w:val="21"/>
              </w:rPr>
              <w:t>业绩说明会</w:t>
            </w:r>
          </w:p>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 xml:space="preserve">□新闻发布会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路演活动</w:t>
            </w:r>
          </w:p>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 xml:space="preserve">□现场参观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电话会议</w:t>
            </w:r>
          </w:p>
          <w:p>
            <w:pPr>
              <w:spacing w:line="360" w:lineRule="auto"/>
              <w:ind w:firstLine="0" w:firstLineChars="0"/>
              <w:rPr>
                <w:rFonts w:ascii="宋体" w:hAnsi="宋体" w:eastAsia="宋体" w:cs="宋体"/>
                <w:bCs/>
                <w:iCs/>
                <w:color w:val="000000"/>
                <w:sz w:val="21"/>
                <w:szCs w:val="21"/>
              </w:rPr>
            </w:pPr>
            <w:r>
              <w:rPr>
                <w:rFonts w:hint="default" w:ascii="宋体" w:hAnsi="宋体" w:eastAsia="宋体" w:cs="宋体"/>
                <w:bCs/>
                <w:iCs/>
                <w:color w:val="000000"/>
                <w:sz w:val="21"/>
                <w:szCs w:val="21"/>
                <w:lang w:val="en-US"/>
              </w:rPr>
              <w:t>☑</w:t>
            </w:r>
            <w:r>
              <w:rPr>
                <w:rFonts w:hint="eastAsia" w:ascii="宋体" w:hAnsi="宋体" w:eastAsia="宋体" w:cs="宋体"/>
                <w:bCs/>
                <w:iCs/>
                <w:color w:val="000000"/>
                <w:sz w:val="21"/>
                <w:szCs w:val="21"/>
              </w:rPr>
              <w:t xml:space="preserve">网络会议            </w:t>
            </w:r>
            <w:r>
              <w:rPr>
                <w:rFonts w:hint="eastAsia" w:ascii="宋体" w:hAnsi="宋体" w:eastAsia="宋体" w:cs="宋体"/>
                <w:bCs/>
                <w:iCs/>
                <w:color w:val="000000"/>
                <w:sz w:val="21"/>
                <w:szCs w:val="21"/>
                <w:lang w:eastAsia="zh-CN"/>
              </w:rPr>
              <w:t>□</w:t>
            </w:r>
            <w:r>
              <w:rPr>
                <w:rFonts w:hint="eastAsia" w:ascii="宋体" w:hAnsi="宋体" w:eastAsia="宋体" w:cs="宋体"/>
                <w:bCs/>
                <w:iCs/>
                <w:color w:val="00000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20"/>
              <w:rPr>
                <w:rFonts w:ascii="宋体" w:hAnsi="宋体" w:eastAsia="宋体" w:cs="宋体"/>
                <w:bCs/>
                <w:iCs/>
                <w:sz w:val="21"/>
                <w:szCs w:val="21"/>
                <w:highlight w:val="none"/>
              </w:rPr>
            </w:pPr>
            <w:r>
              <w:rPr>
                <w:rFonts w:hint="eastAsia" w:ascii="宋体" w:hAnsi="宋体" w:eastAsia="宋体" w:cs="宋体"/>
                <w:bCs/>
                <w:iCs/>
                <w:sz w:val="21"/>
                <w:szCs w:val="21"/>
                <w:highlight w:val="none"/>
              </w:rPr>
              <w:t>公司于202</w:t>
            </w:r>
            <w:r>
              <w:rPr>
                <w:rFonts w:hint="eastAsia" w:ascii="宋体" w:hAnsi="宋体" w:eastAsia="宋体" w:cs="宋体"/>
                <w:bCs/>
                <w:iCs/>
                <w:sz w:val="21"/>
                <w:szCs w:val="21"/>
                <w:highlight w:val="none"/>
                <w:lang w:val="en-US" w:eastAsia="zh-CN"/>
              </w:rPr>
              <w:t>4</w:t>
            </w:r>
            <w:r>
              <w:rPr>
                <w:rFonts w:hint="eastAsia" w:ascii="宋体" w:hAnsi="宋体" w:eastAsia="宋体" w:cs="宋体"/>
                <w:bCs/>
                <w:iCs/>
                <w:sz w:val="21"/>
                <w:szCs w:val="21"/>
                <w:highlight w:val="none"/>
              </w:rPr>
              <w:t>年</w:t>
            </w:r>
            <w:r>
              <w:rPr>
                <w:rFonts w:hint="eastAsia" w:ascii="宋体" w:hAnsi="宋体" w:eastAsia="宋体" w:cs="宋体"/>
                <w:bCs/>
                <w:iCs/>
                <w:sz w:val="21"/>
                <w:szCs w:val="21"/>
                <w:highlight w:val="none"/>
                <w:lang w:val="en-US" w:eastAsia="zh-CN"/>
              </w:rPr>
              <w:t>4</w:t>
            </w:r>
            <w:r>
              <w:rPr>
                <w:rFonts w:hint="eastAsia" w:ascii="宋体" w:hAnsi="宋体" w:eastAsia="宋体" w:cs="宋体"/>
                <w:bCs/>
                <w:iCs/>
                <w:sz w:val="21"/>
                <w:szCs w:val="21"/>
                <w:highlight w:val="none"/>
              </w:rPr>
              <w:t>月</w:t>
            </w:r>
            <w:r>
              <w:rPr>
                <w:rFonts w:ascii="宋体" w:hAnsi="宋体" w:eastAsia="宋体" w:cs="宋体"/>
                <w:bCs/>
                <w:iCs/>
                <w:sz w:val="21"/>
                <w:szCs w:val="21"/>
                <w:highlight w:val="none"/>
              </w:rPr>
              <w:t>2</w:t>
            </w:r>
            <w:r>
              <w:rPr>
                <w:rFonts w:hint="eastAsia" w:ascii="宋体" w:hAnsi="宋体" w:eastAsia="宋体" w:cs="宋体"/>
                <w:bCs/>
                <w:iCs/>
                <w:sz w:val="21"/>
                <w:szCs w:val="21"/>
                <w:highlight w:val="none"/>
                <w:lang w:val="en-US" w:eastAsia="zh-CN"/>
              </w:rPr>
              <w:t>9</w:t>
            </w:r>
            <w:r>
              <w:rPr>
                <w:rFonts w:hint="eastAsia" w:ascii="宋体" w:hAnsi="宋体" w:eastAsia="宋体" w:cs="宋体"/>
                <w:bCs/>
                <w:iCs/>
                <w:sz w:val="21"/>
                <w:szCs w:val="21"/>
                <w:highlight w:val="none"/>
              </w:rPr>
              <w:t>日</w:t>
            </w:r>
            <w:r>
              <w:rPr>
                <w:rFonts w:hint="eastAsia" w:ascii="宋体" w:hAnsi="宋体" w:eastAsia="宋体" w:cs="宋体"/>
                <w:bCs/>
                <w:iCs/>
                <w:sz w:val="21"/>
                <w:szCs w:val="21"/>
                <w:highlight w:val="none"/>
                <w:lang w:val="en-US" w:eastAsia="zh-CN"/>
              </w:rPr>
              <w:t>至5月7日</w:t>
            </w:r>
            <w:r>
              <w:rPr>
                <w:rFonts w:hint="eastAsia" w:ascii="宋体" w:hAnsi="宋体" w:eastAsia="宋体" w:cs="宋体"/>
                <w:bCs/>
                <w:iCs/>
                <w:sz w:val="21"/>
                <w:szCs w:val="21"/>
                <w:highlight w:val="none"/>
              </w:rPr>
              <w:t>组织线上</w:t>
            </w:r>
            <w:r>
              <w:rPr>
                <w:rFonts w:hint="eastAsia" w:ascii="宋体" w:hAnsi="宋体" w:eastAsia="宋体" w:cs="宋体"/>
                <w:bCs/>
                <w:iCs/>
                <w:sz w:val="21"/>
                <w:szCs w:val="21"/>
                <w:highlight w:val="none"/>
                <w:lang w:eastAsia="zh-CN"/>
              </w:rPr>
              <w:t>、</w:t>
            </w:r>
            <w:r>
              <w:rPr>
                <w:rFonts w:hint="eastAsia" w:ascii="宋体" w:hAnsi="宋体" w:eastAsia="宋体" w:cs="宋体"/>
                <w:bCs/>
                <w:iCs/>
                <w:sz w:val="21"/>
                <w:szCs w:val="21"/>
                <w:highlight w:val="none"/>
                <w:lang w:val="en-US" w:eastAsia="zh-CN"/>
              </w:rPr>
              <w:t>线下</w:t>
            </w:r>
            <w:r>
              <w:rPr>
                <w:rFonts w:hint="eastAsia" w:ascii="宋体" w:hAnsi="宋体" w:eastAsia="宋体" w:cs="宋体"/>
                <w:bCs/>
                <w:iCs/>
                <w:sz w:val="21"/>
                <w:szCs w:val="21"/>
                <w:highlight w:val="none"/>
              </w:rPr>
              <w:t>投资者交流活动，</w:t>
            </w:r>
            <w:r>
              <w:rPr>
                <w:rFonts w:hint="eastAsia" w:ascii="宋体" w:hAnsi="宋体" w:eastAsia="宋体" w:cs="宋体"/>
                <w:bCs/>
                <w:iCs/>
                <w:sz w:val="21"/>
                <w:szCs w:val="21"/>
                <w:highlight w:val="none"/>
                <w:lang w:val="en-US" w:eastAsia="zh-CN"/>
              </w:rPr>
              <w:t>中信证券、中金公司、</w:t>
            </w:r>
            <w:r>
              <w:rPr>
                <w:rFonts w:hint="eastAsia" w:ascii="宋体" w:hAnsi="宋体" w:eastAsia="宋体" w:cs="宋体"/>
                <w:bCs/>
                <w:iCs/>
                <w:sz w:val="21"/>
                <w:szCs w:val="21"/>
                <w:highlight w:val="none"/>
              </w:rPr>
              <w:t>浙商证券、</w:t>
            </w:r>
            <w:r>
              <w:rPr>
                <w:rFonts w:hint="eastAsia" w:ascii="宋体" w:hAnsi="宋体" w:eastAsia="宋体" w:cs="宋体"/>
                <w:bCs/>
                <w:iCs/>
                <w:sz w:val="21"/>
                <w:szCs w:val="21"/>
                <w:highlight w:val="none"/>
                <w:lang w:val="en-US" w:eastAsia="zh-CN"/>
              </w:rPr>
              <w:t>中航证券</w:t>
            </w:r>
            <w:r>
              <w:rPr>
                <w:rFonts w:hint="eastAsia" w:ascii="宋体" w:hAnsi="宋体" w:eastAsia="宋体" w:cs="宋体"/>
                <w:bCs/>
                <w:iCs/>
                <w:sz w:val="21"/>
                <w:szCs w:val="21"/>
                <w:highlight w:val="none"/>
                <w:lang w:eastAsia="zh-CN"/>
              </w:rPr>
              <w:t>、</w:t>
            </w:r>
            <w:r>
              <w:rPr>
                <w:rFonts w:hint="eastAsia" w:ascii="宋体" w:hAnsi="宋体" w:eastAsia="宋体" w:cs="宋体"/>
                <w:bCs/>
                <w:iCs/>
                <w:sz w:val="21"/>
                <w:szCs w:val="21"/>
                <w:highlight w:val="none"/>
              </w:rPr>
              <w:t>国金证券、广发证券、嘉泰基金、百嘉基金、域秀资产等</w:t>
            </w:r>
            <w:r>
              <w:rPr>
                <w:rFonts w:hint="eastAsia" w:ascii="宋体" w:hAnsi="宋体" w:eastAsia="宋体" w:cs="宋体"/>
                <w:bCs/>
                <w:iCs/>
                <w:sz w:val="21"/>
                <w:szCs w:val="21"/>
                <w:highlight w:val="none"/>
                <w:lang w:val="en-US" w:eastAsia="zh-CN"/>
              </w:rPr>
              <w:t>6</w:t>
            </w:r>
            <w:r>
              <w:rPr>
                <w:rFonts w:ascii="宋体" w:hAnsi="宋体" w:eastAsia="宋体" w:cs="宋体"/>
                <w:bCs/>
                <w:iCs/>
                <w:color w:val="000000"/>
                <w:sz w:val="21"/>
                <w:szCs w:val="21"/>
                <w:highlight w:val="none"/>
              </w:rPr>
              <w:t>0</w:t>
            </w:r>
            <w:r>
              <w:rPr>
                <w:rFonts w:hint="eastAsia" w:ascii="宋体" w:hAnsi="宋体" w:eastAsia="宋体" w:cs="宋体"/>
                <w:bCs/>
                <w:iCs/>
                <w:sz w:val="21"/>
                <w:szCs w:val="21"/>
                <w:highlight w:val="none"/>
              </w:rPr>
              <w:t>余家机构参与。名单详见附件清单。</w:t>
            </w:r>
          </w:p>
          <w:p>
            <w:pPr>
              <w:spacing w:line="360" w:lineRule="auto"/>
              <w:ind w:firstLine="420"/>
              <w:rPr>
                <w:rFonts w:ascii="宋体" w:hAnsi="宋体" w:eastAsia="宋体" w:cs="宋体"/>
                <w:bCs/>
                <w:iCs/>
                <w:sz w:val="21"/>
                <w:szCs w:val="21"/>
              </w:rPr>
            </w:pPr>
            <w:r>
              <w:rPr>
                <w:rFonts w:hint="eastAsia" w:ascii="宋体" w:hAnsi="宋体" w:eastAsia="宋体" w:cs="宋体"/>
                <w:bCs/>
                <w:iCs/>
                <w:sz w:val="21"/>
                <w:szCs w:val="21"/>
              </w:rPr>
              <w:t>重要提示：参会人员名单由组织机构提供并经整理后展示。公司无法保证参会人员及其单位名称的完整性和准确性，请投资者注意。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时间</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1"/>
                <w:szCs w:val="21"/>
                <w:lang w:val="en-US" w:eastAsia="zh-CN"/>
              </w:rPr>
            </w:pPr>
            <w:r>
              <w:rPr>
                <w:rFonts w:hint="eastAsia" w:ascii="宋体" w:hAnsi="宋体" w:eastAsia="宋体" w:cs="宋体"/>
                <w:bCs/>
                <w:iCs/>
                <w:color w:val="000000"/>
                <w:sz w:val="21"/>
                <w:szCs w:val="21"/>
              </w:rPr>
              <w:t>202</w:t>
            </w:r>
            <w:r>
              <w:rPr>
                <w:rFonts w:hint="eastAsia" w:ascii="宋体" w:hAnsi="宋体" w:eastAsia="宋体" w:cs="宋体"/>
                <w:bCs/>
                <w:iCs/>
                <w:color w:val="000000"/>
                <w:sz w:val="21"/>
                <w:szCs w:val="21"/>
                <w:lang w:val="en-US" w:eastAsia="zh-CN"/>
              </w:rPr>
              <w:t>4</w:t>
            </w:r>
            <w:r>
              <w:rPr>
                <w:rFonts w:hint="eastAsia" w:ascii="宋体" w:hAnsi="宋体" w:eastAsia="宋体" w:cs="宋体"/>
                <w:bCs/>
                <w:iCs/>
                <w:color w:val="000000"/>
                <w:sz w:val="21"/>
                <w:szCs w:val="21"/>
              </w:rPr>
              <w:t>年</w:t>
            </w:r>
            <w:r>
              <w:rPr>
                <w:rFonts w:hint="eastAsia" w:ascii="宋体" w:hAnsi="宋体" w:eastAsia="宋体" w:cs="宋体"/>
                <w:bCs/>
                <w:iCs/>
                <w:color w:val="000000"/>
                <w:sz w:val="21"/>
                <w:szCs w:val="21"/>
                <w:lang w:val="en-US" w:eastAsia="zh-CN"/>
              </w:rPr>
              <w:t>4</w:t>
            </w:r>
            <w:r>
              <w:rPr>
                <w:rFonts w:hint="eastAsia" w:ascii="宋体" w:hAnsi="宋体" w:eastAsia="宋体" w:cs="宋体"/>
                <w:bCs/>
                <w:iCs/>
                <w:sz w:val="21"/>
                <w:szCs w:val="21"/>
              </w:rPr>
              <w:t>月</w:t>
            </w:r>
            <w:r>
              <w:rPr>
                <w:rFonts w:ascii="宋体" w:hAnsi="宋体" w:eastAsia="宋体" w:cs="宋体"/>
                <w:bCs/>
                <w:iCs/>
                <w:sz w:val="21"/>
                <w:szCs w:val="21"/>
              </w:rPr>
              <w:t>2</w:t>
            </w:r>
            <w:r>
              <w:rPr>
                <w:rFonts w:hint="eastAsia" w:ascii="宋体" w:hAnsi="宋体" w:eastAsia="宋体" w:cs="宋体"/>
                <w:bCs/>
                <w:iCs/>
                <w:sz w:val="21"/>
                <w:szCs w:val="21"/>
                <w:lang w:val="en-US" w:eastAsia="zh-CN"/>
              </w:rPr>
              <w:t>6</w:t>
            </w:r>
            <w:r>
              <w:rPr>
                <w:rFonts w:hint="eastAsia" w:ascii="宋体" w:hAnsi="宋体" w:eastAsia="宋体" w:cs="宋体"/>
                <w:bCs/>
                <w:iCs/>
                <w:sz w:val="21"/>
                <w:szCs w:val="21"/>
              </w:rPr>
              <w:t>日</w:t>
            </w:r>
            <w:r>
              <w:rPr>
                <w:rFonts w:hint="eastAsia" w:ascii="宋体" w:hAnsi="宋体" w:eastAsia="宋体" w:cs="宋体"/>
                <w:bCs/>
                <w:iCs/>
                <w:sz w:val="21"/>
                <w:szCs w:val="21"/>
                <w:lang w:val="en-US" w:eastAsia="zh-CN"/>
              </w:rPr>
              <w:t>-2024年5月7日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上市公司接待</w:t>
            </w:r>
          </w:p>
          <w:p>
            <w:pPr>
              <w:spacing w:line="360" w:lineRule="auto"/>
              <w:ind w:firstLine="0" w:firstLineChars="0"/>
              <w:jc w:val="center"/>
              <w:rPr>
                <w:rFonts w:ascii="宋体" w:hAnsi="宋体" w:eastAsia="宋体" w:cs="宋体"/>
                <w:bCs/>
                <w:iCs/>
                <w:color w:val="000000"/>
                <w:sz w:val="21"/>
                <w:szCs w:val="21"/>
              </w:rPr>
            </w:pPr>
            <w:r>
              <w:rPr>
                <w:rFonts w:hint="eastAsia" w:ascii="宋体" w:hAnsi="宋体" w:eastAsia="宋体" w:cs="宋体"/>
                <w:bCs/>
                <w:iCs/>
                <w:color w:val="000000"/>
                <w:sz w:val="21"/>
                <w:szCs w:val="21"/>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rPr>
                <w:rFonts w:ascii="宋体" w:hAnsi="宋体" w:eastAsia="宋体" w:cs="宋体"/>
                <w:bCs/>
                <w:iCs/>
                <w:color w:val="000000"/>
                <w:sz w:val="21"/>
                <w:szCs w:val="21"/>
              </w:rPr>
            </w:pPr>
            <w:r>
              <w:rPr>
                <w:rFonts w:hint="eastAsia" w:ascii="宋体" w:hAnsi="宋体" w:eastAsia="宋体" w:cs="宋体"/>
                <w:bCs/>
                <w:iCs/>
                <w:color w:val="000000"/>
                <w:sz w:val="21"/>
                <w:szCs w:val="21"/>
              </w:rPr>
              <w:t>副总经理、董事会秘书：刘菁</w:t>
            </w:r>
          </w:p>
          <w:p>
            <w:pPr>
              <w:spacing w:line="360" w:lineRule="auto"/>
              <w:ind w:firstLine="0" w:firstLineChars="0"/>
              <w:rPr>
                <w:rFonts w:hint="default" w:eastAsia="仿宋"/>
                <w:lang w:val="en-US" w:eastAsia="zh-CN"/>
              </w:rPr>
            </w:pPr>
            <w:r>
              <w:rPr>
                <w:rFonts w:hint="eastAsia" w:ascii="宋体" w:hAnsi="宋体" w:eastAsia="宋体" w:cs="宋体"/>
                <w:sz w:val="22"/>
                <w:szCs w:val="15"/>
                <w:lang w:val="en-US" w:eastAsia="zh-CN"/>
              </w:rPr>
              <w:t>副总经理、武汉路康德总经理：苏海涯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sz w:val="21"/>
                <w:szCs w:val="21"/>
              </w:rPr>
            </w:pPr>
            <w:r>
              <w:rPr>
                <w:rFonts w:hint="eastAsia" w:ascii="宋体" w:hAnsi="宋体" w:eastAsia="宋体" w:cs="宋体"/>
                <w:bCs/>
                <w:iCs/>
                <w:sz w:val="21"/>
                <w:szCs w:val="21"/>
              </w:rPr>
              <w:t>投资者关系活动</w:t>
            </w:r>
          </w:p>
          <w:p>
            <w:pPr>
              <w:spacing w:line="360" w:lineRule="auto"/>
              <w:ind w:firstLine="0" w:firstLineChars="0"/>
              <w:jc w:val="center"/>
              <w:rPr>
                <w:rFonts w:ascii="宋体" w:hAnsi="宋体" w:eastAsia="宋体" w:cs="宋体"/>
                <w:bCs/>
                <w:iCs/>
                <w:color w:val="5B9BD5" w:themeColor="accent1"/>
                <w:sz w:val="21"/>
                <w:szCs w:val="21"/>
                <w14:textFill>
                  <w14:solidFill>
                    <w14:schemeClr w14:val="accent1"/>
                  </w14:solidFill>
                </w14:textFill>
              </w:rPr>
            </w:pPr>
            <w:r>
              <w:rPr>
                <w:rFonts w:hint="eastAsia" w:ascii="宋体" w:hAnsi="宋体" w:eastAsia="宋体" w:cs="宋体"/>
                <w:bCs/>
                <w:iCs/>
                <w:sz w:val="21"/>
                <w:szCs w:val="21"/>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jc w:val="left"/>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月2</w:t>
            </w:r>
            <w:r>
              <w:rPr>
                <w:rFonts w:hint="default" w:ascii="Times New Roman" w:hAnsi="Times New Roman" w:eastAsia="宋体" w:cs="Times New Roman"/>
                <w:bCs/>
                <w:iCs/>
                <w:sz w:val="24"/>
                <w:szCs w:val="24"/>
                <w:lang w:val="en-US" w:eastAsia="zh-CN"/>
              </w:rPr>
              <w:t>6</w:t>
            </w:r>
            <w:r>
              <w:rPr>
                <w:rFonts w:hint="default" w:ascii="Times New Roman" w:hAnsi="Times New Roman" w:eastAsia="宋体" w:cs="Times New Roman"/>
                <w:bCs/>
                <w:iCs/>
                <w:sz w:val="24"/>
                <w:szCs w:val="24"/>
              </w:rPr>
              <w:t>日</w:t>
            </w:r>
            <w:r>
              <w:rPr>
                <w:rFonts w:hint="default" w:ascii="Times New Roman" w:hAnsi="Times New Roman" w:eastAsia="宋体" w:cs="Times New Roman"/>
                <w:bCs/>
                <w:iCs/>
                <w:sz w:val="24"/>
                <w:szCs w:val="24"/>
                <w:lang w:val="en-US" w:eastAsia="zh-CN"/>
              </w:rPr>
              <w:t>至5月7日</w:t>
            </w:r>
            <w:r>
              <w:rPr>
                <w:rFonts w:hint="default" w:ascii="Times New Roman" w:hAnsi="Times New Roman" w:eastAsia="宋体" w:cs="Times New Roman"/>
                <w:bCs/>
                <w:iCs/>
                <w:sz w:val="24"/>
                <w:szCs w:val="24"/>
              </w:rPr>
              <w:t>投资者交流中，公司高管就投资者关心的问题在合规范围内与调研人员进行了沟通。以下为活动纪要：</w:t>
            </w:r>
          </w:p>
          <w:p>
            <w:pPr>
              <w:numPr>
                <w:ilvl w:val="0"/>
                <w:numId w:val="0"/>
              </w:num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iCs/>
                <w:sz w:val="24"/>
                <w:szCs w:val="24"/>
                <w:lang w:val="en-US" w:eastAsia="zh-CN"/>
              </w:rPr>
              <w:t>一、</w:t>
            </w:r>
            <w:r>
              <w:rPr>
                <w:rFonts w:hint="default" w:ascii="Times New Roman" w:hAnsi="Times New Roman" w:eastAsia="宋体" w:cs="Times New Roman"/>
                <w:b/>
                <w:iCs/>
                <w:sz w:val="24"/>
                <w:szCs w:val="24"/>
              </w:rPr>
              <w:t>公司2023年</w:t>
            </w:r>
            <w:r>
              <w:rPr>
                <w:rFonts w:hint="default" w:ascii="Times New Roman" w:hAnsi="Times New Roman" w:eastAsia="宋体" w:cs="Times New Roman"/>
                <w:b/>
                <w:iCs/>
                <w:sz w:val="24"/>
                <w:szCs w:val="24"/>
                <w:lang w:val="en-US" w:eastAsia="zh-CN"/>
              </w:rPr>
              <w:t>年</w:t>
            </w:r>
            <w:r>
              <w:rPr>
                <w:rFonts w:hint="default" w:ascii="Times New Roman" w:hAnsi="Times New Roman" w:eastAsia="宋体" w:cs="Times New Roman"/>
                <w:b/>
                <w:iCs/>
                <w:sz w:val="24"/>
                <w:szCs w:val="24"/>
              </w:rPr>
              <w:t>度生产经营情况概述</w:t>
            </w:r>
          </w:p>
          <w:p>
            <w:pPr>
              <w:rPr>
                <w:rFonts w:hint="default" w:ascii="Times New Roman" w:hAnsi="Times New Roman" w:eastAsia="宋体" w:cs="Times New Roman"/>
                <w:sz w:val="24"/>
                <w:szCs w:val="16"/>
                <w:lang w:val="en-US" w:eastAsia="zh-CN"/>
              </w:rPr>
            </w:pPr>
            <w:r>
              <w:rPr>
                <w:rFonts w:hint="default" w:ascii="Times New Roman" w:hAnsi="Times New Roman" w:eastAsia="宋体" w:cs="Times New Roman"/>
                <w:sz w:val="24"/>
                <w:szCs w:val="16"/>
                <w:lang w:val="en-US" w:eastAsia="zh-CN"/>
              </w:rPr>
              <w:t>2023年，公司实现营业收入35,107.62万元，较上年同期增长2.63%；实现归属于上市公司股东的净利润2,696.95万元，较上年同期增长4.02%；实现扣除非经常性损益后归属上市公 司股东的净利润2,046.40万元，较上年同期增长2.30%。</w:t>
            </w:r>
          </w:p>
          <w:p>
            <w:pPr>
              <w:rPr>
                <w:rFonts w:hint="default" w:ascii="Times New Roman" w:hAnsi="Times New Roman" w:eastAsia="宋体" w:cs="Times New Roman"/>
                <w:sz w:val="24"/>
                <w:szCs w:val="16"/>
                <w:lang w:val="en-US" w:eastAsia="zh-CN"/>
              </w:rPr>
            </w:pPr>
            <w:r>
              <w:rPr>
                <w:rFonts w:hint="default" w:ascii="Times New Roman" w:hAnsi="Times New Roman" w:eastAsia="宋体" w:cs="Times New Roman"/>
                <w:sz w:val="24"/>
                <w:szCs w:val="16"/>
                <w:lang w:val="en-US" w:eastAsia="zh-CN"/>
              </w:rPr>
              <w:t>公司白酒糟生物发酵饲料业务收入19,679.48万元，同比增长24.22%，占营业收入56.05%，白酒糟生物发酵饲料销量达到9.33万吨，同比增长27.63%；</w:t>
            </w:r>
          </w:p>
          <w:p>
            <w:pPr>
              <w:pStyle w:val="4"/>
              <w:rPr>
                <w:rFonts w:hint="default" w:ascii="Times New Roman" w:hAnsi="Times New Roman" w:eastAsia="宋体" w:cs="Times New Roman"/>
                <w:sz w:val="24"/>
                <w:szCs w:val="18"/>
                <w:lang w:val="en-US" w:eastAsia="zh-CN"/>
              </w:rPr>
            </w:pPr>
            <w:r>
              <w:rPr>
                <w:rFonts w:hint="default" w:ascii="Times New Roman" w:hAnsi="Times New Roman" w:eastAsia="宋体" w:cs="Times New Roman"/>
                <w:b w:val="0"/>
                <w:bCs w:val="0"/>
                <w:sz w:val="24"/>
                <w:szCs w:val="18"/>
                <w:lang w:val="en-US" w:eastAsia="zh-CN"/>
              </w:rPr>
              <w:t>无机固废处理服务业务板块，1</w:t>
            </w:r>
            <w:r>
              <w:rPr>
                <w:rFonts w:hint="default" w:ascii="Times New Roman" w:hAnsi="Times New Roman" w:eastAsia="宋体" w:cs="Times New Roman"/>
                <w:sz w:val="24"/>
                <w:szCs w:val="18"/>
                <w:lang w:val="en-US" w:eastAsia="zh-CN"/>
              </w:rPr>
              <w:t>）河湖淤泥处理服务业务收入9,005.29万元，同比下滑9.46%，主要原因系公司目前处于产业结构向生物发酵饲料业务转型关键期，主动放弃承接回款预期较长的环保工程类新项目；2）工程泥浆处理服务业务收入5,459.41万元，同比减少33.77%，主要原因系受建筑工程开工减少及杭州亚运会期间部分建设项目缓建或停工影响，公司工程泥浆处理服务业务收纳、处置的泥浆量大幅减少；</w:t>
            </w:r>
          </w:p>
          <w:p>
            <w:pPr>
              <w:ind w:left="0" w:leftChars="0" w:firstLine="0" w:firstLineChars="0"/>
              <w:jc w:val="left"/>
              <w:rPr>
                <w:rFonts w:hint="default" w:ascii="Times New Roman" w:hAnsi="Times New Roman" w:eastAsia="宋体" w:cs="Times New Roman"/>
                <w:b/>
                <w:bCs/>
                <w:sz w:val="24"/>
                <w:szCs w:val="16"/>
                <w:lang w:val="en-US" w:eastAsia="zh-CN"/>
              </w:rPr>
            </w:pPr>
            <w:r>
              <w:rPr>
                <w:rFonts w:hint="default" w:ascii="Times New Roman" w:hAnsi="Times New Roman" w:eastAsia="宋体" w:cs="Times New Roman"/>
                <w:b/>
                <w:bCs/>
                <w:sz w:val="24"/>
                <w:szCs w:val="16"/>
                <w:lang w:val="en-US" w:eastAsia="zh-CN"/>
              </w:rPr>
              <w:t>二、2024年一季度生产经营情况概述</w:t>
            </w:r>
          </w:p>
          <w:p>
            <w:pPr>
              <w:ind w:left="0" w:leftChars="0" w:firstLine="480" w:firstLineChars="200"/>
              <w:rPr>
                <w:rFonts w:hint="default" w:ascii="Times New Roman" w:hAnsi="Times New Roman" w:eastAsia="宋体" w:cs="Times New Roman"/>
                <w:sz w:val="24"/>
                <w:szCs w:val="16"/>
                <w:lang w:val="en-US" w:eastAsia="zh-CN"/>
              </w:rPr>
            </w:pPr>
            <w:r>
              <w:rPr>
                <w:rFonts w:hint="default" w:ascii="Times New Roman" w:hAnsi="Times New Roman" w:eastAsia="宋体" w:cs="Times New Roman"/>
                <w:sz w:val="24"/>
                <w:szCs w:val="16"/>
                <w:lang w:val="en-US" w:eastAsia="zh-CN"/>
              </w:rPr>
              <w:t>2024年一季度，公司实现营业收入6,795.47万元，同比增长21.90%；实现归属于上市公司股东的净利润567.38万元，同比增长了54.15%；实现归属于上市公司股东的扣除非经常性损益的净利润507.58万元，同比增长了88.16%。</w:t>
            </w:r>
          </w:p>
          <w:p>
            <w:pPr>
              <w:pStyle w:val="4"/>
              <w:numPr>
                <w:ilvl w:val="0"/>
                <w:numId w:val="0"/>
              </w:numPr>
              <w:ind w:firstLine="480" w:firstLineChars="200"/>
              <w:rPr>
                <w:rFonts w:hint="default" w:ascii="Times New Roman" w:hAnsi="Times New Roman" w:eastAsia="宋体" w:cs="Times New Roman"/>
                <w:sz w:val="24"/>
                <w:szCs w:val="18"/>
                <w:lang w:val="en-US" w:eastAsia="zh-CN"/>
              </w:rPr>
            </w:pPr>
            <w:r>
              <w:rPr>
                <w:rFonts w:hint="default" w:ascii="Times New Roman" w:hAnsi="Times New Roman" w:eastAsia="宋体" w:cs="Times New Roman"/>
                <w:sz w:val="24"/>
                <w:szCs w:val="18"/>
                <w:lang w:val="en-US" w:eastAsia="zh-CN"/>
              </w:rPr>
              <w:t>白酒糟生物发酵饲料业务实现销量2.45万吨，较上年同期增长66.30%；实现销售收入5,032.72万元，较上年同期增长62.99%；白酒糟生物发酵饲料业务收入占比达74.06%，较去年同期提升18.67个百分点。主要系公司重塑销售架构组建销售公司和专业营销团队，调整营销策略，持续加强市场开发力度，同时不断地进行产品迭代升级，提升产品性价比。</w:t>
            </w:r>
          </w:p>
          <w:p>
            <w:pPr>
              <w:pStyle w:val="4"/>
              <w:numPr>
                <w:ilvl w:val="0"/>
                <w:numId w:val="0"/>
              </w:numPr>
              <w:ind w:firstLine="480" w:firstLineChars="200"/>
              <w:rPr>
                <w:rFonts w:hint="default" w:ascii="Times New Roman" w:hAnsi="Times New Roman" w:eastAsia="宋体" w:cs="Times New Roman"/>
                <w:sz w:val="24"/>
                <w:szCs w:val="18"/>
                <w:lang w:val="en-US" w:eastAsia="zh-CN"/>
              </w:rPr>
            </w:pPr>
            <w:r>
              <w:rPr>
                <w:rFonts w:hint="default" w:ascii="Times New Roman" w:hAnsi="Times New Roman" w:eastAsia="宋体" w:cs="Times New Roman"/>
                <w:sz w:val="24"/>
                <w:szCs w:val="18"/>
                <w:lang w:val="en-US" w:eastAsia="zh-CN"/>
              </w:rPr>
              <w:t>（2）无机固废处理业务本报告期内实现收入1,089.31万元，同比下降55.85%，其中：①河湖淤泥处理服务本报告期内实现收入748.82万元，较上年同期增加16.97%，毛利润较上年同期也有所增加。②工程泥浆处理服务本报告期内实现收入340.49万元，同比下降81.37%，主要系受建筑行业影响，房建、基建等项目开工减少，公司工程泥浆处理服务业务收纳、处置的泥浆量大幅减少，导致该业务营业收入、利润下滑明显。随着当地基建项目逐步恢复，未来该业务将回归正常。③目前公司在手订单“连云港碱渣治理与资源化利用创新示范项目A工艺运行服务项目”尚处于设备调试阶段，投入运营后会对未来无机板块业务形成收益贡献。</w:t>
            </w:r>
          </w:p>
          <w:p>
            <w:pPr>
              <w:spacing w:line="360" w:lineRule="auto"/>
              <w:ind w:left="0" w:leftChars="0" w:firstLine="0" w:firstLineChars="0"/>
              <w:rPr>
                <w:rFonts w:hint="eastAsia" w:cs="宋体" w:asciiTheme="minorEastAsia" w:hAnsiTheme="minorEastAsia" w:eastAsiaTheme="minorEastAsia"/>
                <w:b/>
                <w:iCs/>
                <w:sz w:val="21"/>
                <w:szCs w:val="21"/>
              </w:rPr>
            </w:pPr>
            <w:r>
              <w:rPr>
                <w:rFonts w:hint="eastAsia" w:cs="宋体" w:asciiTheme="minorEastAsia" w:hAnsiTheme="minorEastAsia" w:eastAsiaTheme="minorEastAsia"/>
                <w:b/>
                <w:iCs/>
                <w:sz w:val="21"/>
                <w:szCs w:val="21"/>
                <w:lang w:val="en-US" w:eastAsia="zh-CN"/>
              </w:rPr>
              <w:t>三</w:t>
            </w:r>
            <w:r>
              <w:rPr>
                <w:rFonts w:hint="eastAsia" w:cs="宋体" w:asciiTheme="minorEastAsia" w:hAnsiTheme="minorEastAsia" w:eastAsiaTheme="minorEastAsia"/>
                <w:b/>
                <w:iCs/>
                <w:sz w:val="21"/>
                <w:szCs w:val="21"/>
              </w:rPr>
              <w:t>、Q&amp;A</w:t>
            </w:r>
          </w:p>
          <w:p>
            <w:pPr>
              <w:spacing w:line="360" w:lineRule="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：关于新厂的投产，</w:t>
            </w:r>
            <w:r>
              <w:rPr>
                <w:rFonts w:hint="eastAsia" w:ascii="宋体" w:hAnsi="宋体" w:eastAsia="宋体" w:cs="宋体"/>
                <w:b/>
                <w:sz w:val="24"/>
                <w:szCs w:val="24"/>
                <w:lang w:val="en-US" w:eastAsia="zh-CN"/>
              </w:rPr>
              <w:t>公司安排了</w:t>
            </w:r>
            <w:r>
              <w:rPr>
                <w:rFonts w:hint="eastAsia" w:ascii="宋体" w:hAnsi="宋体" w:eastAsia="宋体" w:cs="宋体"/>
                <w:b/>
                <w:sz w:val="24"/>
                <w:szCs w:val="24"/>
              </w:rPr>
              <w:t>哪些准备工作？</w:t>
            </w:r>
          </w:p>
          <w:p>
            <w:pPr>
              <w:pStyle w:val="4"/>
              <w:ind w:firstLine="560"/>
              <w:rPr>
                <w:rFonts w:hint="eastAsia" w:ascii="宋体" w:hAnsi="宋体" w:eastAsia="宋体" w:cs="宋体"/>
                <w:sz w:val="24"/>
                <w:szCs w:val="24"/>
              </w:rPr>
            </w:pPr>
            <w:r>
              <w:rPr>
                <w:rFonts w:hint="eastAsia" w:ascii="宋体" w:hAnsi="宋体" w:eastAsia="宋体" w:cs="宋体"/>
                <w:sz w:val="24"/>
                <w:szCs w:val="24"/>
                <w:lang w:val="en-US" w:eastAsia="zh-CN"/>
              </w:rPr>
              <w:t>答：关于新厂投产的准备工作，首先，在生产准备上，公司</w:t>
            </w:r>
            <w:r>
              <w:rPr>
                <w:rFonts w:hint="eastAsia" w:ascii="宋体" w:hAnsi="宋体" w:eastAsia="宋体" w:cs="宋体"/>
                <w:sz w:val="24"/>
                <w:szCs w:val="24"/>
              </w:rPr>
              <w:t>新工厂的</w:t>
            </w:r>
            <w:r>
              <w:rPr>
                <w:rFonts w:hint="eastAsia" w:ascii="宋体" w:hAnsi="宋体" w:eastAsia="宋体" w:cs="宋体"/>
                <w:sz w:val="24"/>
                <w:szCs w:val="24"/>
                <w:lang w:val="en-US" w:eastAsia="zh-CN"/>
              </w:rPr>
              <w:t>生产</w:t>
            </w:r>
            <w:r>
              <w:rPr>
                <w:rFonts w:hint="eastAsia" w:ascii="宋体" w:hAnsi="宋体" w:eastAsia="宋体" w:cs="宋体"/>
                <w:sz w:val="24"/>
                <w:szCs w:val="24"/>
              </w:rPr>
              <w:t>建设严格按照I</w:t>
            </w:r>
            <w:r>
              <w:rPr>
                <w:rFonts w:hint="eastAsia" w:ascii="宋体" w:hAnsi="宋体" w:eastAsia="宋体" w:cs="宋体"/>
                <w:sz w:val="24"/>
                <w:szCs w:val="24"/>
                <w:lang w:val="en-US" w:eastAsia="zh-CN"/>
              </w:rPr>
              <w:t>SO</w:t>
            </w:r>
            <w:r>
              <w:rPr>
                <w:rFonts w:hint="eastAsia" w:ascii="宋体" w:hAnsi="宋体" w:eastAsia="宋体" w:cs="宋体"/>
                <w:sz w:val="24"/>
                <w:szCs w:val="24"/>
              </w:rPr>
              <w:t>9000</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val="en-US" w:eastAsia="zh-CN"/>
              </w:rPr>
              <w:t>S</w:t>
            </w:r>
            <w:r>
              <w:rPr>
                <w:rFonts w:hint="eastAsia" w:ascii="宋体" w:hAnsi="宋体" w:eastAsia="宋体" w:cs="宋体"/>
                <w:sz w:val="24"/>
                <w:szCs w:val="24"/>
              </w:rPr>
              <w:t>管理</w:t>
            </w:r>
            <w:r>
              <w:rPr>
                <w:rFonts w:hint="eastAsia" w:ascii="宋体" w:hAnsi="宋体" w:eastAsia="宋体" w:cs="宋体"/>
                <w:sz w:val="24"/>
                <w:szCs w:val="24"/>
                <w:lang w:val="en-US" w:eastAsia="zh-CN"/>
              </w:rPr>
              <w:t>等</w:t>
            </w:r>
            <w:r>
              <w:rPr>
                <w:rFonts w:hint="eastAsia" w:ascii="宋体" w:hAnsi="宋体" w:eastAsia="宋体" w:cs="宋体"/>
                <w:sz w:val="24"/>
                <w:szCs w:val="24"/>
              </w:rPr>
              <w:t>标准</w:t>
            </w:r>
            <w:r>
              <w:rPr>
                <w:rFonts w:hint="eastAsia" w:ascii="宋体" w:hAnsi="宋体" w:eastAsia="宋体" w:cs="宋体"/>
                <w:sz w:val="24"/>
                <w:szCs w:val="24"/>
                <w:lang w:val="en-US" w:eastAsia="zh-CN"/>
              </w:rPr>
              <w:t>执行</w:t>
            </w:r>
            <w:r>
              <w:rPr>
                <w:rFonts w:hint="eastAsia" w:ascii="宋体" w:hAnsi="宋体" w:eastAsia="宋体" w:cs="宋体"/>
                <w:sz w:val="24"/>
                <w:szCs w:val="24"/>
              </w:rPr>
              <w:t>，</w:t>
            </w:r>
            <w:r>
              <w:rPr>
                <w:rFonts w:hint="eastAsia" w:ascii="宋体" w:hAnsi="宋体" w:eastAsia="宋体" w:cs="宋体"/>
                <w:sz w:val="24"/>
                <w:szCs w:val="24"/>
                <w:lang w:val="en-US" w:eastAsia="zh-CN"/>
              </w:rPr>
              <w:t>并在饲料行业招聘一批生产管理方面的专业人士，严格控制产品的生产的质量和供应稳定性；其次，公司已经着手</w:t>
            </w:r>
            <w:r>
              <w:rPr>
                <w:rFonts w:hint="eastAsia" w:ascii="宋体" w:hAnsi="宋体" w:eastAsia="宋体" w:cs="宋体"/>
                <w:sz w:val="24"/>
                <w:szCs w:val="24"/>
              </w:rPr>
              <w:t>完善</w:t>
            </w:r>
            <w:r>
              <w:rPr>
                <w:rFonts w:hint="eastAsia" w:ascii="宋体" w:hAnsi="宋体" w:eastAsia="宋体" w:cs="宋体"/>
                <w:sz w:val="24"/>
                <w:szCs w:val="24"/>
                <w:lang w:val="en-US" w:eastAsia="zh-CN"/>
              </w:rPr>
              <w:t>销售和</w:t>
            </w:r>
            <w:r>
              <w:rPr>
                <w:rFonts w:hint="eastAsia" w:ascii="宋体" w:hAnsi="宋体" w:eastAsia="宋体" w:cs="宋体"/>
                <w:sz w:val="24"/>
                <w:szCs w:val="24"/>
              </w:rPr>
              <w:t>技术服务的团队，针对产品质量、生产工艺流程</w:t>
            </w:r>
            <w:r>
              <w:rPr>
                <w:rFonts w:hint="eastAsia" w:ascii="宋体" w:hAnsi="宋体" w:eastAsia="宋体" w:cs="宋体"/>
                <w:sz w:val="24"/>
                <w:szCs w:val="24"/>
                <w:lang w:val="en-US" w:eastAsia="zh-CN"/>
              </w:rPr>
              <w:t>等客户关心的要点</w:t>
            </w:r>
            <w:r>
              <w:rPr>
                <w:rFonts w:hint="eastAsia" w:ascii="宋体" w:hAnsi="宋体" w:eastAsia="宋体" w:cs="宋体"/>
                <w:sz w:val="24"/>
                <w:szCs w:val="24"/>
              </w:rPr>
              <w:t>，提前</w:t>
            </w:r>
            <w:r>
              <w:rPr>
                <w:rFonts w:hint="eastAsia" w:ascii="宋体" w:hAnsi="宋体" w:eastAsia="宋体" w:cs="宋体"/>
                <w:sz w:val="24"/>
                <w:szCs w:val="24"/>
                <w:lang w:val="en-US" w:eastAsia="zh-CN"/>
              </w:rPr>
              <w:t>与</w:t>
            </w:r>
            <w:r>
              <w:rPr>
                <w:rFonts w:hint="eastAsia" w:ascii="宋体" w:hAnsi="宋体" w:eastAsia="宋体" w:cs="宋体"/>
                <w:sz w:val="24"/>
                <w:szCs w:val="24"/>
              </w:rPr>
              <w:t>客户沟通，</w:t>
            </w:r>
            <w:r>
              <w:rPr>
                <w:rFonts w:hint="eastAsia" w:ascii="宋体" w:hAnsi="宋体" w:eastAsia="宋体" w:cs="宋体"/>
                <w:sz w:val="24"/>
                <w:szCs w:val="24"/>
                <w:lang w:val="en-US" w:eastAsia="zh-CN"/>
              </w:rPr>
              <w:t>通过让</w:t>
            </w:r>
            <w:r>
              <w:rPr>
                <w:rFonts w:hint="eastAsia" w:ascii="宋体" w:hAnsi="宋体" w:eastAsia="宋体" w:cs="宋体"/>
                <w:sz w:val="24"/>
                <w:szCs w:val="24"/>
              </w:rPr>
              <w:t>客户</w:t>
            </w:r>
            <w:r>
              <w:rPr>
                <w:rFonts w:hint="eastAsia" w:ascii="宋体" w:hAnsi="宋体" w:eastAsia="宋体" w:cs="宋体"/>
                <w:sz w:val="24"/>
                <w:szCs w:val="24"/>
                <w:lang w:val="en-US" w:eastAsia="zh-CN"/>
              </w:rPr>
              <w:t>及潜在客户</w:t>
            </w:r>
            <w:r>
              <w:rPr>
                <w:rFonts w:hint="eastAsia" w:ascii="宋体" w:hAnsi="宋体" w:eastAsia="宋体" w:cs="宋体"/>
                <w:sz w:val="24"/>
                <w:szCs w:val="24"/>
              </w:rPr>
              <w:t>去现有的工厂参观，实地感受</w:t>
            </w:r>
            <w:r>
              <w:rPr>
                <w:rFonts w:hint="eastAsia" w:ascii="宋体" w:hAnsi="宋体" w:eastAsia="宋体" w:cs="宋体"/>
                <w:sz w:val="24"/>
                <w:szCs w:val="24"/>
                <w:lang w:val="en-US" w:eastAsia="zh-CN"/>
              </w:rPr>
              <w:t>公司的生产</w:t>
            </w:r>
            <w:r>
              <w:rPr>
                <w:rFonts w:hint="eastAsia" w:ascii="宋体" w:hAnsi="宋体" w:eastAsia="宋体" w:cs="宋体"/>
                <w:sz w:val="24"/>
                <w:szCs w:val="24"/>
              </w:rPr>
              <w:t>工艺</w:t>
            </w:r>
            <w:r>
              <w:rPr>
                <w:rFonts w:hint="eastAsia" w:ascii="宋体" w:hAnsi="宋体" w:eastAsia="宋体" w:cs="宋体"/>
                <w:sz w:val="24"/>
                <w:szCs w:val="24"/>
                <w:lang w:val="en-US" w:eastAsia="zh-CN"/>
              </w:rPr>
              <w:t>流程，加强客户对公司</w:t>
            </w:r>
            <w:r>
              <w:rPr>
                <w:rFonts w:hint="eastAsia" w:ascii="宋体" w:hAnsi="宋体" w:eastAsia="宋体" w:cs="宋体"/>
                <w:sz w:val="24"/>
                <w:szCs w:val="24"/>
              </w:rPr>
              <w:t>产品</w:t>
            </w:r>
            <w:r>
              <w:rPr>
                <w:rFonts w:hint="eastAsia" w:ascii="宋体" w:hAnsi="宋体" w:eastAsia="宋体" w:cs="宋体"/>
                <w:sz w:val="24"/>
                <w:szCs w:val="24"/>
                <w:lang w:val="en-US" w:eastAsia="zh-CN"/>
              </w:rPr>
              <w:t>的认知和信心</w:t>
            </w:r>
            <w:r>
              <w:rPr>
                <w:rFonts w:hint="eastAsia" w:ascii="宋体" w:hAnsi="宋体" w:eastAsia="宋体" w:cs="宋体"/>
                <w:sz w:val="24"/>
                <w:szCs w:val="24"/>
              </w:rPr>
              <w:t>。</w:t>
            </w:r>
          </w:p>
          <w:p>
            <w:pPr>
              <w:pStyle w:val="4"/>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此外，公司还根据各新工厂产品特点、周边情况综合考虑市场开拓计划。例如，亳州路德周边是中国肉鸭养殖的密集区域，肉鸭养殖与亳州路德的产品较为契合，即可在低运费范围内与养殖客户达到双赢的局面。</w:t>
            </w:r>
          </w:p>
          <w:p>
            <w:pPr>
              <w:rPr>
                <w:rFonts w:hint="eastAsia"/>
                <w:lang w:val="en-US" w:eastAsia="zh-CN"/>
              </w:rPr>
            </w:pPr>
          </w:p>
          <w:p>
            <w:pPr>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2、公司销售团队建设情况？</w:t>
            </w:r>
          </w:p>
          <w:p>
            <w:pPr>
              <w:numPr>
                <w:ilvl w:val="0"/>
                <w:numId w:val="0"/>
              </w:num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答</w:t>
            </w:r>
            <w:r>
              <w:rPr>
                <w:rFonts w:hint="eastAsia" w:ascii="宋体" w:hAnsi="宋体" w:eastAsia="宋体" w:cs="宋体"/>
                <w:sz w:val="24"/>
                <w:szCs w:val="24"/>
                <w:lang w:val="en-US" w:eastAsia="zh-CN"/>
              </w:rPr>
              <w:t>：公司销售团队目前已有40余人，包括反刍动物营养博士等专业人士以及饲料养殖行业资深销售人员，已初步形成专业的销售体系，公司将通过精细化管理的方式，面向反刍、禽、水产、猪等各类饲料养殖客户设置由各类营养学博士组成的专业团队，通过技术输出的方式了解客户真实需求、推广公司产品、提供养殖技术服务，为客户解决养殖痛点；为集团客户和中小客户设立事业部，进一步优化销售渠道建设，针对不同类型的客户安排专业的人员进行销售和技术服务，提高销售团队沟通效率和客户满意度。此外，公司还将在总部单独设立品控管理部，严格控制各子公司产品质量，为客户提供稳定的产品。</w:t>
            </w:r>
          </w:p>
          <w:p>
            <w:pPr>
              <w:numPr>
                <w:ilvl w:val="0"/>
                <w:numId w:val="0"/>
              </w:numPr>
              <w:rPr>
                <w:rFonts w:hint="default" w:ascii="宋体" w:hAnsi="宋体" w:eastAsia="宋体" w:cs="宋体"/>
                <w:sz w:val="24"/>
                <w:szCs w:val="24"/>
                <w:lang w:val="en-US" w:eastAsia="zh-CN"/>
              </w:rPr>
            </w:pPr>
          </w:p>
          <w:p>
            <w:pPr>
              <w:spacing w:line="360" w:lineRule="auto"/>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公司目前</w:t>
            </w:r>
            <w:r>
              <w:rPr>
                <w:rFonts w:hint="eastAsia" w:ascii="宋体" w:hAnsi="宋体" w:eastAsia="宋体" w:cs="宋体"/>
                <w:b/>
                <w:sz w:val="24"/>
                <w:szCs w:val="24"/>
                <w:lang w:val="en-US" w:eastAsia="zh-CN"/>
              </w:rPr>
              <w:t>白酒糟生物发酵饲料业务的</w:t>
            </w:r>
            <w:r>
              <w:rPr>
                <w:rFonts w:hint="eastAsia" w:ascii="宋体" w:hAnsi="宋体" w:eastAsia="宋体" w:cs="宋体"/>
                <w:b/>
                <w:sz w:val="24"/>
                <w:szCs w:val="24"/>
              </w:rPr>
              <w:t>经销和直销的比例大概是多少？未来</w:t>
            </w:r>
            <w:r>
              <w:rPr>
                <w:rFonts w:hint="eastAsia" w:ascii="宋体" w:hAnsi="宋体" w:eastAsia="宋体" w:cs="宋体"/>
                <w:b/>
                <w:sz w:val="24"/>
                <w:szCs w:val="24"/>
                <w:lang w:val="en-US" w:eastAsia="zh-CN"/>
              </w:rPr>
              <w:t>会有什么样的变化或调整</w:t>
            </w:r>
            <w:r>
              <w:rPr>
                <w:rFonts w:hint="eastAsia" w:ascii="宋体" w:hAnsi="宋体" w:eastAsia="宋体" w:cs="宋体"/>
                <w:b/>
                <w:sz w:val="24"/>
                <w:szCs w:val="24"/>
              </w:rPr>
              <w:t>？</w:t>
            </w:r>
          </w:p>
          <w:p>
            <w:pPr>
              <w:spacing w:line="360" w:lineRule="auto"/>
              <w:rPr>
                <w:rFonts w:hint="eastAsia" w:ascii="宋体" w:hAnsi="宋体" w:eastAsia="宋体" w:cs="宋体"/>
                <w:sz w:val="24"/>
                <w:szCs w:val="24"/>
              </w:rPr>
            </w:pPr>
            <w:r>
              <w:rPr>
                <w:rFonts w:hint="eastAsia" w:ascii="宋体" w:hAnsi="宋体" w:eastAsia="宋体" w:cs="宋体"/>
                <w:b/>
                <w:iCs/>
                <w:sz w:val="24"/>
                <w:szCs w:val="24"/>
                <w:lang w:val="en-US" w:eastAsia="zh-CN"/>
              </w:rPr>
              <w:t>答：</w:t>
            </w:r>
            <w:r>
              <w:rPr>
                <w:rFonts w:hint="eastAsia" w:ascii="宋体" w:hAnsi="宋体" w:eastAsia="宋体" w:cs="宋体"/>
                <w:b w:val="0"/>
                <w:bCs/>
                <w:iCs/>
                <w:sz w:val="24"/>
                <w:szCs w:val="24"/>
                <w:lang w:val="en-US" w:eastAsia="zh-CN"/>
              </w:rPr>
              <w:t>白酒糟生物发酵饲料业务的</w:t>
            </w:r>
            <w:r>
              <w:rPr>
                <w:rFonts w:hint="eastAsia" w:ascii="宋体" w:hAnsi="宋体" w:eastAsia="宋体" w:cs="宋体"/>
                <w:sz w:val="24"/>
                <w:szCs w:val="24"/>
              </w:rPr>
              <w:t>经销和直销的比例</w:t>
            </w:r>
            <w:r>
              <w:rPr>
                <w:rFonts w:hint="eastAsia" w:ascii="宋体" w:hAnsi="宋体" w:eastAsia="宋体" w:cs="宋体"/>
                <w:sz w:val="24"/>
                <w:szCs w:val="24"/>
                <w:lang w:val="en-US" w:eastAsia="zh-CN"/>
              </w:rPr>
              <w:t>约</w:t>
            </w:r>
            <w:r>
              <w:rPr>
                <w:rFonts w:hint="eastAsia" w:ascii="宋体" w:hAnsi="宋体" w:eastAsia="宋体" w:cs="宋体"/>
                <w:sz w:val="24"/>
                <w:szCs w:val="24"/>
              </w:rPr>
              <w:t>为70%和30%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目前，公司重塑了销售体系，为集团客户和中小客户设立事业部，通过对销售渠道的精细化管理，并加大饲料养殖集团客户开发力度，未来，公司</w:t>
            </w:r>
            <w:r>
              <w:rPr>
                <w:rFonts w:hint="eastAsia" w:ascii="宋体" w:hAnsi="宋体" w:eastAsia="宋体" w:cs="宋体"/>
                <w:b w:val="0"/>
                <w:bCs/>
                <w:iCs/>
                <w:sz w:val="24"/>
                <w:szCs w:val="24"/>
                <w:lang w:val="en-US" w:eastAsia="zh-CN"/>
              </w:rPr>
              <w:t>白酒糟生物发酵饲料业务的</w:t>
            </w:r>
            <w:r>
              <w:rPr>
                <w:rFonts w:hint="eastAsia" w:ascii="宋体" w:hAnsi="宋体" w:eastAsia="宋体" w:cs="宋体"/>
                <w:sz w:val="24"/>
                <w:szCs w:val="24"/>
              </w:rPr>
              <w:t>经销和直销的比例</w:t>
            </w:r>
            <w:r>
              <w:rPr>
                <w:rFonts w:hint="eastAsia" w:ascii="宋体" w:hAnsi="宋体" w:eastAsia="宋体" w:cs="宋体"/>
                <w:sz w:val="24"/>
                <w:szCs w:val="24"/>
                <w:lang w:val="en-US" w:eastAsia="zh-CN"/>
              </w:rPr>
              <w:t>逐步达到合理水平</w:t>
            </w:r>
            <w:r>
              <w:rPr>
                <w:rFonts w:hint="eastAsia" w:ascii="宋体" w:hAnsi="宋体" w:eastAsia="宋体" w:cs="宋体"/>
                <w:sz w:val="24"/>
                <w:szCs w:val="24"/>
              </w:rPr>
              <w:t>。</w:t>
            </w:r>
          </w:p>
          <w:p>
            <w:pPr>
              <w:ind w:left="0" w:leftChars="0" w:firstLine="0" w:firstLineChars="0"/>
              <w:rPr>
                <w:rFonts w:hint="default"/>
                <w:lang w:val="en-US" w:eastAsia="zh-CN"/>
              </w:rPr>
            </w:pPr>
          </w:p>
          <w:p>
            <w:pPr>
              <w:ind w:left="0" w:leftChars="0" w:firstLine="0" w:firstLineChars="0"/>
              <w:rPr>
                <w:rFonts w:hint="default" w:ascii="宋体" w:hAnsi="宋体" w:eastAsia="宋体" w:cs="宋体"/>
                <w:b/>
                <w:bCs/>
                <w:sz w:val="24"/>
                <w:szCs w:val="16"/>
                <w:lang w:val="en-US" w:eastAsia="zh-CN"/>
              </w:rPr>
            </w:pPr>
            <w:r>
              <w:rPr>
                <w:rFonts w:hint="eastAsia"/>
                <w:lang w:val="en-US" w:eastAsia="zh-CN"/>
              </w:rPr>
              <w:t xml:space="preserve">  </w:t>
            </w:r>
            <w:r>
              <w:rPr>
                <w:rFonts w:hint="eastAsia" w:ascii="宋体" w:hAnsi="宋体" w:eastAsia="宋体" w:cs="宋体"/>
                <w:b/>
                <w:bCs/>
                <w:sz w:val="24"/>
                <w:szCs w:val="16"/>
                <w:lang w:val="en-US" w:eastAsia="zh-CN"/>
              </w:rPr>
              <w:t xml:space="preserve"> 4：2024年政府工作报告中提出积极打造生物制造等新增长引擎，公司的白酒糟生物发酵饲料业务是否涉及相关领域？</w:t>
            </w:r>
          </w:p>
          <w:p>
            <w:pPr>
              <w:ind w:left="0" w:leftChars="0" w:firstLine="481" w:firstLineChars="0"/>
              <w:rPr>
                <w:rFonts w:hint="eastAsia" w:ascii="宋体" w:hAnsi="宋体" w:eastAsia="宋体" w:cs="宋体"/>
                <w:sz w:val="24"/>
                <w:szCs w:val="24"/>
                <w:lang w:val="en-US" w:eastAsia="zh-CN"/>
              </w:rPr>
            </w:pPr>
            <w:r>
              <w:rPr>
                <w:rFonts w:hint="eastAsia" w:ascii="宋体" w:hAnsi="宋体" w:eastAsia="宋体" w:cs="宋体"/>
                <w:b/>
                <w:bCs/>
                <w:sz w:val="24"/>
                <w:szCs w:val="16"/>
                <w:lang w:val="en-US" w:eastAsia="zh-CN"/>
              </w:rPr>
              <w:t>答：</w:t>
            </w:r>
            <w:r>
              <w:rPr>
                <w:rFonts w:ascii="宋体" w:hAnsi="宋体" w:eastAsia="宋体" w:cs="宋体"/>
                <w:sz w:val="24"/>
                <w:szCs w:val="24"/>
              </w:rPr>
              <w:t>2024年政府工作报告提出，“积极打造生物制造、商业航天、低空经济等新增长引擎”。生物发酵是生物制造的基础产业，公司白酒糟生物发酵饲料业务属于生物制造范畴。</w:t>
            </w:r>
            <w:r>
              <w:rPr>
                <w:rFonts w:hint="eastAsia" w:ascii="宋体" w:hAnsi="宋体" w:eastAsia="宋体" w:cs="宋体"/>
                <w:sz w:val="24"/>
                <w:szCs w:val="24"/>
                <w:lang w:val="en-US" w:eastAsia="zh-CN"/>
              </w:rPr>
              <w:t xml:space="preserve">       </w:t>
            </w:r>
          </w:p>
          <w:p>
            <w:pPr>
              <w:ind w:left="0" w:leftChars="0" w:firstLine="480" w:firstLineChars="200"/>
              <w:rPr>
                <w:rFonts w:hint="default" w:ascii="宋体" w:hAnsi="宋体" w:eastAsia="宋体" w:cs="宋体"/>
                <w:sz w:val="24"/>
                <w:szCs w:val="24"/>
                <w:lang w:val="en-US" w:eastAsia="zh-CN"/>
              </w:rPr>
            </w:pPr>
            <w:r>
              <w:rPr>
                <w:rFonts w:ascii="宋体" w:hAnsi="宋体" w:eastAsia="宋体" w:cs="宋体"/>
                <w:sz w:val="24"/>
                <w:szCs w:val="24"/>
              </w:rPr>
              <w:t>公司白酒糟生物发酵饲料业务主要涉及对白酒糟资源化利用，采用微生物固态发酵和连续多级低温干燥技术，以非常规原料-白酒糟作为培养基制备生物发酵饲料，可以有效保留产品营养及功能物质活性，保护动物肠道健康，实现生态健康养殖。同时公司在研项目“合成生物学技术改造乳酸克鲁维酵母发酵酒糟废弃</w:t>
            </w:r>
            <w:bookmarkStart w:id="0" w:name="_GoBack"/>
            <w:bookmarkEnd w:id="0"/>
            <w:r>
              <w:rPr>
                <w:rFonts w:ascii="宋体" w:hAnsi="宋体" w:eastAsia="宋体" w:cs="宋体"/>
                <w:sz w:val="24"/>
                <w:szCs w:val="24"/>
              </w:rPr>
              <w:t>物生产γ-氨基丁酸（GABA）”拟通过合成生物学选用优良的微生物将酿酒副产物进行二次发酵，并对其中谷氨酸和乳酸定向生物催化与转化，生产具有高附加值且用途广泛的γ-氨基丁酸（GABA）产品，实现酿酒副产物的绿色利用，提高其附加值；公司合成生物学技术“构建工程菌发酵酿酒废弃物生产γ-氨基丁酸和β-丙氨酸”项目为湖北省科学技术厅2023年湖北省科技计划立项项目。公司将持续研发和推进在生物制造领域的探索，切实为白酒行业和饲料行业深度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sz w:val="21"/>
                <w:szCs w:val="21"/>
              </w:rPr>
            </w:pPr>
            <w:r>
              <w:rPr>
                <w:rFonts w:hint="eastAsia" w:ascii="宋体" w:hAnsi="宋体" w:eastAsia="宋体" w:cs="宋体"/>
                <w:bCs/>
                <w:iCs/>
                <w:sz w:val="21"/>
                <w:szCs w:val="21"/>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sz w:val="21"/>
                <w:szCs w:val="21"/>
              </w:rPr>
            </w:pPr>
            <w:r>
              <w:rPr>
                <w:rFonts w:hint="eastAsia" w:ascii="宋体" w:hAnsi="宋体" w:eastAsia="宋体" w:cs="宋体"/>
                <w:bCs/>
                <w:iCs/>
                <w:sz w:val="21"/>
                <w:szCs w:val="21"/>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sz w:val="21"/>
                <w:szCs w:val="21"/>
              </w:rPr>
            </w:pPr>
            <w:r>
              <w:rPr>
                <w:rFonts w:hint="eastAsia" w:ascii="宋体" w:hAnsi="宋体" w:eastAsia="宋体" w:cs="宋体"/>
                <w:bCs/>
                <w:iCs/>
                <w:sz w:val="21"/>
                <w:szCs w:val="21"/>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sz w:val="21"/>
                <w:szCs w:val="21"/>
              </w:rPr>
            </w:pPr>
            <w:r>
              <w:rPr>
                <w:rFonts w:hint="eastAsia" w:ascii="宋体" w:hAnsi="宋体" w:eastAsia="宋体" w:cs="宋体"/>
                <w:bCs/>
                <w:iCs/>
                <w:sz w:val="21"/>
                <w:szCs w:val="21"/>
              </w:rPr>
              <w:t>202</w:t>
            </w:r>
            <w:r>
              <w:rPr>
                <w:rFonts w:hint="eastAsia" w:ascii="宋体" w:hAnsi="宋体" w:eastAsia="宋体" w:cs="宋体"/>
                <w:bCs/>
                <w:iCs/>
                <w:sz w:val="21"/>
                <w:szCs w:val="21"/>
                <w:lang w:val="en-US" w:eastAsia="zh-CN"/>
              </w:rPr>
              <w:t>4</w:t>
            </w:r>
            <w:r>
              <w:rPr>
                <w:rFonts w:hint="eastAsia" w:ascii="宋体" w:hAnsi="宋体" w:eastAsia="宋体" w:cs="宋体"/>
                <w:bCs/>
                <w:iCs/>
                <w:sz w:val="21"/>
                <w:szCs w:val="21"/>
              </w:rPr>
              <w:t>年</w:t>
            </w:r>
            <w:r>
              <w:rPr>
                <w:rFonts w:hint="eastAsia" w:ascii="宋体" w:hAnsi="宋体" w:eastAsia="宋体" w:cs="宋体"/>
                <w:bCs/>
                <w:iCs/>
                <w:sz w:val="21"/>
                <w:szCs w:val="21"/>
                <w:lang w:val="en-US" w:eastAsia="zh-CN"/>
              </w:rPr>
              <w:t>5月7</w:t>
            </w:r>
            <w:r>
              <w:rPr>
                <w:rFonts w:hint="eastAsia" w:ascii="宋体" w:hAnsi="宋体" w:eastAsia="宋体" w:cs="宋体"/>
                <w:bCs/>
                <w:iCs/>
                <w:sz w:val="21"/>
                <w:szCs w:val="21"/>
              </w:rPr>
              <w:t>日</w:t>
            </w:r>
          </w:p>
        </w:tc>
      </w:tr>
    </w:tbl>
    <w:p>
      <w:pPr>
        <w:spacing w:line="360" w:lineRule="auto"/>
        <w:ind w:firstLine="0" w:firstLineChars="0"/>
        <w:rPr>
          <w:rFonts w:eastAsia="宋体"/>
          <w:sz w:val="24"/>
          <w:szCs w:val="24"/>
        </w:rPr>
      </w:pPr>
    </w:p>
    <w:p>
      <w:pPr>
        <w:spacing w:line="360" w:lineRule="auto"/>
        <w:ind w:firstLine="0" w:firstLineChars="0"/>
        <w:jc w:val="center"/>
        <w:rPr>
          <w:rFonts w:eastAsia="宋体"/>
          <w:sz w:val="24"/>
          <w:szCs w:val="24"/>
        </w:rPr>
      </w:pPr>
      <w:r>
        <w:rPr>
          <w:rFonts w:eastAsia="宋体"/>
          <w:sz w:val="24"/>
          <w:szCs w:val="24"/>
        </w:rPr>
        <w:t>附件清单（排名不分先后）</w:t>
      </w:r>
    </w:p>
    <w:tbl>
      <w:tblPr>
        <w:tblStyle w:val="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84"/>
        <w:gridCol w:w="15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参与人员</w:t>
            </w:r>
          </w:p>
        </w:tc>
        <w:tc>
          <w:tcPr>
            <w:tcW w:w="384" w:type="dxa"/>
            <w:tcBorders>
              <w:top w:val="nil"/>
              <w:left w:val="single" w:color="auto" w:sz="4" w:space="0"/>
              <w:bottom w:val="nil"/>
              <w:right w:val="single" w:color="auto" w:sz="4" w:space="0"/>
            </w:tcBorders>
            <w:shd w:val="clear" w:color="auto" w:fill="FFFFFF" w:themeFill="background1"/>
          </w:tcPr>
          <w:p>
            <w:pPr>
              <w:spacing w:line="240" w:lineRule="auto"/>
              <w:ind w:firstLine="402"/>
              <w:rPr>
                <w:rFonts w:eastAsia="宋体"/>
                <w:b/>
                <w:bCs/>
                <w:sz w:val="20"/>
              </w:rPr>
            </w:pPr>
          </w:p>
        </w:tc>
        <w:tc>
          <w:tcPr>
            <w:tcW w:w="1530" w:type="dxa"/>
            <w:tcBorders>
              <w:left w:val="single" w:color="auto" w:sz="4" w:space="0"/>
            </w:tcBorders>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单位名称</w:t>
            </w:r>
          </w:p>
        </w:tc>
        <w:tc>
          <w:tcPr>
            <w:tcW w:w="2430" w:type="dxa"/>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中金公司</w:t>
            </w:r>
          </w:p>
        </w:tc>
        <w:tc>
          <w:tcPr>
            <w:tcW w:w="2481" w:type="dxa"/>
            <w:tcBorders>
              <w:righ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刘佳妮、蒋雨岑</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中信证券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val="en-US" w:eastAsia="zh-CN" w:bidi="ar"/>
              </w:rPr>
              <w:t>东吴</w:t>
            </w:r>
            <w:r>
              <w:rPr>
                <w:rFonts w:hint="eastAsia" w:ascii="宋体" w:hAnsi="宋体" w:eastAsia="宋体" w:cs="宋体"/>
                <w:kern w:val="0"/>
                <w:sz w:val="20"/>
                <w:lang w:bidi="ar"/>
              </w:rPr>
              <w:t>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eastAsia="zh-CN" w:bidi="ar"/>
              </w:rPr>
            </w:pPr>
            <w:r>
              <w:rPr>
                <w:rFonts w:hint="eastAsia" w:ascii="宋体" w:hAnsi="宋体" w:eastAsia="宋体" w:cs="宋体"/>
                <w:kern w:val="0"/>
                <w:sz w:val="20"/>
                <w:lang w:bidi="ar"/>
              </w:rPr>
              <w:t>袁理</w:t>
            </w:r>
            <w:r>
              <w:rPr>
                <w:rFonts w:hint="eastAsia" w:ascii="宋体" w:hAnsi="宋体" w:eastAsia="宋体" w:cs="宋体"/>
                <w:kern w:val="0"/>
                <w:sz w:val="20"/>
                <w:lang w:eastAsia="zh-CN" w:bidi="ar"/>
              </w:rPr>
              <w:t>、</w:t>
            </w:r>
            <w:r>
              <w:rPr>
                <w:rFonts w:hint="eastAsia" w:ascii="宋体" w:hAnsi="宋体" w:eastAsia="宋体" w:cs="宋体"/>
                <w:kern w:val="0"/>
                <w:sz w:val="20"/>
                <w:lang w:bidi="ar"/>
              </w:rPr>
              <w:t>陈孜文</w:t>
            </w:r>
            <w:r>
              <w:rPr>
                <w:rFonts w:hint="eastAsia" w:ascii="宋体" w:hAnsi="宋体" w:eastAsia="宋体" w:cs="宋体"/>
                <w:kern w:val="0"/>
                <w:sz w:val="20"/>
                <w:lang w:eastAsia="zh-CN" w:bidi="ar"/>
              </w:rPr>
              <w:t>、谷玥</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开源证券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陈雪丽、陈钟山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平安基金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周金菲</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浙商证券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张家祯</w:t>
            </w:r>
            <w:r>
              <w:rPr>
                <w:rFonts w:hint="eastAsia" w:ascii="宋体" w:hAnsi="宋体" w:eastAsia="宋体" w:cs="宋体"/>
                <w:kern w:val="0"/>
                <w:sz w:val="20"/>
                <w:lang w:eastAsia="zh-CN" w:bidi="ar"/>
              </w:rPr>
              <w:t>、</w:t>
            </w:r>
            <w:r>
              <w:rPr>
                <w:rFonts w:hint="eastAsia" w:ascii="宋体" w:hAnsi="宋体" w:eastAsia="宋体" w:cs="宋体"/>
                <w:kern w:val="0"/>
                <w:sz w:val="20"/>
                <w:lang w:val="en-US" w:eastAsia="zh-CN" w:bidi="ar"/>
              </w:rPr>
              <w:t>施文燊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鹏万投资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唐琴</w:t>
            </w:r>
            <w:r>
              <w:rPr>
                <w:rFonts w:hint="eastAsia" w:ascii="宋体" w:hAnsi="宋体" w:eastAsia="宋体" w:cs="宋体"/>
                <w:kern w:val="0"/>
                <w:sz w:val="20"/>
                <w:lang w:eastAsia="zh-CN" w:bidi="ar"/>
              </w:rPr>
              <w:t>、</w:t>
            </w:r>
            <w:r>
              <w:rPr>
                <w:rFonts w:hint="eastAsia" w:ascii="宋体" w:hAnsi="宋体" w:eastAsia="宋体" w:cs="宋体"/>
                <w:kern w:val="0"/>
                <w:sz w:val="20"/>
                <w:lang w:bidi="ar"/>
              </w:rPr>
              <w:t>刘璐</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永望资管</w:t>
            </w:r>
          </w:p>
        </w:tc>
        <w:tc>
          <w:tcPr>
            <w:tcW w:w="2430"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黄树军</w:t>
            </w:r>
            <w:r>
              <w:rPr>
                <w:rFonts w:hint="eastAsia" w:ascii="宋体" w:hAnsi="宋体" w:eastAsia="宋体" w:cs="宋体"/>
                <w:kern w:val="0"/>
                <w:sz w:val="20"/>
                <w:lang w:eastAsia="zh-CN" w:bidi="ar"/>
              </w:rPr>
              <w:t>、</w:t>
            </w:r>
            <w:r>
              <w:rPr>
                <w:rFonts w:hint="eastAsia" w:ascii="宋体" w:hAnsi="宋体" w:eastAsia="宋体" w:cs="宋体"/>
                <w:kern w:val="0"/>
                <w:sz w:val="20"/>
                <w:lang w:bidi="ar"/>
              </w:rPr>
              <w:t>周柏全</w:t>
            </w:r>
            <w:r>
              <w:rPr>
                <w:rFonts w:hint="eastAsia" w:ascii="宋体" w:hAnsi="宋体" w:eastAsia="宋体" w:cs="宋体"/>
                <w:kern w:val="0"/>
                <w:sz w:val="20"/>
                <w:lang w:eastAsia="zh-CN" w:bidi="ar"/>
              </w:rPr>
              <w:t>、</w:t>
            </w:r>
            <w:r>
              <w:rPr>
                <w:rFonts w:hint="eastAsia" w:ascii="宋体" w:hAnsi="宋体" w:eastAsia="宋体" w:cs="宋体"/>
                <w:kern w:val="0"/>
                <w:sz w:val="20"/>
                <w:lang w:val="en-US" w:eastAsia="zh-CN" w:bidi="ar"/>
              </w:rPr>
              <w:t>张宁宁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美阳投资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胡智敏</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信达证券</w:t>
            </w:r>
          </w:p>
        </w:tc>
        <w:tc>
          <w:tcPr>
            <w:tcW w:w="2430"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赵雷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华鑫证券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肖燕南</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华创证券</w:t>
            </w:r>
          </w:p>
        </w:tc>
        <w:tc>
          <w:tcPr>
            <w:tcW w:w="2430"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顾超</w:t>
            </w:r>
            <w:r>
              <w:rPr>
                <w:rFonts w:hint="eastAsia" w:ascii="宋体" w:hAnsi="宋体" w:eastAsia="宋体" w:cs="宋体"/>
                <w:kern w:val="0"/>
                <w:sz w:val="20"/>
                <w:lang w:eastAsia="zh-CN" w:bidi="ar"/>
              </w:rPr>
              <w:t>、</w:t>
            </w:r>
            <w:r>
              <w:rPr>
                <w:rFonts w:hint="eastAsia" w:ascii="宋体" w:hAnsi="宋体" w:eastAsia="宋体" w:cs="宋体"/>
                <w:kern w:val="0"/>
                <w:sz w:val="20"/>
                <w:lang w:val="en-US" w:eastAsia="zh-CN" w:bidi="ar"/>
              </w:rPr>
              <w:t>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中航证券</w:t>
            </w:r>
          </w:p>
        </w:tc>
        <w:tc>
          <w:tcPr>
            <w:tcW w:w="2481" w:type="dxa"/>
            <w:tcBorders>
              <w:righ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李若熙</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国金证券</w:t>
            </w:r>
          </w:p>
        </w:tc>
        <w:tc>
          <w:tcPr>
            <w:tcW w:w="2430"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张君昊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秋桐资产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周文昌</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天风证券</w:t>
            </w:r>
          </w:p>
        </w:tc>
        <w:tc>
          <w:tcPr>
            <w:tcW w:w="2430"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戴飞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琮碧秋实</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赵漫秋</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财通证券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陈悦明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平安证券</w:t>
            </w:r>
          </w:p>
        </w:tc>
        <w:tc>
          <w:tcPr>
            <w:tcW w:w="2481" w:type="dxa"/>
            <w:tcBorders>
              <w:righ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张晋溢</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方正证券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eastAsia="zh-CN" w:bidi="ar"/>
              </w:rPr>
              <w:t>汪寅生、</w:t>
            </w:r>
            <w:r>
              <w:rPr>
                <w:rFonts w:hint="eastAsia" w:ascii="宋体" w:hAnsi="宋体" w:eastAsia="宋体" w:cs="宋体"/>
                <w:kern w:val="0"/>
                <w:sz w:val="20"/>
                <w:lang w:val="en-US" w:eastAsia="zh-CN" w:bidi="ar"/>
              </w:rPr>
              <w:t>袁逍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维京投资</w:t>
            </w:r>
          </w:p>
        </w:tc>
        <w:tc>
          <w:tcPr>
            <w:tcW w:w="2481" w:type="dxa"/>
            <w:tcBorders>
              <w:righ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王松超</w:t>
            </w:r>
          </w:p>
        </w:tc>
        <w:tc>
          <w:tcPr>
            <w:tcW w:w="384" w:type="dxa"/>
            <w:tcBorders>
              <w:top w:val="nil"/>
              <w:left w:val="single" w:color="auto" w:sz="4" w:space="0"/>
              <w:bottom w:val="nil"/>
              <w:right w:val="single" w:color="auto" w:sz="4" w:space="0"/>
            </w:tcBorders>
            <w:vAlign w:val="center"/>
          </w:tcPr>
          <w:p>
            <w:pPr>
              <w:widowControl/>
              <w:spacing w:line="240" w:lineRule="auto"/>
              <w:ind w:firstLine="400"/>
              <w:jc w:val="center"/>
              <w:textAlignment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广发证券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eastAsia="zh-CN" w:bidi="ar"/>
              </w:rPr>
              <w:t>荣凌琪、</w:t>
            </w:r>
            <w:r>
              <w:rPr>
                <w:rFonts w:hint="eastAsia" w:ascii="宋体" w:hAnsi="宋体" w:eastAsia="宋体" w:cs="宋体"/>
                <w:kern w:val="0"/>
                <w:sz w:val="20"/>
                <w:lang w:bidi="ar"/>
              </w:rPr>
              <w:t>郝宇新</w:t>
            </w:r>
            <w:r>
              <w:rPr>
                <w:rFonts w:hint="eastAsia" w:ascii="宋体" w:hAnsi="宋体" w:eastAsia="宋体" w:cs="宋体"/>
                <w:kern w:val="0"/>
                <w:sz w:val="20"/>
                <w:lang w:eastAsia="zh-CN" w:bidi="ar"/>
              </w:rPr>
              <w:t>、</w:t>
            </w:r>
            <w:r>
              <w:rPr>
                <w:rFonts w:hint="eastAsia" w:ascii="宋体" w:hAnsi="宋体" w:eastAsia="宋体" w:cs="宋体"/>
                <w:kern w:val="0"/>
                <w:sz w:val="20"/>
                <w:lang w:bidi="ar"/>
              </w:rPr>
              <w:t>邹昱旻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德邦证券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熊鹏</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格量资产</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鲍丹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华福证券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赵欣文</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华金证券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李鑫鑫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银河证券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陶贻功</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国信证券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章耀</w:t>
            </w:r>
            <w:r>
              <w:rPr>
                <w:rFonts w:hint="eastAsia" w:ascii="宋体" w:hAnsi="宋体" w:eastAsia="宋体" w:cs="宋体"/>
                <w:kern w:val="0"/>
                <w:sz w:val="20"/>
                <w:lang w:eastAsia="zh-CN" w:bidi="ar"/>
              </w:rPr>
              <w:t>、郑汉林、</w:t>
            </w:r>
            <w:r>
              <w:rPr>
                <w:rFonts w:hint="eastAsia" w:ascii="宋体" w:hAnsi="宋体" w:eastAsia="宋体" w:cs="宋体"/>
                <w:kern w:val="0"/>
                <w:sz w:val="20"/>
                <w:lang w:bidi="ar"/>
              </w:rPr>
              <w:t>鲁家瑞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val="en-US" w:eastAsia="zh-CN" w:bidi="ar"/>
              </w:rPr>
              <w:t>个人投资者</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val="en-US" w:eastAsia="zh-CN" w:bidi="ar"/>
              </w:rPr>
              <w:t>宗志刚、迟程</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华泰证券</w:t>
            </w:r>
          </w:p>
        </w:tc>
        <w:tc>
          <w:tcPr>
            <w:tcW w:w="2430" w:type="dxa"/>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胡知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维京投资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王松超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华安证券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俞悦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长城证券</w:t>
            </w:r>
          </w:p>
        </w:tc>
        <w:tc>
          <w:tcPr>
            <w:tcW w:w="2481" w:type="dxa"/>
            <w:tcBorders>
              <w:righ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罗丽文</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东方证券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李少甫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百嘉基金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黄超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中信建投证券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侯启明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卓晔基金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张帅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长江证券</w:t>
            </w:r>
          </w:p>
        </w:tc>
        <w:tc>
          <w:tcPr>
            <w:tcW w:w="2430"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任楠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东北证券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阚磊</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长城财富保险资产</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王卫华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四川发展证券投资基金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刘宇翔</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兴业证券</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val="en-US" w:eastAsia="zh-CN" w:bidi="ar"/>
              </w:rPr>
              <w:t>王嘉琦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铂悦投资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瞿继承</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bidi="ar"/>
              </w:rPr>
            </w:pPr>
            <w:r>
              <w:rPr>
                <w:rFonts w:hint="eastAsia" w:ascii="宋体" w:hAnsi="宋体" w:eastAsia="宋体" w:cs="宋体"/>
                <w:kern w:val="0"/>
                <w:sz w:val="20"/>
                <w:lang w:val="en-US" w:eastAsia="zh-CN" w:bidi="ar"/>
              </w:rPr>
              <w:t>明达资产</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肖铎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民沣资产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陈诤</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亘泰投资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高鹏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val="en-US" w:eastAsia="zh-CN" w:bidi="ar"/>
              </w:rPr>
              <w:t>上海</w:t>
            </w:r>
            <w:r>
              <w:rPr>
                <w:rFonts w:hint="eastAsia" w:ascii="宋体" w:hAnsi="宋体" w:eastAsia="宋体" w:cs="宋体"/>
                <w:kern w:val="0"/>
                <w:sz w:val="20"/>
                <w:lang w:bidi="ar"/>
              </w:rPr>
              <w:t>感叹号投资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谭永平</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val="en-US" w:eastAsia="zh-CN" w:bidi="ar"/>
              </w:rPr>
              <w:t>鼎萨投资</w:t>
            </w:r>
          </w:p>
        </w:tc>
        <w:tc>
          <w:tcPr>
            <w:tcW w:w="2430"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泰然</w:t>
            </w:r>
            <w:r>
              <w:rPr>
                <w:rFonts w:hint="eastAsia" w:ascii="宋体" w:hAnsi="宋体" w:eastAsia="宋体" w:cs="宋体"/>
                <w:kern w:val="0"/>
                <w:sz w:val="20"/>
                <w:lang w:val="en-US" w:eastAsia="zh-CN" w:bidi="ar"/>
              </w:rPr>
              <w:t>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梁佳星</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国盛证券</w:t>
            </w:r>
          </w:p>
        </w:tc>
        <w:tc>
          <w:tcPr>
            <w:tcW w:w="2430"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王席鑫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万纳基金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茅玉峰</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因诺资产</w:t>
            </w:r>
          </w:p>
        </w:tc>
        <w:tc>
          <w:tcPr>
            <w:tcW w:w="2430" w:type="dxa"/>
            <w:vAlign w:val="center"/>
          </w:tcPr>
          <w:p>
            <w:pPr>
              <w:widowControl/>
              <w:spacing w:line="240" w:lineRule="auto"/>
              <w:ind w:firstLine="0" w:firstLineChars="0"/>
              <w:jc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范鹏伟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天冶基金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王策源</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bidi="ar"/>
              </w:rPr>
              <w:t>民森投资</w:t>
            </w:r>
          </w:p>
        </w:tc>
        <w:tc>
          <w:tcPr>
            <w:tcW w:w="2430" w:type="dxa"/>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val="en-US" w:eastAsia="zh-CN" w:bidi="ar"/>
              </w:rPr>
              <w:t>刘倩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金股证券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曹志平</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成都</w:t>
            </w:r>
            <w:r>
              <w:rPr>
                <w:rFonts w:hint="eastAsia" w:ascii="宋体" w:hAnsi="宋体" w:eastAsia="宋体" w:cs="宋体"/>
                <w:kern w:val="0"/>
                <w:sz w:val="20"/>
                <w:lang w:bidi="ar"/>
              </w:rPr>
              <w:t>保盛家族资产</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王国森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福创投资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张新峰</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兴业财富</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炬诚资产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val="en-US" w:eastAsia="zh-CN" w:bidi="ar"/>
              </w:rPr>
            </w:pPr>
            <w:r>
              <w:rPr>
                <w:rFonts w:hint="eastAsia" w:ascii="宋体" w:hAnsi="宋体" w:eastAsia="宋体" w:cs="宋体"/>
                <w:kern w:val="0"/>
                <w:sz w:val="20"/>
                <w:lang w:bidi="ar"/>
              </w:rPr>
              <w:t>战君屹</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狐尾松</w:t>
            </w:r>
            <w:r>
              <w:rPr>
                <w:rFonts w:hint="eastAsia" w:ascii="宋体" w:hAnsi="宋体" w:eastAsia="宋体" w:cs="宋体"/>
                <w:kern w:val="0"/>
                <w:sz w:val="20"/>
                <w:lang w:val="en-US" w:eastAsia="zh-CN" w:bidi="ar"/>
              </w:rPr>
              <w:t>资产</w:t>
            </w:r>
          </w:p>
        </w:tc>
        <w:tc>
          <w:tcPr>
            <w:tcW w:w="2430" w:type="dxa"/>
            <w:vAlign w:val="center"/>
          </w:tcPr>
          <w:p>
            <w:pPr>
              <w:widowControl/>
              <w:spacing w:line="240" w:lineRule="auto"/>
              <w:ind w:firstLine="0" w:firstLineChars="0"/>
              <w:jc w:val="center"/>
              <w:rPr>
                <w:rFonts w:ascii="宋体" w:hAnsi="宋体" w:eastAsia="宋体" w:cs="宋体"/>
                <w:kern w:val="0"/>
                <w:sz w:val="20"/>
                <w:lang w:bidi="ar"/>
              </w:rPr>
            </w:pPr>
            <w:r>
              <w:rPr>
                <w:rFonts w:hint="eastAsia" w:ascii="宋体" w:hAnsi="宋体" w:eastAsia="宋体" w:cs="宋体"/>
                <w:kern w:val="0"/>
                <w:sz w:val="20"/>
                <w:lang w:val="en-US" w:eastAsia="zh-CN" w:bidi="ar"/>
              </w:rPr>
              <w:t>丁凡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方正证券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毛学东</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深圳善行四海资产</w:t>
            </w:r>
          </w:p>
        </w:tc>
        <w:tc>
          <w:tcPr>
            <w:tcW w:w="2430" w:type="dxa"/>
            <w:vAlign w:val="center"/>
          </w:tcPr>
          <w:p>
            <w:pPr>
              <w:widowControl/>
              <w:spacing w:line="240" w:lineRule="auto"/>
              <w:ind w:firstLine="0" w:firstLineChars="0"/>
              <w:jc w:val="center"/>
              <w:textAlignment w:val="center"/>
              <w:rPr>
                <w:rFonts w:ascii="宋体" w:hAnsi="宋体" w:eastAsia="宋体" w:cs="宋体"/>
                <w:kern w:val="0"/>
                <w:sz w:val="20"/>
                <w:lang w:bidi="ar"/>
              </w:rPr>
            </w:pPr>
            <w:r>
              <w:rPr>
                <w:rFonts w:hint="eastAsia" w:ascii="宋体" w:hAnsi="宋体" w:eastAsia="宋体" w:cs="宋体"/>
                <w:kern w:val="0"/>
                <w:sz w:val="20"/>
                <w:lang w:bidi="ar"/>
              </w:rPr>
              <w:t>祁正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鸿运私募</w:t>
            </w:r>
          </w:p>
        </w:tc>
        <w:tc>
          <w:tcPr>
            <w:tcW w:w="2481" w:type="dxa"/>
            <w:tcBorders>
              <w:right w:val="single" w:color="auto" w:sz="4" w:space="0"/>
            </w:tcBorders>
            <w:vAlign w:val="center"/>
          </w:tcPr>
          <w:p>
            <w:pPr>
              <w:widowControl/>
              <w:spacing w:line="240" w:lineRule="auto"/>
              <w:ind w:firstLine="0" w:firstLineChars="0"/>
              <w:jc w:val="center"/>
              <w:rPr>
                <w:rFonts w:hint="eastAsia" w:ascii="宋体" w:hAnsi="宋体" w:eastAsia="宋体" w:cs="宋体"/>
                <w:kern w:val="0"/>
                <w:sz w:val="20"/>
                <w:lang w:val="en-US" w:eastAsia="zh-CN" w:bidi="ar"/>
              </w:rPr>
            </w:pPr>
            <w:r>
              <w:rPr>
                <w:rFonts w:hint="eastAsia" w:ascii="宋体" w:hAnsi="宋体" w:eastAsia="宋体" w:cs="宋体"/>
                <w:kern w:val="0"/>
                <w:sz w:val="20"/>
                <w:lang w:bidi="ar"/>
              </w:rPr>
              <w:t>朱伟华</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ascii="宋体" w:hAnsi="宋体" w:eastAsia="宋体" w:cs="宋体"/>
                <w:kern w:val="0"/>
                <w:sz w:val="20"/>
                <w:lang w:bidi="ar"/>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eastAsia="zh-CN" w:bidi="ar"/>
              </w:rPr>
            </w:pPr>
            <w:r>
              <w:rPr>
                <w:rFonts w:hint="eastAsia" w:ascii="宋体" w:hAnsi="宋体" w:eastAsia="宋体" w:cs="宋体"/>
                <w:kern w:val="0"/>
                <w:sz w:val="20"/>
                <w:lang w:bidi="ar"/>
              </w:rPr>
              <w:t>海昊投资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eastAsia="zh-CN" w:bidi="ar"/>
              </w:rPr>
            </w:pPr>
            <w:r>
              <w:rPr>
                <w:rFonts w:hint="eastAsia" w:ascii="宋体" w:hAnsi="宋体" w:eastAsia="宋体" w:cs="宋体"/>
                <w:kern w:val="0"/>
                <w:sz w:val="20"/>
                <w:lang w:bidi="ar"/>
              </w:rPr>
              <w:t>李荣贵</w:t>
            </w:r>
          </w:p>
        </w:tc>
      </w:tr>
    </w:tbl>
    <w:p>
      <w:pPr>
        <w:spacing w:line="240" w:lineRule="auto"/>
        <w:ind w:firstLine="0" w:firstLineChars="0"/>
        <w:rPr>
          <w:rFonts w:eastAsia="宋体"/>
          <w:sz w:val="20"/>
        </w:rPr>
      </w:pPr>
    </w:p>
    <w:p>
      <w:pPr>
        <w:spacing w:line="240" w:lineRule="auto"/>
        <w:ind w:firstLine="0" w:firstLineChars="0"/>
        <w:rPr>
          <w:rFonts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9"/>
      </w:pBdr>
      <w:tabs>
        <w:tab w:val="center" w:pos="4153"/>
        <w:tab w:val="right" w:pos="8306"/>
      </w:tabs>
      <w:snapToGrid w:val="0"/>
      <w:ind w:firstLine="360"/>
      <w:rPr>
        <w:rFonts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OGRhOWFhNzYyMzQ0ZjE0NzBiZWQwYzc5NTU3NTM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23CCF"/>
    <w:rsid w:val="00030BDD"/>
    <w:rsid w:val="0003273C"/>
    <w:rsid w:val="00033FFE"/>
    <w:rsid w:val="00035012"/>
    <w:rsid w:val="00035219"/>
    <w:rsid w:val="00036E01"/>
    <w:rsid w:val="0004785E"/>
    <w:rsid w:val="00052179"/>
    <w:rsid w:val="00052F4B"/>
    <w:rsid w:val="00056AB7"/>
    <w:rsid w:val="000653CF"/>
    <w:rsid w:val="00067D13"/>
    <w:rsid w:val="0007338E"/>
    <w:rsid w:val="00073DAB"/>
    <w:rsid w:val="0007401C"/>
    <w:rsid w:val="0007793E"/>
    <w:rsid w:val="00080953"/>
    <w:rsid w:val="000913BF"/>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E6670"/>
    <w:rsid w:val="000F0E37"/>
    <w:rsid w:val="000F4EE6"/>
    <w:rsid w:val="00103620"/>
    <w:rsid w:val="001100D3"/>
    <w:rsid w:val="0011014A"/>
    <w:rsid w:val="001113FD"/>
    <w:rsid w:val="00116341"/>
    <w:rsid w:val="001239F4"/>
    <w:rsid w:val="001243B5"/>
    <w:rsid w:val="001326F9"/>
    <w:rsid w:val="00132B56"/>
    <w:rsid w:val="001407B1"/>
    <w:rsid w:val="001451B0"/>
    <w:rsid w:val="00155607"/>
    <w:rsid w:val="00166809"/>
    <w:rsid w:val="00172A27"/>
    <w:rsid w:val="00172B12"/>
    <w:rsid w:val="00173508"/>
    <w:rsid w:val="00176C04"/>
    <w:rsid w:val="001800D4"/>
    <w:rsid w:val="00186A24"/>
    <w:rsid w:val="00186C83"/>
    <w:rsid w:val="001925FB"/>
    <w:rsid w:val="00194A00"/>
    <w:rsid w:val="00195311"/>
    <w:rsid w:val="00196D19"/>
    <w:rsid w:val="001A1204"/>
    <w:rsid w:val="001A6D35"/>
    <w:rsid w:val="001A6DDA"/>
    <w:rsid w:val="001B06EA"/>
    <w:rsid w:val="001B6604"/>
    <w:rsid w:val="001C7179"/>
    <w:rsid w:val="001D6C5A"/>
    <w:rsid w:val="001E04C8"/>
    <w:rsid w:val="001E3240"/>
    <w:rsid w:val="001E58B6"/>
    <w:rsid w:val="001E7255"/>
    <w:rsid w:val="001F2257"/>
    <w:rsid w:val="0020303E"/>
    <w:rsid w:val="002040FB"/>
    <w:rsid w:val="002131C4"/>
    <w:rsid w:val="002177B1"/>
    <w:rsid w:val="00217D91"/>
    <w:rsid w:val="0022095A"/>
    <w:rsid w:val="0023310B"/>
    <w:rsid w:val="0023549A"/>
    <w:rsid w:val="00244D0D"/>
    <w:rsid w:val="002473F3"/>
    <w:rsid w:val="00247B86"/>
    <w:rsid w:val="002551A8"/>
    <w:rsid w:val="00263965"/>
    <w:rsid w:val="00267D50"/>
    <w:rsid w:val="00274B53"/>
    <w:rsid w:val="002775D0"/>
    <w:rsid w:val="00277DA7"/>
    <w:rsid w:val="002824BF"/>
    <w:rsid w:val="00282A38"/>
    <w:rsid w:val="00290FD5"/>
    <w:rsid w:val="0029147E"/>
    <w:rsid w:val="00295A90"/>
    <w:rsid w:val="00296750"/>
    <w:rsid w:val="002A102E"/>
    <w:rsid w:val="002C00B3"/>
    <w:rsid w:val="002D27A1"/>
    <w:rsid w:val="002D2FE5"/>
    <w:rsid w:val="002D4861"/>
    <w:rsid w:val="002D61E0"/>
    <w:rsid w:val="002D6753"/>
    <w:rsid w:val="002E1590"/>
    <w:rsid w:val="002E16EF"/>
    <w:rsid w:val="002E23B1"/>
    <w:rsid w:val="002E331B"/>
    <w:rsid w:val="002F3D9C"/>
    <w:rsid w:val="002F622F"/>
    <w:rsid w:val="002F6860"/>
    <w:rsid w:val="002F706D"/>
    <w:rsid w:val="00300EC4"/>
    <w:rsid w:val="00304C18"/>
    <w:rsid w:val="00305B42"/>
    <w:rsid w:val="00311E06"/>
    <w:rsid w:val="00315B57"/>
    <w:rsid w:val="0031707F"/>
    <w:rsid w:val="00320C06"/>
    <w:rsid w:val="003224B6"/>
    <w:rsid w:val="003236A3"/>
    <w:rsid w:val="00324B1E"/>
    <w:rsid w:val="003314D8"/>
    <w:rsid w:val="00332681"/>
    <w:rsid w:val="00334CCB"/>
    <w:rsid w:val="00340634"/>
    <w:rsid w:val="00340761"/>
    <w:rsid w:val="00347B29"/>
    <w:rsid w:val="00361BE0"/>
    <w:rsid w:val="00361FFC"/>
    <w:rsid w:val="00362A29"/>
    <w:rsid w:val="0036518B"/>
    <w:rsid w:val="0036531C"/>
    <w:rsid w:val="00365C97"/>
    <w:rsid w:val="003675F4"/>
    <w:rsid w:val="003701AB"/>
    <w:rsid w:val="003746B3"/>
    <w:rsid w:val="003746D5"/>
    <w:rsid w:val="00375731"/>
    <w:rsid w:val="00377887"/>
    <w:rsid w:val="0038475F"/>
    <w:rsid w:val="00385652"/>
    <w:rsid w:val="00391BC3"/>
    <w:rsid w:val="00395208"/>
    <w:rsid w:val="003A0C72"/>
    <w:rsid w:val="003A1E73"/>
    <w:rsid w:val="003A24AF"/>
    <w:rsid w:val="003A3589"/>
    <w:rsid w:val="003A5AD7"/>
    <w:rsid w:val="003B4313"/>
    <w:rsid w:val="003C2D9A"/>
    <w:rsid w:val="003C598E"/>
    <w:rsid w:val="003C79EE"/>
    <w:rsid w:val="003E717C"/>
    <w:rsid w:val="003E7B1D"/>
    <w:rsid w:val="003F0EAA"/>
    <w:rsid w:val="003F730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6E8F"/>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1ADD"/>
    <w:rsid w:val="004F2CB8"/>
    <w:rsid w:val="004F426C"/>
    <w:rsid w:val="00502082"/>
    <w:rsid w:val="00503387"/>
    <w:rsid w:val="00504280"/>
    <w:rsid w:val="00504FEC"/>
    <w:rsid w:val="005171E9"/>
    <w:rsid w:val="005209C2"/>
    <w:rsid w:val="00524B01"/>
    <w:rsid w:val="00527DD6"/>
    <w:rsid w:val="00531F04"/>
    <w:rsid w:val="00532DDB"/>
    <w:rsid w:val="00534363"/>
    <w:rsid w:val="00542FF6"/>
    <w:rsid w:val="00550EE7"/>
    <w:rsid w:val="00554EDF"/>
    <w:rsid w:val="00561034"/>
    <w:rsid w:val="0056172C"/>
    <w:rsid w:val="00565D7E"/>
    <w:rsid w:val="00583A66"/>
    <w:rsid w:val="0058706E"/>
    <w:rsid w:val="005A6706"/>
    <w:rsid w:val="005B54C6"/>
    <w:rsid w:val="005B57BB"/>
    <w:rsid w:val="005B6A34"/>
    <w:rsid w:val="005C05B2"/>
    <w:rsid w:val="005C08BA"/>
    <w:rsid w:val="005C175B"/>
    <w:rsid w:val="005D065C"/>
    <w:rsid w:val="005D07F3"/>
    <w:rsid w:val="005D22B8"/>
    <w:rsid w:val="005D2E74"/>
    <w:rsid w:val="005D5665"/>
    <w:rsid w:val="005D5A1C"/>
    <w:rsid w:val="005D6C7A"/>
    <w:rsid w:val="005E28F5"/>
    <w:rsid w:val="005F1854"/>
    <w:rsid w:val="005F2E60"/>
    <w:rsid w:val="005F2FB2"/>
    <w:rsid w:val="005F4F6F"/>
    <w:rsid w:val="006009C7"/>
    <w:rsid w:val="0060792B"/>
    <w:rsid w:val="00607F6A"/>
    <w:rsid w:val="00617713"/>
    <w:rsid w:val="00620A2D"/>
    <w:rsid w:val="00621A1E"/>
    <w:rsid w:val="006231ED"/>
    <w:rsid w:val="00625C6F"/>
    <w:rsid w:val="00627A9A"/>
    <w:rsid w:val="00630C20"/>
    <w:rsid w:val="00634EE6"/>
    <w:rsid w:val="006372E8"/>
    <w:rsid w:val="0064031E"/>
    <w:rsid w:val="00640E1B"/>
    <w:rsid w:val="00641D7E"/>
    <w:rsid w:val="006420D5"/>
    <w:rsid w:val="00642296"/>
    <w:rsid w:val="0064236F"/>
    <w:rsid w:val="00642FE9"/>
    <w:rsid w:val="006502AA"/>
    <w:rsid w:val="00650F8B"/>
    <w:rsid w:val="00653074"/>
    <w:rsid w:val="006553B1"/>
    <w:rsid w:val="006557DE"/>
    <w:rsid w:val="00656A86"/>
    <w:rsid w:val="0066090B"/>
    <w:rsid w:val="006623AE"/>
    <w:rsid w:val="00663EA4"/>
    <w:rsid w:val="00665F60"/>
    <w:rsid w:val="0068319C"/>
    <w:rsid w:val="00686A5D"/>
    <w:rsid w:val="00692FE9"/>
    <w:rsid w:val="00695C1F"/>
    <w:rsid w:val="006A1BAD"/>
    <w:rsid w:val="006B2209"/>
    <w:rsid w:val="006C1E3B"/>
    <w:rsid w:val="006C3F55"/>
    <w:rsid w:val="006C46EA"/>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37DA7"/>
    <w:rsid w:val="0074376E"/>
    <w:rsid w:val="0074572E"/>
    <w:rsid w:val="00755E8F"/>
    <w:rsid w:val="00756129"/>
    <w:rsid w:val="007656DB"/>
    <w:rsid w:val="007747A7"/>
    <w:rsid w:val="00784996"/>
    <w:rsid w:val="007858EC"/>
    <w:rsid w:val="007916E1"/>
    <w:rsid w:val="00792321"/>
    <w:rsid w:val="00795093"/>
    <w:rsid w:val="007A2E26"/>
    <w:rsid w:val="007A2FB7"/>
    <w:rsid w:val="007B07A6"/>
    <w:rsid w:val="007B78C3"/>
    <w:rsid w:val="007C16DB"/>
    <w:rsid w:val="007C28FE"/>
    <w:rsid w:val="007C7E59"/>
    <w:rsid w:val="007D359A"/>
    <w:rsid w:val="007D70F6"/>
    <w:rsid w:val="007E0552"/>
    <w:rsid w:val="007E0DD5"/>
    <w:rsid w:val="007E29C9"/>
    <w:rsid w:val="007E2CE3"/>
    <w:rsid w:val="007E5D42"/>
    <w:rsid w:val="007E62EA"/>
    <w:rsid w:val="007F1D39"/>
    <w:rsid w:val="007F5004"/>
    <w:rsid w:val="007F6410"/>
    <w:rsid w:val="0080002B"/>
    <w:rsid w:val="008037DB"/>
    <w:rsid w:val="00806C60"/>
    <w:rsid w:val="008071E1"/>
    <w:rsid w:val="008102B1"/>
    <w:rsid w:val="00811B54"/>
    <w:rsid w:val="0081567A"/>
    <w:rsid w:val="008176EC"/>
    <w:rsid w:val="008223C5"/>
    <w:rsid w:val="00825437"/>
    <w:rsid w:val="008275FF"/>
    <w:rsid w:val="00837816"/>
    <w:rsid w:val="00854900"/>
    <w:rsid w:val="00863328"/>
    <w:rsid w:val="008729AE"/>
    <w:rsid w:val="00874B4B"/>
    <w:rsid w:val="00875C0A"/>
    <w:rsid w:val="0088223B"/>
    <w:rsid w:val="0088227D"/>
    <w:rsid w:val="008833FA"/>
    <w:rsid w:val="00884CF1"/>
    <w:rsid w:val="008901E7"/>
    <w:rsid w:val="008917C0"/>
    <w:rsid w:val="00891B27"/>
    <w:rsid w:val="00892CF9"/>
    <w:rsid w:val="0089313F"/>
    <w:rsid w:val="0089422D"/>
    <w:rsid w:val="00894797"/>
    <w:rsid w:val="008A1195"/>
    <w:rsid w:val="008A1AE8"/>
    <w:rsid w:val="008A3859"/>
    <w:rsid w:val="008A5E93"/>
    <w:rsid w:val="008A785A"/>
    <w:rsid w:val="008B0BFE"/>
    <w:rsid w:val="008B6343"/>
    <w:rsid w:val="008B674B"/>
    <w:rsid w:val="008C0645"/>
    <w:rsid w:val="008C676B"/>
    <w:rsid w:val="008D0253"/>
    <w:rsid w:val="008D22F5"/>
    <w:rsid w:val="008E17FA"/>
    <w:rsid w:val="008E2615"/>
    <w:rsid w:val="008E2876"/>
    <w:rsid w:val="008F0277"/>
    <w:rsid w:val="008F059B"/>
    <w:rsid w:val="008F1430"/>
    <w:rsid w:val="008F1CE1"/>
    <w:rsid w:val="008F2818"/>
    <w:rsid w:val="008F2B1A"/>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81DE3"/>
    <w:rsid w:val="009826FF"/>
    <w:rsid w:val="009854A0"/>
    <w:rsid w:val="00992D68"/>
    <w:rsid w:val="009A2755"/>
    <w:rsid w:val="009A5FA7"/>
    <w:rsid w:val="009A6351"/>
    <w:rsid w:val="009B17B3"/>
    <w:rsid w:val="009B2C63"/>
    <w:rsid w:val="009B70E4"/>
    <w:rsid w:val="009C3CD3"/>
    <w:rsid w:val="009C4DC4"/>
    <w:rsid w:val="009C5C1F"/>
    <w:rsid w:val="009C6169"/>
    <w:rsid w:val="009C6BE5"/>
    <w:rsid w:val="009D259A"/>
    <w:rsid w:val="009D460C"/>
    <w:rsid w:val="009D4F6E"/>
    <w:rsid w:val="009E181B"/>
    <w:rsid w:val="009E2C63"/>
    <w:rsid w:val="009E31DB"/>
    <w:rsid w:val="009F27C5"/>
    <w:rsid w:val="009F58D1"/>
    <w:rsid w:val="00A009E9"/>
    <w:rsid w:val="00A1006E"/>
    <w:rsid w:val="00A1036F"/>
    <w:rsid w:val="00A11682"/>
    <w:rsid w:val="00A1307E"/>
    <w:rsid w:val="00A15502"/>
    <w:rsid w:val="00A164E2"/>
    <w:rsid w:val="00A23CE0"/>
    <w:rsid w:val="00A27DCE"/>
    <w:rsid w:val="00A32345"/>
    <w:rsid w:val="00A3496C"/>
    <w:rsid w:val="00A4068B"/>
    <w:rsid w:val="00A42809"/>
    <w:rsid w:val="00A43D27"/>
    <w:rsid w:val="00A510BE"/>
    <w:rsid w:val="00A54B3C"/>
    <w:rsid w:val="00A6340E"/>
    <w:rsid w:val="00A64669"/>
    <w:rsid w:val="00A71200"/>
    <w:rsid w:val="00A91FCD"/>
    <w:rsid w:val="00A93BEB"/>
    <w:rsid w:val="00A94C75"/>
    <w:rsid w:val="00A9502A"/>
    <w:rsid w:val="00AA109D"/>
    <w:rsid w:val="00AA4E37"/>
    <w:rsid w:val="00AA7796"/>
    <w:rsid w:val="00AB1197"/>
    <w:rsid w:val="00AB11B3"/>
    <w:rsid w:val="00AB164A"/>
    <w:rsid w:val="00AB34D4"/>
    <w:rsid w:val="00AB52D8"/>
    <w:rsid w:val="00AB6A0E"/>
    <w:rsid w:val="00AB71F7"/>
    <w:rsid w:val="00AB7FC7"/>
    <w:rsid w:val="00AC0115"/>
    <w:rsid w:val="00AC0BBC"/>
    <w:rsid w:val="00AC3018"/>
    <w:rsid w:val="00AC3DF0"/>
    <w:rsid w:val="00AC454B"/>
    <w:rsid w:val="00AC64B5"/>
    <w:rsid w:val="00AC775E"/>
    <w:rsid w:val="00AD0199"/>
    <w:rsid w:val="00AD16B6"/>
    <w:rsid w:val="00AD2F52"/>
    <w:rsid w:val="00AD60BB"/>
    <w:rsid w:val="00AF0D70"/>
    <w:rsid w:val="00AF1B50"/>
    <w:rsid w:val="00AF70D8"/>
    <w:rsid w:val="00AF7738"/>
    <w:rsid w:val="00AF7FCB"/>
    <w:rsid w:val="00B05605"/>
    <w:rsid w:val="00B05908"/>
    <w:rsid w:val="00B07A75"/>
    <w:rsid w:val="00B147C7"/>
    <w:rsid w:val="00B15344"/>
    <w:rsid w:val="00B16DAC"/>
    <w:rsid w:val="00B1751D"/>
    <w:rsid w:val="00B207C9"/>
    <w:rsid w:val="00B37210"/>
    <w:rsid w:val="00B42945"/>
    <w:rsid w:val="00B4521D"/>
    <w:rsid w:val="00B46CA8"/>
    <w:rsid w:val="00B47F91"/>
    <w:rsid w:val="00B50EBB"/>
    <w:rsid w:val="00B5364A"/>
    <w:rsid w:val="00B807A1"/>
    <w:rsid w:val="00B82925"/>
    <w:rsid w:val="00B87410"/>
    <w:rsid w:val="00BA626B"/>
    <w:rsid w:val="00BA6A36"/>
    <w:rsid w:val="00BA6ABD"/>
    <w:rsid w:val="00BB0996"/>
    <w:rsid w:val="00BB3E6D"/>
    <w:rsid w:val="00BB451E"/>
    <w:rsid w:val="00BB6161"/>
    <w:rsid w:val="00BB7501"/>
    <w:rsid w:val="00BB782F"/>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5A46"/>
    <w:rsid w:val="00C2717C"/>
    <w:rsid w:val="00C321E2"/>
    <w:rsid w:val="00C372A4"/>
    <w:rsid w:val="00C437BA"/>
    <w:rsid w:val="00C44A96"/>
    <w:rsid w:val="00C50E10"/>
    <w:rsid w:val="00C55537"/>
    <w:rsid w:val="00C5729C"/>
    <w:rsid w:val="00C61FA2"/>
    <w:rsid w:val="00C6445A"/>
    <w:rsid w:val="00C65305"/>
    <w:rsid w:val="00C67E95"/>
    <w:rsid w:val="00C73B3F"/>
    <w:rsid w:val="00C77C38"/>
    <w:rsid w:val="00C77DC4"/>
    <w:rsid w:val="00C77FFA"/>
    <w:rsid w:val="00C81E91"/>
    <w:rsid w:val="00C837FE"/>
    <w:rsid w:val="00C83CF8"/>
    <w:rsid w:val="00C90D5D"/>
    <w:rsid w:val="00C96D3F"/>
    <w:rsid w:val="00CA48AD"/>
    <w:rsid w:val="00CC0529"/>
    <w:rsid w:val="00CC3832"/>
    <w:rsid w:val="00CC4521"/>
    <w:rsid w:val="00CE0CC0"/>
    <w:rsid w:val="00CF08CA"/>
    <w:rsid w:val="00CF3BD2"/>
    <w:rsid w:val="00CF6727"/>
    <w:rsid w:val="00CF7549"/>
    <w:rsid w:val="00D0474D"/>
    <w:rsid w:val="00D05720"/>
    <w:rsid w:val="00D14F01"/>
    <w:rsid w:val="00D16742"/>
    <w:rsid w:val="00D23B99"/>
    <w:rsid w:val="00D26E6B"/>
    <w:rsid w:val="00D32327"/>
    <w:rsid w:val="00D358EE"/>
    <w:rsid w:val="00D40680"/>
    <w:rsid w:val="00D429BC"/>
    <w:rsid w:val="00D430B8"/>
    <w:rsid w:val="00D43AF4"/>
    <w:rsid w:val="00D44919"/>
    <w:rsid w:val="00D4544B"/>
    <w:rsid w:val="00D45920"/>
    <w:rsid w:val="00D47143"/>
    <w:rsid w:val="00D548E4"/>
    <w:rsid w:val="00D6013C"/>
    <w:rsid w:val="00D66713"/>
    <w:rsid w:val="00D70ABD"/>
    <w:rsid w:val="00D71742"/>
    <w:rsid w:val="00D71FF8"/>
    <w:rsid w:val="00D73AB0"/>
    <w:rsid w:val="00D770DA"/>
    <w:rsid w:val="00D77366"/>
    <w:rsid w:val="00D815F4"/>
    <w:rsid w:val="00D81A7C"/>
    <w:rsid w:val="00D828D9"/>
    <w:rsid w:val="00D83537"/>
    <w:rsid w:val="00D9234D"/>
    <w:rsid w:val="00DA0FBA"/>
    <w:rsid w:val="00DA6FDE"/>
    <w:rsid w:val="00DB0DD1"/>
    <w:rsid w:val="00DB1CD7"/>
    <w:rsid w:val="00DB3A80"/>
    <w:rsid w:val="00DB5F26"/>
    <w:rsid w:val="00DB68BC"/>
    <w:rsid w:val="00DC16DD"/>
    <w:rsid w:val="00DC3B89"/>
    <w:rsid w:val="00DD07A0"/>
    <w:rsid w:val="00DD3CE9"/>
    <w:rsid w:val="00DD600A"/>
    <w:rsid w:val="00DE0285"/>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42F6"/>
    <w:rsid w:val="00E6762B"/>
    <w:rsid w:val="00E72B7D"/>
    <w:rsid w:val="00E73BD1"/>
    <w:rsid w:val="00E7498E"/>
    <w:rsid w:val="00E80627"/>
    <w:rsid w:val="00E8121D"/>
    <w:rsid w:val="00E905FB"/>
    <w:rsid w:val="00E9074E"/>
    <w:rsid w:val="00E943FD"/>
    <w:rsid w:val="00E956F4"/>
    <w:rsid w:val="00E97D48"/>
    <w:rsid w:val="00EB41F4"/>
    <w:rsid w:val="00EB58C9"/>
    <w:rsid w:val="00EB5BB6"/>
    <w:rsid w:val="00EB6596"/>
    <w:rsid w:val="00EC56AE"/>
    <w:rsid w:val="00EE4E9E"/>
    <w:rsid w:val="00EE53A5"/>
    <w:rsid w:val="00F01ACB"/>
    <w:rsid w:val="00F033F1"/>
    <w:rsid w:val="00F10CFE"/>
    <w:rsid w:val="00F1212C"/>
    <w:rsid w:val="00F13714"/>
    <w:rsid w:val="00F154A9"/>
    <w:rsid w:val="00F250EA"/>
    <w:rsid w:val="00F25199"/>
    <w:rsid w:val="00F265CD"/>
    <w:rsid w:val="00F26E20"/>
    <w:rsid w:val="00F312DB"/>
    <w:rsid w:val="00F31586"/>
    <w:rsid w:val="00F36CAF"/>
    <w:rsid w:val="00F43E73"/>
    <w:rsid w:val="00F45CF2"/>
    <w:rsid w:val="00F45F87"/>
    <w:rsid w:val="00F46FC6"/>
    <w:rsid w:val="00F5279C"/>
    <w:rsid w:val="00F5287A"/>
    <w:rsid w:val="00F55262"/>
    <w:rsid w:val="00F5541C"/>
    <w:rsid w:val="00F56894"/>
    <w:rsid w:val="00F57A1F"/>
    <w:rsid w:val="00F64591"/>
    <w:rsid w:val="00F773D2"/>
    <w:rsid w:val="00F80450"/>
    <w:rsid w:val="00F83845"/>
    <w:rsid w:val="00F849BB"/>
    <w:rsid w:val="00F8632D"/>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5826"/>
    <w:rsid w:val="00FE7AE7"/>
    <w:rsid w:val="00FF2B2A"/>
    <w:rsid w:val="010A2A30"/>
    <w:rsid w:val="012D63BC"/>
    <w:rsid w:val="01510052"/>
    <w:rsid w:val="01AA1D3F"/>
    <w:rsid w:val="01D6352B"/>
    <w:rsid w:val="024535A0"/>
    <w:rsid w:val="025713CD"/>
    <w:rsid w:val="03103CF0"/>
    <w:rsid w:val="03605A7E"/>
    <w:rsid w:val="03D573A8"/>
    <w:rsid w:val="05482F86"/>
    <w:rsid w:val="05C47699"/>
    <w:rsid w:val="07CB4847"/>
    <w:rsid w:val="083E2F6B"/>
    <w:rsid w:val="08663C4D"/>
    <w:rsid w:val="09423355"/>
    <w:rsid w:val="09E91C03"/>
    <w:rsid w:val="0B58147D"/>
    <w:rsid w:val="0BE206E2"/>
    <w:rsid w:val="0C4B7895"/>
    <w:rsid w:val="0D057491"/>
    <w:rsid w:val="0D533015"/>
    <w:rsid w:val="111127BC"/>
    <w:rsid w:val="11AE07E5"/>
    <w:rsid w:val="12E34B5F"/>
    <w:rsid w:val="134B5D3B"/>
    <w:rsid w:val="13DF1765"/>
    <w:rsid w:val="156B205C"/>
    <w:rsid w:val="15A91FED"/>
    <w:rsid w:val="15E156B9"/>
    <w:rsid w:val="161F2532"/>
    <w:rsid w:val="162C3C3A"/>
    <w:rsid w:val="178E523C"/>
    <w:rsid w:val="179E7E02"/>
    <w:rsid w:val="17A806FA"/>
    <w:rsid w:val="17C9185D"/>
    <w:rsid w:val="1B942028"/>
    <w:rsid w:val="1BE932F7"/>
    <w:rsid w:val="1C485287"/>
    <w:rsid w:val="1CBC0E9D"/>
    <w:rsid w:val="1D9C759C"/>
    <w:rsid w:val="1DDD1407"/>
    <w:rsid w:val="1E422969"/>
    <w:rsid w:val="1E547805"/>
    <w:rsid w:val="1E890F8D"/>
    <w:rsid w:val="1F3D120C"/>
    <w:rsid w:val="21315A47"/>
    <w:rsid w:val="23622C60"/>
    <w:rsid w:val="23ED3D6C"/>
    <w:rsid w:val="245A4308"/>
    <w:rsid w:val="2609117A"/>
    <w:rsid w:val="268D42D9"/>
    <w:rsid w:val="269F479D"/>
    <w:rsid w:val="26EA00EF"/>
    <w:rsid w:val="26F12015"/>
    <w:rsid w:val="26F61BE2"/>
    <w:rsid w:val="27BF7FC2"/>
    <w:rsid w:val="297E48B0"/>
    <w:rsid w:val="2AAB5C47"/>
    <w:rsid w:val="2B400DAF"/>
    <w:rsid w:val="2B536BAA"/>
    <w:rsid w:val="2B88714F"/>
    <w:rsid w:val="2BA44FCF"/>
    <w:rsid w:val="2CFA113B"/>
    <w:rsid w:val="2D355E3C"/>
    <w:rsid w:val="2E0802E2"/>
    <w:rsid w:val="2E7C5B4C"/>
    <w:rsid w:val="2E913FDC"/>
    <w:rsid w:val="2F1D5B45"/>
    <w:rsid w:val="3131735B"/>
    <w:rsid w:val="313E4483"/>
    <w:rsid w:val="36427484"/>
    <w:rsid w:val="38284F1B"/>
    <w:rsid w:val="396E63A7"/>
    <w:rsid w:val="3A0747AD"/>
    <w:rsid w:val="3C0A21FA"/>
    <w:rsid w:val="3C6F7D25"/>
    <w:rsid w:val="3CB5279C"/>
    <w:rsid w:val="3CCC246D"/>
    <w:rsid w:val="3CD025DD"/>
    <w:rsid w:val="3D41514F"/>
    <w:rsid w:val="3D4319E8"/>
    <w:rsid w:val="3DC5180E"/>
    <w:rsid w:val="3E025B80"/>
    <w:rsid w:val="3E365605"/>
    <w:rsid w:val="3EB92D70"/>
    <w:rsid w:val="40065126"/>
    <w:rsid w:val="404F6598"/>
    <w:rsid w:val="41BD351D"/>
    <w:rsid w:val="41FF55A2"/>
    <w:rsid w:val="461F369E"/>
    <w:rsid w:val="467725D9"/>
    <w:rsid w:val="47150D60"/>
    <w:rsid w:val="477261B2"/>
    <w:rsid w:val="47732924"/>
    <w:rsid w:val="4775525E"/>
    <w:rsid w:val="4835032C"/>
    <w:rsid w:val="48FB2B49"/>
    <w:rsid w:val="496F0BFB"/>
    <w:rsid w:val="4AD35957"/>
    <w:rsid w:val="4BE77129"/>
    <w:rsid w:val="4C0C1A5F"/>
    <w:rsid w:val="4C48076C"/>
    <w:rsid w:val="4CFC7BF8"/>
    <w:rsid w:val="4D03117E"/>
    <w:rsid w:val="4D40640B"/>
    <w:rsid w:val="4EDB5C80"/>
    <w:rsid w:val="502D711A"/>
    <w:rsid w:val="504827BD"/>
    <w:rsid w:val="50E739B3"/>
    <w:rsid w:val="51362D97"/>
    <w:rsid w:val="52CB4BE4"/>
    <w:rsid w:val="531258E5"/>
    <w:rsid w:val="53AA56F7"/>
    <w:rsid w:val="53C06DC4"/>
    <w:rsid w:val="540E41C7"/>
    <w:rsid w:val="542039B0"/>
    <w:rsid w:val="55CF2DF6"/>
    <w:rsid w:val="567354E3"/>
    <w:rsid w:val="56D71D82"/>
    <w:rsid w:val="56F733D4"/>
    <w:rsid w:val="57B72571"/>
    <w:rsid w:val="5806097D"/>
    <w:rsid w:val="584E61E8"/>
    <w:rsid w:val="586631C9"/>
    <w:rsid w:val="58BE38E3"/>
    <w:rsid w:val="58E267D9"/>
    <w:rsid w:val="5B276AEE"/>
    <w:rsid w:val="5BFE4311"/>
    <w:rsid w:val="5C2A7A93"/>
    <w:rsid w:val="5C461A97"/>
    <w:rsid w:val="5D1032C9"/>
    <w:rsid w:val="5DD16269"/>
    <w:rsid w:val="5F1C21C3"/>
    <w:rsid w:val="609570E0"/>
    <w:rsid w:val="613C2F14"/>
    <w:rsid w:val="628404D4"/>
    <w:rsid w:val="62882711"/>
    <w:rsid w:val="635561D4"/>
    <w:rsid w:val="64AD1D49"/>
    <w:rsid w:val="655F0113"/>
    <w:rsid w:val="657B5DDA"/>
    <w:rsid w:val="66243470"/>
    <w:rsid w:val="671B7521"/>
    <w:rsid w:val="6749107D"/>
    <w:rsid w:val="682278DC"/>
    <w:rsid w:val="682D24AB"/>
    <w:rsid w:val="6959537A"/>
    <w:rsid w:val="6BBE20A7"/>
    <w:rsid w:val="6C705F6D"/>
    <w:rsid w:val="6CB402C6"/>
    <w:rsid w:val="6DF74B57"/>
    <w:rsid w:val="6E900B48"/>
    <w:rsid w:val="6FC43175"/>
    <w:rsid w:val="706A32BC"/>
    <w:rsid w:val="70A703CB"/>
    <w:rsid w:val="712E463F"/>
    <w:rsid w:val="72331F17"/>
    <w:rsid w:val="72F5203C"/>
    <w:rsid w:val="73E62BC2"/>
    <w:rsid w:val="75707881"/>
    <w:rsid w:val="75B570E6"/>
    <w:rsid w:val="777F79AC"/>
    <w:rsid w:val="787D332F"/>
    <w:rsid w:val="78A1501C"/>
    <w:rsid w:val="7B787971"/>
    <w:rsid w:val="7D836308"/>
    <w:rsid w:val="7DCB71A1"/>
    <w:rsid w:val="7F2A392C"/>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4"/>
    <w:autoRedefine/>
    <w:qFormat/>
    <w:uiPriority w:val="0"/>
    <w:pPr>
      <w:keepNext/>
      <w:keepLines/>
      <w:spacing w:before="340" w:after="330" w:line="578" w:lineRule="atLeast"/>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 w:val="28"/>
    </w:rPr>
  </w:style>
  <w:style w:type="paragraph" w:styleId="5">
    <w:name w:val="footer"/>
    <w:basedOn w:val="1"/>
    <w:link w:val="13"/>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0"/>
    <w:rPr>
      <w:i/>
    </w:rPr>
  </w:style>
  <w:style w:type="character" w:customStyle="1" w:styleId="12">
    <w:name w:val="页眉 字符"/>
    <w:basedOn w:val="10"/>
    <w:link w:val="6"/>
    <w:autoRedefine/>
    <w:qFormat/>
    <w:uiPriority w:val="0"/>
    <w:rPr>
      <w:rFonts w:ascii="Times New Roman" w:hAnsi="Times New Roman" w:eastAsia="仿宋" w:cs="Times New Roman"/>
      <w:kern w:val="2"/>
      <w:sz w:val="18"/>
      <w:szCs w:val="18"/>
    </w:rPr>
  </w:style>
  <w:style w:type="character" w:customStyle="1" w:styleId="13">
    <w:name w:val="页脚 字符"/>
    <w:basedOn w:val="10"/>
    <w:link w:val="5"/>
    <w:autoRedefine/>
    <w:qFormat/>
    <w:uiPriority w:val="0"/>
    <w:rPr>
      <w:rFonts w:ascii="Times New Roman" w:hAnsi="Times New Roman" w:eastAsia="仿宋" w:cs="Times New Roman"/>
      <w:kern w:val="2"/>
      <w:sz w:val="18"/>
      <w:szCs w:val="18"/>
    </w:rPr>
  </w:style>
  <w:style w:type="character" w:customStyle="1" w:styleId="14">
    <w:name w:val="标题 1 字符"/>
    <w:basedOn w:val="10"/>
    <w:link w:val="2"/>
    <w:autoRedefine/>
    <w:qFormat/>
    <w:uiPriority w:val="0"/>
    <w:rPr>
      <w:rFonts w:ascii="Times New Roman" w:hAnsi="Times New Roman" w:eastAsia="仿宋" w:cs="Times New Roman"/>
      <w:b/>
      <w:bCs/>
      <w:kern w:val="44"/>
      <w:sz w:val="44"/>
      <w:szCs w:val="44"/>
    </w:rPr>
  </w:style>
  <w:style w:type="paragraph" w:customStyle="1" w:styleId="15">
    <w:name w:val="修订1"/>
    <w:autoRedefine/>
    <w:hidden/>
    <w:semiHidden/>
    <w:qFormat/>
    <w:uiPriority w:val="99"/>
    <w:rPr>
      <w:rFonts w:ascii="Times New Roman" w:hAnsi="Times New Roman" w:eastAsia="仿宋" w:cs="Times New Roman"/>
      <w:kern w:val="2"/>
      <w:sz w:val="32"/>
      <w:lang w:val="en-US" w:eastAsia="zh-CN" w:bidi="ar-SA"/>
    </w:rPr>
  </w:style>
  <w:style w:type="paragraph" w:styleId="16">
    <w:name w:val="List Paragraph"/>
    <w:basedOn w:val="1"/>
    <w:autoRedefine/>
    <w:qFormat/>
    <w:uiPriority w:val="99"/>
    <w:pPr>
      <w:ind w:firstLine="420"/>
    </w:pPr>
  </w:style>
  <w:style w:type="paragraph" w:customStyle="1" w:styleId="17">
    <w:name w:val="_Style 154"/>
    <w:basedOn w:val="18"/>
    <w:autoRedefine/>
    <w:qFormat/>
    <w:uiPriority w:val="34"/>
    <w:pPr>
      <w:ind w:firstLine="420" w:firstLineChars="200"/>
    </w:pPr>
    <w:rPr>
      <w:rFonts w:ascii="Calibri" w:hAnsi="Calibri"/>
      <w:szCs w:val="22"/>
    </w:rPr>
  </w:style>
  <w:style w:type="paragraph" w:customStyle="1" w:styleId="18">
    <w:name w:val="_Style 123"/>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
    <w:name w:val="修订2"/>
    <w:autoRedefine/>
    <w:hidden/>
    <w:unhideWhenUsed/>
    <w:qFormat/>
    <w:uiPriority w:val="99"/>
    <w:rPr>
      <w:rFonts w:ascii="Times New Roman" w:hAnsi="Times New Roman" w:eastAsia="仿宋" w:cs="Times New Roman"/>
      <w:kern w:val="2"/>
      <w:sz w:val="32"/>
      <w:lang w:val="en-US" w:eastAsia="zh-CN" w:bidi="ar-SA"/>
    </w:rPr>
  </w:style>
  <w:style w:type="paragraph" w:customStyle="1" w:styleId="20">
    <w:name w:val="Revision"/>
    <w:autoRedefine/>
    <w:hidden/>
    <w:unhideWhenUsed/>
    <w:qFormat/>
    <w:uiPriority w:val="99"/>
    <w:rPr>
      <w:rFonts w:ascii="Times New Roman" w:hAnsi="Times New Roman" w:eastAsia="仿宋"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2382</Characters>
  <Lines>19</Lines>
  <Paragraphs>5</Paragraphs>
  <TotalTime>0</TotalTime>
  <ScaleCrop>false</ScaleCrop>
  <LinksUpToDate>false</LinksUpToDate>
  <CharactersWithSpaces>2794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2023-11-03T09:39:00Z</dcterms:created>
  <dc:creator>li.jiang</dc:creator>
  <cp:lastModifiedBy>张忠琪</cp:lastModifiedBy>
  <cp:lastPrinted>2024-04-30T07:54:00Z</cp:lastPrinted>
  <dcterms:modified xsi:type="dcterms:W3CDTF">2024-05-07T10:00:27Z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E8EF0838C03D4954A22DEE4C6CCEF44F_13</vt:lpwstr>
  </property>
</Properties>
</file>