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napToGrid w:val="0"/>
        <w:spacing w:line="288" w:lineRule="auto"/>
        <w:rPr>
          <w:rFonts w:ascii="宋体" w:hAnsi="宋体" w:cs="宋体"/>
          <w:kern w:val="0"/>
          <w:sz w:val="28"/>
          <w:szCs w:val="28"/>
          <w:lang w:val="zh-CN" w:bidi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>证券代码：60</w:t>
      </w:r>
      <w:r>
        <w:rPr>
          <w:rFonts w:hint="eastAsia" w:ascii="宋体" w:hAnsi="宋体" w:cs="宋体"/>
          <w:kern w:val="0"/>
          <w:sz w:val="28"/>
          <w:szCs w:val="28"/>
          <w:lang w:bidi="zh-CN"/>
        </w:rPr>
        <w:t>1065</w:t>
      </w:r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 xml:space="preserve">                         证券简称：</w:t>
      </w:r>
      <w:r>
        <w:rPr>
          <w:rFonts w:hint="eastAsia" w:ascii="宋体" w:hAnsi="宋体" w:cs="宋体"/>
          <w:kern w:val="0"/>
          <w:sz w:val="28"/>
          <w:szCs w:val="28"/>
          <w:lang w:bidi="zh-CN"/>
        </w:rPr>
        <w:t>江盐</w:t>
      </w:r>
      <w:r>
        <w:rPr>
          <w:rFonts w:hint="eastAsia" w:ascii="宋体" w:hAnsi="宋体" w:cs="宋体"/>
          <w:kern w:val="0"/>
          <w:sz w:val="28"/>
          <w:szCs w:val="28"/>
          <w:lang w:val="zh-CN" w:bidi="zh-CN"/>
        </w:rPr>
        <w:t>集团</w:t>
      </w:r>
    </w:p>
    <w:p>
      <w:pPr>
        <w:adjustRightInd w:val="0"/>
        <w:snapToGrid w:val="0"/>
        <w:spacing w:before="312" w:beforeLines="100" w:line="480" w:lineRule="exact"/>
        <w:jc w:val="center"/>
        <w:rPr>
          <w:rFonts w:ascii="黑体" w:hAnsi="黑体" w:eastAsia="黑体"/>
          <w:b/>
          <w:bCs/>
          <w:color w:val="FF0000"/>
          <w:sz w:val="32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6"/>
        </w:rPr>
        <w:t>江西省盐业集团股份有限公司</w:t>
      </w:r>
    </w:p>
    <w:p>
      <w:pPr>
        <w:adjustRightInd w:val="0"/>
        <w:snapToGrid w:val="0"/>
        <w:spacing w:before="156" w:beforeLines="50" w:after="156" w:afterLines="50" w:line="480" w:lineRule="exact"/>
        <w:jc w:val="center"/>
        <w:rPr>
          <w:rFonts w:ascii="等线" w:hAnsi="等线"/>
          <w:b/>
          <w:bCs/>
          <w:color w:val="FF0000"/>
          <w:sz w:val="32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6"/>
        </w:rPr>
        <w:t>投资者关系活动记录表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编号：2024-001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 xml:space="preserve">特定对象调研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分析师会议</w:t>
            </w:r>
          </w:p>
          <w:p>
            <w:pPr>
              <w:pStyle w:val="23"/>
              <w:adjustRightInd w:val="0"/>
              <w:snapToGrid w:val="0"/>
              <w:spacing w:line="44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 xml:space="preserve">媒体采访           </w:t>
            </w: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>业绩说明会</w:t>
            </w:r>
          </w:p>
          <w:p>
            <w:pPr>
              <w:pStyle w:val="23"/>
              <w:adjustRightInd w:val="0"/>
              <w:snapToGrid w:val="0"/>
              <w:spacing w:line="44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 xml:space="preserve">新闻发布会         </w:t>
            </w: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>路演活动</w:t>
            </w:r>
          </w:p>
          <w:p>
            <w:pPr>
              <w:adjustRightInd w:val="0"/>
              <w:snapToGrid w:val="0"/>
              <w:spacing w:line="440" w:lineRule="exac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电话会议</w:t>
            </w:r>
          </w:p>
          <w:p>
            <w:pPr>
              <w:pStyle w:val="23"/>
              <w:tabs>
                <w:tab w:val="center" w:pos="3199"/>
              </w:tabs>
              <w:adjustRightInd w:val="0"/>
              <w:snapToGrid w:val="0"/>
              <w:spacing w:line="440" w:lineRule="exact"/>
              <w:rPr>
                <w:bCs/>
                <w:iCs/>
                <w:sz w:val="24"/>
                <w:u w:val="single"/>
              </w:rPr>
            </w:pPr>
            <w:r>
              <w:rPr>
                <w:bCs/>
                <w:iCs/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vAlign w:val="center"/>
          </w:tcPr>
          <w:p>
            <w:pPr>
              <w:spacing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中信创业投资（上海）有限公司、湖南迪策投资有限公司、方源资本（亚洲）有限公司、国海创新资本投资管理有限公司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时间</w:t>
            </w:r>
          </w:p>
        </w:tc>
        <w:tc>
          <w:tcPr>
            <w:tcW w:w="6996" w:type="dxa"/>
            <w:vAlign w:val="center"/>
          </w:tcPr>
          <w:p>
            <w:pPr>
              <w:pStyle w:val="23"/>
              <w:adjustRightInd w:val="0"/>
              <w:snapToGrid w:val="0"/>
              <w:spacing w:line="44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2024年5月7日（星期二）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>
            <w:pPr>
              <w:pStyle w:val="23"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江西省南昌市红谷滩区庐山南大道369号江盐集团会议室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6996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董事长胡世平先生、副总经理吴波先生、董事会秘书黄雪女士、证券事务代表张露女士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pStyle w:val="23"/>
              <w:adjustRightInd w:val="0"/>
              <w:snapToGrid w:val="0"/>
              <w:spacing w:line="480" w:lineRule="atLeast"/>
              <w:rPr>
                <w:b/>
                <w:bCs/>
                <w:iCs/>
                <w:sz w:val="24"/>
              </w:rPr>
            </w:pPr>
            <w:r>
              <w:rPr>
                <w:rFonts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996" w:type="dxa"/>
          </w:tcPr>
          <w:p>
            <w:pPr>
              <w:snapToGrid w:val="0"/>
              <w:spacing w:line="360" w:lineRule="auto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向投资者简要介绍公司基本情况，就投资者重点关心的问题具体交流如下：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问题一：</w:t>
            </w:r>
            <w:r>
              <w:rPr>
                <w:rFonts w:hint="eastAsia" w:ascii="宋体" w:hAnsi="宋体"/>
                <w:sz w:val="24"/>
                <w:szCs w:val="24"/>
              </w:rPr>
              <w:t>公司近几年业绩大幅增长的原因？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</w:rPr>
              <w:t>主要系纯碱二期、小苏打等项目相继投产，相关产品产能规模扩大，同时受下游光伏、锂电产业快速发展，拉动上游纯碱、工业盐等重要原料需求增长，行业景气度持续向好，量价齐升，推动业绩大幅增长。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问题二：</w:t>
            </w:r>
            <w:r>
              <w:rPr>
                <w:rFonts w:hint="eastAsia" w:ascii="宋体" w:hAnsi="宋体"/>
                <w:sz w:val="24"/>
                <w:szCs w:val="24"/>
              </w:rPr>
              <w:t>公司2023年年报和2024年一季报显示营收均略有下降，但利润同比上升，主要原因？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</w:rPr>
              <w:t>主要来自内外部因素共同作用。外部，公司密切跟踪原材料市场动态，积极加强与供应商的战略合作，有效降低煤炭、石灰石等原材料采购成本的波动风险；内部主要系公司拥有配套自备电厂，生产电力与蒸汽用于日常生产运营，少量外售，生产成本有效控制。同时，公司持续加大设备维护和改造升级投入，推动企业数字化转型落地，保障了设备高效稳定运行，生产效率显著提升。此外，公司亦实施了系列节能减排技术改造项目，降碳降耗效果明显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问题三：</w:t>
            </w:r>
            <w:r>
              <w:rPr>
                <w:rFonts w:hint="eastAsia" w:ascii="宋体" w:hAnsi="宋体"/>
                <w:sz w:val="24"/>
                <w:szCs w:val="24"/>
              </w:rPr>
              <w:t>公司在行业内主要竞争优势有哪些？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</w:rPr>
              <w:t>1、优质资源优势。公司井矿盐资源丰富，埋藏千米以下，品位纯净优质，同时拥有安全性、密闭性等功能良好的盐穴资源，具备强大的造腔能力；2、产销一体优势。公司拥有2</w:t>
            </w:r>
            <w:r>
              <w:rPr>
                <w:rFonts w:ascii="宋体" w:hAnsi="宋体"/>
                <w:sz w:val="24"/>
                <w:szCs w:val="24"/>
              </w:rPr>
              <w:t>000</w:t>
            </w:r>
            <w:r>
              <w:rPr>
                <w:rFonts w:hint="eastAsia" w:ascii="宋体" w:hAnsi="宋体"/>
                <w:sz w:val="24"/>
                <w:szCs w:val="24"/>
              </w:rPr>
              <w:t>余亩盐与盐化工生产基地，建有遍布江西全省城乡的商贸流通网络，是中国南方区域盐产品主力供应商。同时出口业务逐年加大，产品销往港澳台等地区，以及东南亚、英国、沙特、新西兰、阿联酋等国家和地区，食盐出口量占全国出口总量比例超30%，居全国领先地位； 3、绿色循环经济和综合成本优势。依托完备的公用工程，通过采取井上井下循环盐钙联产制碱工艺，实现废水、废渣等资源的闭路循环和综合再利用，形成了极具竞争优势的低成本循环经济模式和环保模式；4、市场区位优势。江西宜春、新余是全国重要的锂电材料生产基地及光伏产业集聚地，系公司纯碱产品重要的销售市场。此外，与江西省接壤的广东、福建、浙江等省份是国内化工原材料最大消费区域之一，公司产区临近下游消费市场且区域市场竞争对手较少，市场区位优势明显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问题四：</w:t>
            </w:r>
            <w:r>
              <w:rPr>
                <w:rFonts w:hint="eastAsia" w:ascii="宋体" w:hAnsi="宋体"/>
                <w:sz w:val="24"/>
                <w:szCs w:val="24"/>
              </w:rPr>
              <w:t>公司当前和未来2</w:t>
            </w:r>
            <w:r>
              <w:rPr>
                <w:rFonts w:ascii="宋体" w:hAnsi="宋体"/>
                <w:sz w:val="24"/>
                <w:szCs w:val="24"/>
              </w:rPr>
              <w:t>-3</w:t>
            </w:r>
            <w:r>
              <w:rPr>
                <w:rFonts w:hint="eastAsia" w:ascii="宋体" w:hAnsi="宋体"/>
                <w:sz w:val="24"/>
                <w:szCs w:val="24"/>
              </w:rPr>
              <w:t>年的产业转型与业绩增长点？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回答：</w:t>
            </w:r>
            <w:r>
              <w:rPr>
                <w:rFonts w:hint="eastAsia" w:ascii="宋体" w:hAnsi="宋体"/>
                <w:sz w:val="24"/>
                <w:szCs w:val="24"/>
              </w:rPr>
              <w:t>公司年产60万吨盐产品智能化技术升级改造工程、樟树医药化工产业园区热电联产集中供热工程以及年产5.5万吨高强硫酸钙综合利用工程等项目，预计将于今年陆续投产运营，均有助于形成短期业绩增长点。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还将重点推动两个战略业务重心的转移：一是做大盐作为百味之祖的功能，打造传统业务的第二增长曲线。组织实施内部盐产品事业部“横向一体化”整合，做大制盐与流通板块，形成稳定现金流业务，平滑化工板块周期性风险；二是开辟双新（新能源、新材料）赛道，加快一批原创技术及合作研发项目的转化落地，推动盐穴储能（储气）、卤水提锂、二氧化碳综合利用等双新项目的建设，按照发展新质生产力的要求，推动传统产业深度转型升级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问题五：</w:t>
            </w:r>
            <w:r>
              <w:rPr>
                <w:rFonts w:hint="eastAsia" w:ascii="宋体" w:hAnsi="宋体"/>
                <w:sz w:val="24"/>
                <w:szCs w:val="24"/>
              </w:rPr>
              <w:t>关注到公司计划实施盐穴储能项目，现在项目进展如何？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回答：</w:t>
            </w:r>
            <w:bookmarkStart w:id="0" w:name="_GoBack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有关盐穴储能的技术成熟性已于江苏金坛、湖北应城等地项目得到验证。公司已完成现有盐穴资源测腔等前期技术可行性论证。</w:t>
            </w:r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2024年4月，公司与中国能建数科集团签订战略框架协议，拟共同在压气储能、科研及标准化、综合能源项目开发、数字化等方面开展合作，目前相关工作正在推进中。后续如涉及项目重大进展将按信息披露有关规定及时公告。</w:t>
            </w:r>
          </w:p>
          <w:p>
            <w:pPr>
              <w:snapToGrid w:val="0"/>
              <w:spacing w:line="360" w:lineRule="auto"/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pStyle w:val="23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附件清单</w:t>
            </w:r>
          </w:p>
        </w:tc>
        <w:tc>
          <w:tcPr>
            <w:tcW w:w="6996" w:type="dxa"/>
            <w:vAlign w:val="center"/>
          </w:tcPr>
          <w:p>
            <w:pPr>
              <w:pStyle w:val="23"/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23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>
            <w:pPr>
              <w:pStyle w:val="23"/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</w:rPr>
              <w:t>2024</w:t>
            </w:r>
            <w:r>
              <w:rPr>
                <w:rFonts w:ascii="Times New Roman" w:hAnsi="Times New Roman"/>
                <w:bCs/>
                <w:iCs/>
                <w:sz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5月7</w:t>
            </w:r>
            <w:r>
              <w:rPr>
                <w:rFonts w:ascii="Times New Roman" w:hAnsi="Times New Roman"/>
                <w:bCs/>
                <w:iCs/>
                <w:sz w:val="24"/>
              </w:rPr>
              <w:t>日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6294211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DIwZThmZWJiMDE0MGJhYjBhZDhjMDFhN2JhMTcifQ=="/>
    <w:docVar w:name="KSO_WPS_MARK_KEY" w:val="70c49296-febc-48fe-b95f-58b64989fec9"/>
  </w:docVars>
  <w:rsids>
    <w:rsidRoot w:val="00172A27"/>
    <w:rsid w:val="000A5108"/>
    <w:rsid w:val="000E7FD8"/>
    <w:rsid w:val="00143C98"/>
    <w:rsid w:val="001566B0"/>
    <w:rsid w:val="00172A27"/>
    <w:rsid w:val="001C5BB5"/>
    <w:rsid w:val="002037D4"/>
    <w:rsid w:val="002445B6"/>
    <w:rsid w:val="002A4B4C"/>
    <w:rsid w:val="003241C4"/>
    <w:rsid w:val="003F7B83"/>
    <w:rsid w:val="004239DA"/>
    <w:rsid w:val="004F05BD"/>
    <w:rsid w:val="005516FE"/>
    <w:rsid w:val="00552144"/>
    <w:rsid w:val="0056276C"/>
    <w:rsid w:val="005A0099"/>
    <w:rsid w:val="005D3B41"/>
    <w:rsid w:val="00660AD4"/>
    <w:rsid w:val="006A76EB"/>
    <w:rsid w:val="00752525"/>
    <w:rsid w:val="00793F10"/>
    <w:rsid w:val="007A6170"/>
    <w:rsid w:val="00837B23"/>
    <w:rsid w:val="009425BB"/>
    <w:rsid w:val="009637C8"/>
    <w:rsid w:val="00976BB5"/>
    <w:rsid w:val="009E3C3B"/>
    <w:rsid w:val="009F7122"/>
    <w:rsid w:val="00A81116"/>
    <w:rsid w:val="00AB4843"/>
    <w:rsid w:val="00AC6992"/>
    <w:rsid w:val="00AD6172"/>
    <w:rsid w:val="00BF44E6"/>
    <w:rsid w:val="00C528EC"/>
    <w:rsid w:val="00C86BC2"/>
    <w:rsid w:val="00C96D4E"/>
    <w:rsid w:val="00CE04B9"/>
    <w:rsid w:val="00D70E55"/>
    <w:rsid w:val="00E664E5"/>
    <w:rsid w:val="00E66EF2"/>
    <w:rsid w:val="00EA1828"/>
    <w:rsid w:val="00FB71A3"/>
    <w:rsid w:val="00FF6CE9"/>
    <w:rsid w:val="01597ED3"/>
    <w:rsid w:val="017D2A9C"/>
    <w:rsid w:val="01BE6AF9"/>
    <w:rsid w:val="062E19DF"/>
    <w:rsid w:val="086C2CFF"/>
    <w:rsid w:val="0AD97127"/>
    <w:rsid w:val="0FB85531"/>
    <w:rsid w:val="11882673"/>
    <w:rsid w:val="12706E9D"/>
    <w:rsid w:val="15E962C8"/>
    <w:rsid w:val="19E576EB"/>
    <w:rsid w:val="19EC28EC"/>
    <w:rsid w:val="1A07182A"/>
    <w:rsid w:val="1F6403A3"/>
    <w:rsid w:val="208F7BD6"/>
    <w:rsid w:val="2C8974F1"/>
    <w:rsid w:val="2EAB4957"/>
    <w:rsid w:val="2EDB2EBB"/>
    <w:rsid w:val="326C0551"/>
    <w:rsid w:val="373C3BA7"/>
    <w:rsid w:val="38CD681E"/>
    <w:rsid w:val="39D4375B"/>
    <w:rsid w:val="3BB3534E"/>
    <w:rsid w:val="3BEE40FB"/>
    <w:rsid w:val="3C5C4961"/>
    <w:rsid w:val="42EC2EE0"/>
    <w:rsid w:val="46A71F91"/>
    <w:rsid w:val="46F56910"/>
    <w:rsid w:val="4A9F3C99"/>
    <w:rsid w:val="4F0C6A3E"/>
    <w:rsid w:val="53BA107A"/>
    <w:rsid w:val="54AC46F5"/>
    <w:rsid w:val="554C3B9F"/>
    <w:rsid w:val="557378ED"/>
    <w:rsid w:val="56DC04A6"/>
    <w:rsid w:val="5B486302"/>
    <w:rsid w:val="5C586C7C"/>
    <w:rsid w:val="5D2E66A6"/>
    <w:rsid w:val="5DDE5652"/>
    <w:rsid w:val="5FEA56D8"/>
    <w:rsid w:val="60B66CA4"/>
    <w:rsid w:val="611253AE"/>
    <w:rsid w:val="615179CA"/>
    <w:rsid w:val="6BDA1271"/>
    <w:rsid w:val="6BF67767"/>
    <w:rsid w:val="6E711399"/>
    <w:rsid w:val="6EB96CDA"/>
    <w:rsid w:val="71B90E3E"/>
    <w:rsid w:val="78166D44"/>
    <w:rsid w:val="78CF1927"/>
    <w:rsid w:val="7A04381C"/>
    <w:rsid w:val="7B137C38"/>
    <w:rsid w:val="7B292635"/>
    <w:rsid w:val="7D236D81"/>
    <w:rsid w:val="7F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47"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 w:cs="宋体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snapToGrid w:val="0"/>
      <w:spacing w:line="580" w:lineRule="exact"/>
      <w:ind w:firstLine="560" w:firstLineChars="200"/>
      <w:jc w:val="left"/>
      <w:outlineLvl w:val="2"/>
    </w:pPr>
    <w:rPr>
      <w:rFonts w:hint="eastAsia" w:ascii="宋体" w:hAnsi="宋体" w:eastAsia="楷体"/>
      <w:kern w:val="0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qFormat/>
    <w:uiPriority w:val="99"/>
    <w:pPr>
      <w:spacing w:after="120"/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字符"/>
    <w:link w:val="7"/>
    <w:qFormat/>
    <w:uiPriority w:val="99"/>
    <w:rPr>
      <w:kern w:val="2"/>
      <w:sz w:val="18"/>
    </w:rPr>
  </w:style>
  <w:style w:type="character" w:customStyle="1" w:styleId="15">
    <w:name w:val="页码 New"/>
    <w:basedOn w:val="12"/>
    <w:qFormat/>
    <w:uiPriority w:val="0"/>
  </w:style>
  <w:style w:type="character" w:customStyle="1" w:styleId="16">
    <w:name w:val="页码 New New"/>
    <w:basedOn w:val="12"/>
    <w:qFormat/>
    <w:uiPriority w:val="0"/>
  </w:style>
  <w:style w:type="character" w:customStyle="1" w:styleId="17">
    <w:name w:val="页码 New New New"/>
    <w:basedOn w:val="12"/>
    <w:qFormat/>
    <w:uiPriority w:val="0"/>
  </w:style>
  <w:style w:type="character" w:customStyle="1" w:styleId="18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</w:rPr>
  </w:style>
  <w:style w:type="character" w:customStyle="1" w:styleId="20">
    <w:name w:val="批注文字 字符"/>
    <w:link w:val="4"/>
    <w:qFormat/>
    <w:uiPriority w:val="0"/>
    <w:rPr>
      <w:kern w:val="2"/>
      <w:sz w:val="21"/>
    </w:rPr>
  </w:style>
  <w:style w:type="character" w:customStyle="1" w:styleId="21">
    <w:name w:val="页码 New New New New"/>
    <w:basedOn w:val="12"/>
    <w:qFormat/>
    <w:uiPriority w:val="0"/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页眉1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26">
    <w:name w:val="页眉 New"/>
    <w:basedOn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7">
    <w:name w:val="页脚 New New New"/>
    <w:basedOn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8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9">
    <w:name w:val="页眉 New New"/>
    <w:basedOn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0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1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2">
    <w:name w:val="页脚 New"/>
    <w:basedOn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3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34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5">
    <w:name w:val="页脚 New New"/>
    <w:basedOn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6">
    <w:name w:val="页脚 New New New New"/>
    <w:basedOn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7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修订1"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4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5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7">
    <w:name w:val="标题 2 字符"/>
    <w:basedOn w:val="12"/>
    <w:link w:val="2"/>
    <w:qFormat/>
    <w:uiPriority w:val="0"/>
    <w:rPr>
      <w:rFonts w:ascii="Arial" w:hAnsi="Arial" w:eastAsia="黑体" w:cs="宋体"/>
      <w:kern w:val="2"/>
      <w:sz w:val="32"/>
      <w:szCs w:val="22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9F70-6449-4A4D-B13E-281507893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2243</Words>
  <Characters>2287</Characters>
  <Lines>17</Lines>
  <Paragraphs>4</Paragraphs>
  <TotalTime>91</TotalTime>
  <ScaleCrop>false</ScaleCrop>
  <LinksUpToDate>false</LinksUpToDate>
  <CharactersWithSpaces>2352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2022-02-13T12:42:00Z</dcterms:created>
  <dc:creator>Administrator</dc:creator>
  <cp:lastModifiedBy>吴涛</cp:lastModifiedBy>
  <cp:lastPrinted>2021-09-30T09:58:00Z</cp:lastPrinted>
  <dcterms:modified xsi:type="dcterms:W3CDTF">2024-05-08T06:58:04Z</dcterms:modified>
  <dc:title>投资者关系活动记录表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44783B3A865A4CBFB90AF7F4C40EBCBA</vt:lpwstr>
  </property>
</Properties>
</file>