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EF1CB" w14:textId="77777777" w:rsidR="00656431" w:rsidRDefault="00B03F31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福建顶点软件股份有限公司</w:t>
      </w:r>
    </w:p>
    <w:p w14:paraId="5E2EC7B8" w14:textId="77777777" w:rsidR="00656431" w:rsidRDefault="00B03F31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投资者关系活动记录表</w:t>
      </w:r>
    </w:p>
    <w:p w14:paraId="7018A880" w14:textId="5828A092" w:rsidR="00656431" w:rsidRDefault="00B03F31" w:rsidP="00ED63F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证券简称：顶点软件       证券代码：603383     编号：20</w:t>
      </w:r>
      <w:r>
        <w:rPr>
          <w:rFonts w:asciiTheme="minorEastAsia" w:hAnsiTheme="minorEastAsia"/>
          <w:sz w:val="28"/>
          <w:szCs w:val="28"/>
        </w:rPr>
        <w:t>2</w:t>
      </w:r>
      <w:r w:rsidR="00DE212A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0</w:t>
      </w:r>
      <w:r w:rsidR="00A215D8">
        <w:rPr>
          <w:rFonts w:asciiTheme="minorEastAsia" w:hAnsiTheme="minorEastAsia"/>
          <w:sz w:val="28"/>
          <w:szCs w:val="28"/>
        </w:rPr>
        <w:t>0</w:t>
      </w:r>
      <w:r w:rsidR="00911AEA">
        <w:rPr>
          <w:rFonts w:asciiTheme="minorEastAsia" w:hAnsiTheme="minorEastAsia" w:hint="eastAsia"/>
          <w:sz w:val="28"/>
          <w:szCs w:val="28"/>
        </w:rPr>
        <w:t>2</w:t>
      </w:r>
      <w:r w:rsidR="00DE212A">
        <w:rPr>
          <w:rFonts w:asciiTheme="minorEastAsia" w:hAnsiTheme="minorEastAsia"/>
          <w:sz w:val="28"/>
          <w:szCs w:val="28"/>
        </w:rPr>
        <w:t xml:space="preserve"> 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656431" w14:paraId="27660C63" w14:textId="77777777" w:rsidTr="007664DC">
        <w:trPr>
          <w:trHeight w:val="624"/>
        </w:trPr>
        <w:tc>
          <w:tcPr>
            <w:tcW w:w="1696" w:type="dxa"/>
            <w:vMerge w:val="restart"/>
            <w:noWrap/>
            <w:vAlign w:val="center"/>
          </w:tcPr>
          <w:p w14:paraId="7D051B20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投资者关系活动类别</w:t>
            </w:r>
          </w:p>
        </w:tc>
        <w:tc>
          <w:tcPr>
            <w:tcW w:w="6946" w:type="dxa"/>
            <w:vMerge w:val="restart"/>
          </w:tcPr>
          <w:p w14:paraId="47EE98BB" w14:textId="4BC4B74D" w:rsidR="00656431" w:rsidRDefault="00B03F3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F052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特定对象调研 </w:t>
            </w:r>
            <w:r w:rsidR="00ED793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分析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师会议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□媒体采访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 w:rsidR="00ED793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业绩说明会 □新闻发布会 □路演活动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 w:rsidR="0074008C" w:rsidRPr="007400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现场参观 </w:t>
            </w:r>
            <w:r w:rsidR="006E5F63" w:rsidRPr="006E5F6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  <w:r w:rsidR="003537C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656431" w14:paraId="48A0C3A6" w14:textId="77777777" w:rsidTr="007664DC">
        <w:trPr>
          <w:trHeight w:val="624"/>
        </w:trPr>
        <w:tc>
          <w:tcPr>
            <w:tcW w:w="1696" w:type="dxa"/>
            <w:vMerge/>
            <w:vAlign w:val="center"/>
          </w:tcPr>
          <w:p w14:paraId="10F5EC43" w14:textId="77777777" w:rsidR="00656431" w:rsidRDefault="00656431">
            <w:pPr>
              <w:ind w:firstLineChars="200" w:firstLine="56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14:paraId="457585F4" w14:textId="77777777" w:rsidR="00656431" w:rsidRDefault="0065643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31" w14:paraId="05A8231C" w14:textId="77777777" w:rsidTr="007664DC">
        <w:trPr>
          <w:trHeight w:val="624"/>
        </w:trPr>
        <w:tc>
          <w:tcPr>
            <w:tcW w:w="1696" w:type="dxa"/>
            <w:vMerge/>
            <w:vAlign w:val="center"/>
          </w:tcPr>
          <w:p w14:paraId="5A7E8142" w14:textId="77777777" w:rsidR="00656431" w:rsidRDefault="00656431">
            <w:pPr>
              <w:ind w:firstLineChars="200" w:firstLine="56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14:paraId="4231A588" w14:textId="77777777" w:rsidR="00656431" w:rsidRDefault="0065643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31" w14:paraId="276AD6F5" w14:textId="77777777" w:rsidTr="007664DC">
        <w:trPr>
          <w:trHeight w:val="557"/>
        </w:trPr>
        <w:tc>
          <w:tcPr>
            <w:tcW w:w="1696" w:type="dxa"/>
            <w:noWrap/>
            <w:vAlign w:val="center"/>
          </w:tcPr>
          <w:p w14:paraId="1E578E57" w14:textId="77777777" w:rsidR="00656431" w:rsidRDefault="006564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14:paraId="2E961818" w14:textId="76962D50" w:rsidR="00656431" w:rsidRDefault="00B03F31" w:rsidP="00AE571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参与</w:t>
            </w:r>
            <w:r w:rsidR="00862D67">
              <w:rPr>
                <w:rFonts w:asciiTheme="minorEastAsia" w:hAnsiTheme="minorEastAsia" w:hint="eastAsia"/>
                <w:bCs/>
                <w:sz w:val="28"/>
                <w:szCs w:val="28"/>
              </w:rPr>
              <w:t>时间</w:t>
            </w:r>
            <w:r w:rsidR="004372B7">
              <w:rPr>
                <w:rFonts w:asciiTheme="minorEastAsia" w:hAnsiTheme="minorEastAsia" w:hint="eastAsia"/>
                <w:bCs/>
                <w:sz w:val="28"/>
                <w:szCs w:val="28"/>
              </w:rPr>
              <w:t>和</w:t>
            </w:r>
            <w:r w:rsidR="00862D67">
              <w:rPr>
                <w:rFonts w:asciiTheme="minorEastAsia" w:hAnsiTheme="minorEastAsia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noWrap/>
          </w:tcPr>
          <w:p w14:paraId="7215FDF2" w14:textId="47938E51" w:rsidR="00691239" w:rsidRDefault="00EB7589" w:rsidP="00691239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bookmarkStart w:id="0" w:name="_Hlk91083538"/>
            <w:r w:rsidRPr="00EB75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202</w:t>
            </w:r>
            <w:r w:rsidR="006E5F63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4</w:t>
            </w:r>
            <w:r w:rsidRPr="00EB75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年</w:t>
            </w:r>
            <w:r w:rsidR="006E5F63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5</w:t>
            </w:r>
            <w:r w:rsidRPr="00EB75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月</w:t>
            </w:r>
            <w:r w:rsidR="006E5F63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EB75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  </w:t>
            </w:r>
            <w:r w:rsidR="00DE212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现场会议</w:t>
            </w:r>
          </w:p>
          <w:p w14:paraId="72D929F7" w14:textId="233704E6" w:rsidR="006E5F63" w:rsidRPr="00AE5713" w:rsidRDefault="00DE212A" w:rsidP="00796BF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E5F63" w:rsidRPr="00AE5713">
              <w:rPr>
                <w:rFonts w:hint="eastAsia"/>
                <w:sz w:val="24"/>
                <w:szCs w:val="24"/>
              </w:rPr>
              <w:t xml:space="preserve"> </w:t>
            </w:r>
            <w:r w:rsidR="006E5F63" w:rsidRPr="00AE5713">
              <w:rPr>
                <w:rFonts w:hint="eastAsia"/>
                <w:sz w:val="24"/>
                <w:szCs w:val="24"/>
              </w:rPr>
              <w:t>广发证券</w:t>
            </w:r>
            <w:r w:rsidR="006E5F63" w:rsidRPr="00AE5713">
              <w:rPr>
                <w:rFonts w:hint="eastAsia"/>
                <w:sz w:val="24"/>
                <w:szCs w:val="24"/>
              </w:rPr>
              <w:t xml:space="preserve">    </w:t>
            </w:r>
            <w:r w:rsidR="006E5F63" w:rsidRPr="00AE5713">
              <w:rPr>
                <w:rFonts w:hint="eastAsia"/>
                <w:sz w:val="24"/>
                <w:szCs w:val="24"/>
              </w:rPr>
              <w:t>李婉云</w:t>
            </w:r>
            <w:r w:rsidR="006E5F63" w:rsidRPr="00AE5713"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2707FC85" w14:textId="2564B315" w:rsidR="00796BF8" w:rsidRPr="00AE5713" w:rsidRDefault="006E5F63" w:rsidP="006E5F63">
            <w:pPr>
              <w:ind w:firstLineChars="100" w:firstLine="240"/>
              <w:rPr>
                <w:sz w:val="24"/>
                <w:szCs w:val="24"/>
              </w:rPr>
            </w:pPr>
            <w:r w:rsidRPr="00AE5713">
              <w:rPr>
                <w:rFonts w:hint="eastAsia"/>
                <w:sz w:val="24"/>
                <w:szCs w:val="24"/>
              </w:rPr>
              <w:t>西南证券</w:t>
            </w:r>
            <w:r w:rsidRPr="00AE5713">
              <w:rPr>
                <w:rFonts w:hint="eastAsia"/>
                <w:sz w:val="24"/>
                <w:szCs w:val="24"/>
              </w:rPr>
              <w:t xml:space="preserve">    </w:t>
            </w:r>
            <w:r w:rsidRPr="00AE5713">
              <w:rPr>
                <w:rFonts w:hint="eastAsia"/>
                <w:sz w:val="24"/>
                <w:szCs w:val="24"/>
              </w:rPr>
              <w:t>王湘杰、</w:t>
            </w:r>
            <w:proofErr w:type="gramStart"/>
            <w:r w:rsidRPr="00AE5713">
              <w:rPr>
                <w:rFonts w:hint="eastAsia"/>
                <w:sz w:val="24"/>
                <w:szCs w:val="24"/>
              </w:rPr>
              <w:t>罗紫莹</w:t>
            </w:r>
            <w:proofErr w:type="gramEnd"/>
          </w:p>
          <w:p w14:paraId="28C04C6A" w14:textId="3D3947D1" w:rsidR="006E5F63" w:rsidRPr="00AE5713" w:rsidRDefault="006E5F63" w:rsidP="006E5F63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AE5713">
              <w:rPr>
                <w:rFonts w:hint="eastAsia"/>
                <w:sz w:val="24"/>
                <w:szCs w:val="24"/>
              </w:rPr>
              <w:t>东方红资管</w:t>
            </w:r>
            <w:proofErr w:type="gramEnd"/>
            <w:r w:rsidRPr="00AE5713">
              <w:rPr>
                <w:rFonts w:hint="eastAsia"/>
                <w:sz w:val="24"/>
                <w:szCs w:val="24"/>
              </w:rPr>
              <w:t xml:space="preserve">  </w:t>
            </w:r>
            <w:r w:rsidRPr="00AE5713">
              <w:rPr>
                <w:rFonts w:hint="eastAsia"/>
                <w:sz w:val="24"/>
                <w:szCs w:val="24"/>
              </w:rPr>
              <w:t>郑童仁</w:t>
            </w:r>
          </w:p>
          <w:p w14:paraId="6609F78D" w14:textId="43A933EB" w:rsidR="000D036F" w:rsidRPr="000D036F" w:rsidRDefault="00A64DBE" w:rsidP="006E5F63">
            <w:r w:rsidRPr="00AE5713">
              <w:rPr>
                <w:sz w:val="24"/>
                <w:szCs w:val="24"/>
              </w:rPr>
              <w:t xml:space="preserve">      </w:t>
            </w:r>
            <w:bookmarkEnd w:id="0"/>
            <w:r w:rsidR="00D4474F" w:rsidRPr="00AE5713">
              <w:rPr>
                <w:sz w:val="24"/>
                <w:szCs w:val="24"/>
              </w:rPr>
              <w:t xml:space="preserve">                  </w:t>
            </w:r>
            <w:r w:rsidR="00D4474F">
              <w:t xml:space="preserve">            </w:t>
            </w:r>
          </w:p>
        </w:tc>
      </w:tr>
      <w:tr w:rsidR="00656431" w14:paraId="2017135C" w14:textId="77777777" w:rsidTr="007664DC">
        <w:trPr>
          <w:trHeight w:val="285"/>
        </w:trPr>
        <w:tc>
          <w:tcPr>
            <w:tcW w:w="1696" w:type="dxa"/>
            <w:noWrap/>
            <w:vAlign w:val="center"/>
          </w:tcPr>
          <w:p w14:paraId="6584B4BF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6946" w:type="dxa"/>
            <w:noWrap/>
          </w:tcPr>
          <w:p w14:paraId="2F16FDE5" w14:textId="079EA02E" w:rsidR="00656431" w:rsidRDefault="00B03F31" w:rsidP="00DE212A">
            <w:pPr>
              <w:ind w:firstLineChars="700" w:firstLine="19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公司会议室</w:t>
            </w:r>
          </w:p>
        </w:tc>
      </w:tr>
      <w:tr w:rsidR="00656431" w14:paraId="43300DEE" w14:textId="77777777" w:rsidTr="007664DC">
        <w:trPr>
          <w:trHeight w:val="285"/>
        </w:trPr>
        <w:tc>
          <w:tcPr>
            <w:tcW w:w="1696" w:type="dxa"/>
            <w:noWrap/>
            <w:vAlign w:val="center"/>
          </w:tcPr>
          <w:p w14:paraId="304E69BE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公司接待人员姓名</w:t>
            </w:r>
          </w:p>
        </w:tc>
        <w:tc>
          <w:tcPr>
            <w:tcW w:w="6946" w:type="dxa"/>
            <w:noWrap/>
            <w:vAlign w:val="center"/>
          </w:tcPr>
          <w:p w14:paraId="4B3B7624" w14:textId="3AFFEFC8" w:rsidR="00656431" w:rsidRDefault="00B03F31" w:rsidP="00DE212A">
            <w:pPr>
              <w:ind w:firstLineChars="700" w:firstLine="19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赵伟（董秘）</w:t>
            </w:r>
          </w:p>
        </w:tc>
      </w:tr>
      <w:tr w:rsidR="00656431" w:rsidRPr="00C80A66" w14:paraId="68D1BEBE" w14:textId="77777777" w:rsidTr="007664DC">
        <w:trPr>
          <w:trHeight w:val="1642"/>
        </w:trPr>
        <w:tc>
          <w:tcPr>
            <w:tcW w:w="1696" w:type="dxa"/>
            <w:noWrap/>
            <w:vAlign w:val="center"/>
          </w:tcPr>
          <w:p w14:paraId="25934EE9" w14:textId="77777777" w:rsidR="00656431" w:rsidRDefault="00B03F3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投资者关系活动主要内容介绍</w:t>
            </w:r>
          </w:p>
        </w:tc>
        <w:tc>
          <w:tcPr>
            <w:tcW w:w="6946" w:type="dxa"/>
            <w:noWrap/>
          </w:tcPr>
          <w:p w14:paraId="799DBE04" w14:textId="6AC72C36" w:rsidR="00AE5713" w:rsidRDefault="00AE5713" w:rsidP="00AE571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调研交流情况：</w:t>
            </w:r>
          </w:p>
          <w:p w14:paraId="57852942" w14:textId="7FFB69C8" w:rsidR="004D3F94" w:rsidRPr="00C94BEA" w:rsidRDefault="00177F72" w:rsidP="004D3F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77F72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177F72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4D3F94" w:rsidRPr="00C94BEA">
              <w:rPr>
                <w:rFonts w:asciiTheme="minorEastAsia" w:hAnsiTheme="minorEastAsia" w:hint="eastAsia"/>
                <w:sz w:val="28"/>
                <w:szCs w:val="28"/>
              </w:rPr>
              <w:t>今年金融总体IT预算有下降趋势，对公司收入有什么样的影响？</w:t>
            </w:r>
            <w:r w:rsidR="004D3F94">
              <w:rPr>
                <w:rFonts w:asciiTheme="minorEastAsia" w:hAnsiTheme="minorEastAsia" w:hint="eastAsia"/>
                <w:sz w:val="28"/>
                <w:szCs w:val="28"/>
              </w:rPr>
              <w:t>2024年公司业务增长的驱动力？</w:t>
            </w:r>
          </w:p>
          <w:p w14:paraId="2A8CA690" w14:textId="77777777" w:rsidR="004D3F94" w:rsidRDefault="004D3F94" w:rsidP="004D3F94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560"/>
              <w:rPr>
                <w:kern w:val="0"/>
                <w:sz w:val="24"/>
                <w:szCs w:val="24"/>
              </w:rPr>
            </w:pPr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回复：今年市场整体的环境较为复杂，公司尽力在经营策略上保持较大的弹性，积极应对可能出现的变化，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利用</w:t>
            </w:r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优势产品线的市场扩大和</w:t>
            </w:r>
            <w:proofErr w:type="gramStart"/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国产信创</w:t>
            </w:r>
            <w:proofErr w:type="gramEnd"/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替代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近年新研发产品的市场开拓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以实现经营增长的目标</w:t>
            </w:r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2024年公司业务增长</w:t>
            </w:r>
            <w:r w:rsidRPr="004D3F94">
              <w:rPr>
                <w:rFonts w:asciiTheme="minorEastAsia" w:hAnsiTheme="minorEastAsia"/>
                <w:sz w:val="28"/>
                <w:szCs w:val="28"/>
              </w:rPr>
              <w:t>的驱动力一方面来源于优势产品线的市场扩大和</w:t>
            </w:r>
            <w:proofErr w:type="gramStart"/>
            <w:r w:rsidRPr="004D3F94">
              <w:rPr>
                <w:rFonts w:asciiTheme="minorEastAsia" w:hAnsiTheme="minorEastAsia"/>
                <w:sz w:val="28"/>
                <w:szCs w:val="28"/>
              </w:rPr>
              <w:t>国产信创</w:t>
            </w:r>
            <w:proofErr w:type="gramEnd"/>
            <w:r w:rsidRPr="004D3F94">
              <w:rPr>
                <w:rFonts w:asciiTheme="minorEastAsia" w:hAnsiTheme="minorEastAsia"/>
                <w:sz w:val="28"/>
                <w:szCs w:val="28"/>
              </w:rPr>
              <w:t>替代，另一方面来源于近年新研发产品的市场开拓。</w:t>
            </w:r>
          </w:p>
          <w:p w14:paraId="4A267F3F" w14:textId="6EF09BEB" w:rsidR="00C94BEA" w:rsidRPr="00C94BEA" w:rsidRDefault="00C94BEA" w:rsidP="00C94BEA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2、</w:t>
            </w:r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中标的头部券商核心交易系统目前的进展？何时上线？</w:t>
            </w:r>
          </w:p>
          <w:p w14:paraId="5B7EC719" w14:textId="41EC70DF" w:rsidR="00181AF7" w:rsidRDefault="00C94BEA" w:rsidP="00C94BEA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回复：项目按计划正常进行，具体上线日期将与客户共同协商确定。</w:t>
            </w:r>
          </w:p>
          <w:p w14:paraId="39958107" w14:textId="77777777" w:rsidR="003A6A5C" w:rsidRDefault="003A6A5C" w:rsidP="00C94BEA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199D0F62" w14:textId="46333154" w:rsidR="00A66E24" w:rsidRPr="00177F72" w:rsidRDefault="00C94BEA" w:rsidP="004D3F94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3、</w:t>
            </w:r>
            <w:r w:rsidRPr="00C94BEA">
              <w:rPr>
                <w:rFonts w:asciiTheme="minorEastAsia" w:hAnsiTheme="minorEastAsia" w:hint="eastAsia"/>
                <w:sz w:val="28"/>
                <w:szCs w:val="28"/>
              </w:rPr>
              <w:t>今年</w:t>
            </w:r>
            <w:r w:rsidR="00A66E24" w:rsidRPr="00177F72">
              <w:rPr>
                <w:rFonts w:asciiTheme="minorEastAsia" w:hAnsiTheme="minorEastAsia" w:hint="eastAsia"/>
                <w:sz w:val="28"/>
                <w:szCs w:val="28"/>
              </w:rPr>
              <w:t>公司人员</w:t>
            </w:r>
            <w:r w:rsidR="00D8550F" w:rsidRPr="00177F72">
              <w:rPr>
                <w:rFonts w:asciiTheme="minorEastAsia" w:hAnsiTheme="minorEastAsia" w:hint="eastAsia"/>
                <w:sz w:val="28"/>
                <w:szCs w:val="28"/>
              </w:rPr>
              <w:t>招聘</w:t>
            </w:r>
            <w:r w:rsidR="00A66E24" w:rsidRPr="00177F72">
              <w:rPr>
                <w:rFonts w:asciiTheme="minorEastAsia" w:hAnsiTheme="minorEastAsia" w:hint="eastAsia"/>
                <w:sz w:val="28"/>
                <w:szCs w:val="28"/>
              </w:rPr>
              <w:t>规划？</w:t>
            </w:r>
          </w:p>
          <w:p w14:paraId="4C121B1B" w14:textId="77777777" w:rsidR="00DB3469" w:rsidRDefault="00A96C37" w:rsidP="00DB3469">
            <w:pPr>
              <w:pStyle w:val="a9"/>
              <w:spacing w:before="120" w:beforeAutospacing="0" w:after="120" w:afterAutospacing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177F72">
              <w:rPr>
                <w:rFonts w:asciiTheme="minorEastAsia" w:hAnsiTheme="minorEastAsia" w:hint="eastAsia"/>
                <w:sz w:val="28"/>
                <w:szCs w:val="28"/>
              </w:rPr>
              <w:t>回复</w:t>
            </w:r>
            <w:r w:rsidR="00A66E24" w:rsidRPr="00177F72">
              <w:rPr>
                <w:rFonts w:asciiTheme="minorEastAsia" w:hAnsiTheme="minorEastAsia" w:hint="eastAsia"/>
                <w:sz w:val="28"/>
                <w:szCs w:val="28"/>
              </w:rPr>
              <w:t>：公司对人员的招聘采取弹性制，重点关注高水平人才的聘用，具体会根据各业务线的发展情况</w:t>
            </w:r>
            <w:r w:rsidR="00165577">
              <w:rPr>
                <w:rFonts w:asciiTheme="minorEastAsia" w:hAnsiTheme="minorEastAsia" w:hint="eastAsia"/>
                <w:sz w:val="28"/>
                <w:szCs w:val="28"/>
              </w:rPr>
              <w:t>确定</w:t>
            </w:r>
            <w:r w:rsidR="00A66E24" w:rsidRPr="00177F72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14:paraId="255C2F80" w14:textId="77777777" w:rsidR="00C423D0" w:rsidRDefault="00C423D0" w:rsidP="00DB3469">
            <w:pPr>
              <w:pStyle w:val="a9"/>
              <w:spacing w:before="120" w:beforeAutospacing="0" w:after="120" w:afterAutospacing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14:paraId="7217B879" w14:textId="45876E9D" w:rsidR="00C423D0" w:rsidRDefault="00C423D0" w:rsidP="00C423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C423D0">
              <w:rPr>
                <w:rFonts w:asciiTheme="minorEastAsia" w:hAnsiTheme="minorEastAsia"/>
                <w:sz w:val="28"/>
                <w:szCs w:val="28"/>
              </w:rPr>
              <w:t>、 2023 年利润方案是怎么考虑的， 2024 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的分红计划呢</w:t>
            </w:r>
            <w:r w:rsidRPr="00C423D0">
              <w:rPr>
                <w:rFonts w:asciiTheme="minorEastAsia" w:hAnsiTheme="minorEastAsia"/>
                <w:sz w:val="28"/>
                <w:szCs w:val="28"/>
              </w:rPr>
              <w:t>？</w:t>
            </w:r>
          </w:p>
          <w:p w14:paraId="787B6FCB" w14:textId="77777777" w:rsidR="00457CF4" w:rsidRDefault="00C423D0" w:rsidP="00C423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423D0">
              <w:rPr>
                <w:rFonts w:asciiTheme="minorEastAsia" w:hAnsiTheme="minorEastAsia"/>
                <w:sz w:val="28"/>
                <w:szCs w:val="28"/>
              </w:rPr>
              <w:t>回复： 公司2023 年利润分配方案是每 10 股派发现金红利 11 元，同时以资本公积每10 股转增 2 股。</w:t>
            </w:r>
            <w:r w:rsidR="00457CF4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</w:p>
          <w:p w14:paraId="3B9BF34E" w14:textId="1E7894D5" w:rsidR="00C423D0" w:rsidRPr="00177F72" w:rsidRDefault="00457CF4" w:rsidP="00457CF4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423D0">
              <w:rPr>
                <w:rFonts w:asciiTheme="minorEastAsia" w:hAnsiTheme="minorEastAsia"/>
                <w:sz w:val="28"/>
                <w:szCs w:val="28"/>
              </w:rPr>
              <w:t>公司高度重视投资者回报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C423D0">
              <w:rPr>
                <w:rFonts w:asciiTheme="minorEastAsia" w:hAnsiTheme="minorEastAsia"/>
                <w:sz w:val="28"/>
                <w:szCs w:val="28"/>
              </w:rPr>
              <w:t>实行积极、持续、稳定的利润分配政策</w:t>
            </w:r>
            <w:r w:rsidR="00EA6E65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C423D0" w:rsidRPr="00C423D0">
              <w:rPr>
                <w:rFonts w:asciiTheme="minorEastAsia" w:hAnsiTheme="minorEastAsia"/>
                <w:sz w:val="28"/>
                <w:szCs w:val="28"/>
              </w:rPr>
              <w:t>2024年将会继续实行相应的利润分配政策。</w:t>
            </w:r>
          </w:p>
        </w:tc>
      </w:tr>
    </w:tbl>
    <w:p w14:paraId="5D3974F3" w14:textId="1554F730" w:rsidR="00656431" w:rsidRPr="00417C3D" w:rsidRDefault="00656431" w:rsidP="00FE0687">
      <w:pPr>
        <w:widowControl/>
        <w:jc w:val="left"/>
      </w:pPr>
    </w:p>
    <w:sectPr w:rsidR="00656431" w:rsidRPr="00417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C4DA8" w14:textId="77777777" w:rsidR="00EB2048" w:rsidRDefault="00EB2048" w:rsidP="00FC65CC">
      <w:r>
        <w:separator/>
      </w:r>
    </w:p>
  </w:endnote>
  <w:endnote w:type="continuationSeparator" w:id="0">
    <w:p w14:paraId="660FC6BD" w14:textId="77777777" w:rsidR="00EB2048" w:rsidRDefault="00EB2048" w:rsidP="00FC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70FD8" w14:textId="77777777" w:rsidR="00EB2048" w:rsidRDefault="00EB2048" w:rsidP="00FC65CC">
      <w:r>
        <w:separator/>
      </w:r>
    </w:p>
  </w:footnote>
  <w:footnote w:type="continuationSeparator" w:id="0">
    <w:p w14:paraId="434843A3" w14:textId="77777777" w:rsidR="00EB2048" w:rsidRDefault="00EB2048" w:rsidP="00FC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2099"/>
    <w:multiLevelType w:val="hybridMultilevel"/>
    <w:tmpl w:val="504E4C86"/>
    <w:lvl w:ilvl="0" w:tplc="946C95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3EA5AC0"/>
    <w:multiLevelType w:val="hybridMultilevel"/>
    <w:tmpl w:val="8C74DF70"/>
    <w:lvl w:ilvl="0" w:tplc="4296C28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62E0C95"/>
    <w:multiLevelType w:val="hybridMultilevel"/>
    <w:tmpl w:val="347CCF64"/>
    <w:lvl w:ilvl="0" w:tplc="7F7A04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79B4CFD"/>
    <w:multiLevelType w:val="multilevel"/>
    <w:tmpl w:val="179B4CF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F607ED"/>
    <w:multiLevelType w:val="hybridMultilevel"/>
    <w:tmpl w:val="D32027E6"/>
    <w:lvl w:ilvl="0" w:tplc="E5E65692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99E301D"/>
    <w:multiLevelType w:val="hybridMultilevel"/>
    <w:tmpl w:val="76F87FF4"/>
    <w:lvl w:ilvl="0" w:tplc="5A56241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2111775130">
    <w:abstractNumId w:val="3"/>
  </w:num>
  <w:num w:numId="2" w16cid:durableId="567809443">
    <w:abstractNumId w:val="1"/>
  </w:num>
  <w:num w:numId="3" w16cid:durableId="1296594463">
    <w:abstractNumId w:val="4"/>
  </w:num>
  <w:num w:numId="4" w16cid:durableId="81680227">
    <w:abstractNumId w:val="5"/>
  </w:num>
  <w:num w:numId="5" w16cid:durableId="491067731">
    <w:abstractNumId w:val="0"/>
  </w:num>
  <w:num w:numId="6" w16cid:durableId="1069378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F8"/>
    <w:rsid w:val="000011E3"/>
    <w:rsid w:val="00014642"/>
    <w:rsid w:val="000158E6"/>
    <w:rsid w:val="00015B6C"/>
    <w:rsid w:val="00021E7F"/>
    <w:rsid w:val="00034E1D"/>
    <w:rsid w:val="00036D50"/>
    <w:rsid w:val="00041866"/>
    <w:rsid w:val="00041BC6"/>
    <w:rsid w:val="00050198"/>
    <w:rsid w:val="00066614"/>
    <w:rsid w:val="00070BF1"/>
    <w:rsid w:val="0009493E"/>
    <w:rsid w:val="00096A5E"/>
    <w:rsid w:val="000976B2"/>
    <w:rsid w:val="000C2E67"/>
    <w:rsid w:val="000C3354"/>
    <w:rsid w:val="000C6DA5"/>
    <w:rsid w:val="000D036F"/>
    <w:rsid w:val="000E4C0C"/>
    <w:rsid w:val="000E7E0D"/>
    <w:rsid w:val="00105CDC"/>
    <w:rsid w:val="00107CD9"/>
    <w:rsid w:val="00114DEE"/>
    <w:rsid w:val="00117E54"/>
    <w:rsid w:val="001201C9"/>
    <w:rsid w:val="00134DCD"/>
    <w:rsid w:val="00142497"/>
    <w:rsid w:val="00151DF6"/>
    <w:rsid w:val="00165577"/>
    <w:rsid w:val="00166A35"/>
    <w:rsid w:val="00167B0F"/>
    <w:rsid w:val="001709C6"/>
    <w:rsid w:val="001727BA"/>
    <w:rsid w:val="00173003"/>
    <w:rsid w:val="00177F72"/>
    <w:rsid w:val="00181AF7"/>
    <w:rsid w:val="00186E0D"/>
    <w:rsid w:val="001A3CF8"/>
    <w:rsid w:val="001A64C6"/>
    <w:rsid w:val="001A6FE0"/>
    <w:rsid w:val="001B257F"/>
    <w:rsid w:val="001B7284"/>
    <w:rsid w:val="001C3422"/>
    <w:rsid w:val="001C68BE"/>
    <w:rsid w:val="001C7095"/>
    <w:rsid w:val="001D1127"/>
    <w:rsid w:val="001D2844"/>
    <w:rsid w:val="001D31E7"/>
    <w:rsid w:val="001D5E3A"/>
    <w:rsid w:val="001E0F46"/>
    <w:rsid w:val="001E25D3"/>
    <w:rsid w:val="001F0C6F"/>
    <w:rsid w:val="001F6A3E"/>
    <w:rsid w:val="001F7C46"/>
    <w:rsid w:val="001F7F9B"/>
    <w:rsid w:val="00203C43"/>
    <w:rsid w:val="002145C8"/>
    <w:rsid w:val="002171F9"/>
    <w:rsid w:val="00240184"/>
    <w:rsid w:val="00242FAE"/>
    <w:rsid w:val="00245D22"/>
    <w:rsid w:val="00250861"/>
    <w:rsid w:val="0025406B"/>
    <w:rsid w:val="00280B1F"/>
    <w:rsid w:val="00287952"/>
    <w:rsid w:val="002968BA"/>
    <w:rsid w:val="002A35D7"/>
    <w:rsid w:val="002A7D62"/>
    <w:rsid w:val="002C6764"/>
    <w:rsid w:val="002D0E27"/>
    <w:rsid w:val="002D4197"/>
    <w:rsid w:val="002D5760"/>
    <w:rsid w:val="002E186C"/>
    <w:rsid w:val="002F0726"/>
    <w:rsid w:val="002F13CB"/>
    <w:rsid w:val="002F4D81"/>
    <w:rsid w:val="0030426B"/>
    <w:rsid w:val="00310ADD"/>
    <w:rsid w:val="003143C7"/>
    <w:rsid w:val="003148DF"/>
    <w:rsid w:val="003151ED"/>
    <w:rsid w:val="00323352"/>
    <w:rsid w:val="00330F2F"/>
    <w:rsid w:val="00336DC5"/>
    <w:rsid w:val="003537C8"/>
    <w:rsid w:val="0035410E"/>
    <w:rsid w:val="00354E4F"/>
    <w:rsid w:val="003621BD"/>
    <w:rsid w:val="00376E35"/>
    <w:rsid w:val="003819E9"/>
    <w:rsid w:val="00384121"/>
    <w:rsid w:val="003868B7"/>
    <w:rsid w:val="00386B97"/>
    <w:rsid w:val="003870F1"/>
    <w:rsid w:val="003876E4"/>
    <w:rsid w:val="003914AA"/>
    <w:rsid w:val="00396743"/>
    <w:rsid w:val="003A6A5C"/>
    <w:rsid w:val="003B099F"/>
    <w:rsid w:val="003B3F40"/>
    <w:rsid w:val="003B5B08"/>
    <w:rsid w:val="003B75B8"/>
    <w:rsid w:val="003C1F9B"/>
    <w:rsid w:val="003C7BEB"/>
    <w:rsid w:val="003D0FEE"/>
    <w:rsid w:val="003D496E"/>
    <w:rsid w:val="003E7324"/>
    <w:rsid w:val="003F340E"/>
    <w:rsid w:val="003F376B"/>
    <w:rsid w:val="004016E7"/>
    <w:rsid w:val="00406CB0"/>
    <w:rsid w:val="0041005C"/>
    <w:rsid w:val="004102F2"/>
    <w:rsid w:val="00411A8A"/>
    <w:rsid w:val="00417C3D"/>
    <w:rsid w:val="004227D5"/>
    <w:rsid w:val="004250A3"/>
    <w:rsid w:val="004256CD"/>
    <w:rsid w:val="00427385"/>
    <w:rsid w:val="00432273"/>
    <w:rsid w:val="0043651B"/>
    <w:rsid w:val="004372B7"/>
    <w:rsid w:val="00440AF2"/>
    <w:rsid w:val="00440EE3"/>
    <w:rsid w:val="004446E0"/>
    <w:rsid w:val="0044496C"/>
    <w:rsid w:val="00444CE7"/>
    <w:rsid w:val="004479AA"/>
    <w:rsid w:val="00454A34"/>
    <w:rsid w:val="004579C9"/>
    <w:rsid w:val="00457CF4"/>
    <w:rsid w:val="00463226"/>
    <w:rsid w:val="00464794"/>
    <w:rsid w:val="00465320"/>
    <w:rsid w:val="00470CD7"/>
    <w:rsid w:val="00472DCA"/>
    <w:rsid w:val="00474327"/>
    <w:rsid w:val="00477AA6"/>
    <w:rsid w:val="0048138E"/>
    <w:rsid w:val="0048280A"/>
    <w:rsid w:val="00486296"/>
    <w:rsid w:val="00494F34"/>
    <w:rsid w:val="004A5061"/>
    <w:rsid w:val="004B0711"/>
    <w:rsid w:val="004B2361"/>
    <w:rsid w:val="004C0BDD"/>
    <w:rsid w:val="004C5728"/>
    <w:rsid w:val="004D0113"/>
    <w:rsid w:val="004D29DE"/>
    <w:rsid w:val="004D2CF7"/>
    <w:rsid w:val="004D3F94"/>
    <w:rsid w:val="004E04DF"/>
    <w:rsid w:val="004E08C7"/>
    <w:rsid w:val="004E0A7C"/>
    <w:rsid w:val="004F5FD0"/>
    <w:rsid w:val="00510124"/>
    <w:rsid w:val="00516A94"/>
    <w:rsid w:val="00525136"/>
    <w:rsid w:val="00530532"/>
    <w:rsid w:val="00531024"/>
    <w:rsid w:val="005322BD"/>
    <w:rsid w:val="00534D21"/>
    <w:rsid w:val="00541EBA"/>
    <w:rsid w:val="0054353C"/>
    <w:rsid w:val="005503D5"/>
    <w:rsid w:val="00550FD6"/>
    <w:rsid w:val="00555E6E"/>
    <w:rsid w:val="00563244"/>
    <w:rsid w:val="00564C88"/>
    <w:rsid w:val="00584C38"/>
    <w:rsid w:val="00590391"/>
    <w:rsid w:val="00591703"/>
    <w:rsid w:val="00596B49"/>
    <w:rsid w:val="005A0F86"/>
    <w:rsid w:val="005A5EC5"/>
    <w:rsid w:val="005A7B41"/>
    <w:rsid w:val="005B4FF9"/>
    <w:rsid w:val="005C7268"/>
    <w:rsid w:val="005D4B2C"/>
    <w:rsid w:val="005D5A54"/>
    <w:rsid w:val="005D5BFD"/>
    <w:rsid w:val="005E47DE"/>
    <w:rsid w:val="005E5324"/>
    <w:rsid w:val="005F327F"/>
    <w:rsid w:val="006025C1"/>
    <w:rsid w:val="00610FAD"/>
    <w:rsid w:val="00632969"/>
    <w:rsid w:val="006329A5"/>
    <w:rsid w:val="00632E81"/>
    <w:rsid w:val="00635067"/>
    <w:rsid w:val="00641428"/>
    <w:rsid w:val="006416E8"/>
    <w:rsid w:val="006520BA"/>
    <w:rsid w:val="00656431"/>
    <w:rsid w:val="0068250D"/>
    <w:rsid w:val="0068283F"/>
    <w:rsid w:val="00684E8C"/>
    <w:rsid w:val="006862E5"/>
    <w:rsid w:val="00691239"/>
    <w:rsid w:val="006966F3"/>
    <w:rsid w:val="006968D8"/>
    <w:rsid w:val="006A08E8"/>
    <w:rsid w:val="006A2631"/>
    <w:rsid w:val="006A3A47"/>
    <w:rsid w:val="006A6A8E"/>
    <w:rsid w:val="006C48C3"/>
    <w:rsid w:val="006E10B0"/>
    <w:rsid w:val="006E5148"/>
    <w:rsid w:val="006E5F63"/>
    <w:rsid w:val="006F4155"/>
    <w:rsid w:val="0071569D"/>
    <w:rsid w:val="00734611"/>
    <w:rsid w:val="0074008C"/>
    <w:rsid w:val="007664DC"/>
    <w:rsid w:val="00766AE2"/>
    <w:rsid w:val="00781A2F"/>
    <w:rsid w:val="00782208"/>
    <w:rsid w:val="007824C9"/>
    <w:rsid w:val="00795F32"/>
    <w:rsid w:val="00796BF8"/>
    <w:rsid w:val="007A61EC"/>
    <w:rsid w:val="007B07C1"/>
    <w:rsid w:val="007B27B4"/>
    <w:rsid w:val="007B39BB"/>
    <w:rsid w:val="007B7354"/>
    <w:rsid w:val="007C0509"/>
    <w:rsid w:val="007C08AC"/>
    <w:rsid w:val="007D14F0"/>
    <w:rsid w:val="007E123F"/>
    <w:rsid w:val="007E7200"/>
    <w:rsid w:val="007F1057"/>
    <w:rsid w:val="007F1B98"/>
    <w:rsid w:val="007F5CD6"/>
    <w:rsid w:val="0081734C"/>
    <w:rsid w:val="00817C7C"/>
    <w:rsid w:val="00830A2F"/>
    <w:rsid w:val="00832FFC"/>
    <w:rsid w:val="00833769"/>
    <w:rsid w:val="00833DD0"/>
    <w:rsid w:val="00837763"/>
    <w:rsid w:val="008409C3"/>
    <w:rsid w:val="00847275"/>
    <w:rsid w:val="00856D50"/>
    <w:rsid w:val="00862D67"/>
    <w:rsid w:val="008649FB"/>
    <w:rsid w:val="00864DFD"/>
    <w:rsid w:val="00865178"/>
    <w:rsid w:val="00870681"/>
    <w:rsid w:val="008727B6"/>
    <w:rsid w:val="008729AA"/>
    <w:rsid w:val="00876937"/>
    <w:rsid w:val="00885538"/>
    <w:rsid w:val="008A0546"/>
    <w:rsid w:val="008B01F1"/>
    <w:rsid w:val="008B3FDF"/>
    <w:rsid w:val="008C180A"/>
    <w:rsid w:val="008C1A30"/>
    <w:rsid w:val="008C58F3"/>
    <w:rsid w:val="008D2512"/>
    <w:rsid w:val="008D3696"/>
    <w:rsid w:val="008D5010"/>
    <w:rsid w:val="008E6BBA"/>
    <w:rsid w:val="008F27E6"/>
    <w:rsid w:val="008F2B33"/>
    <w:rsid w:val="008F40DF"/>
    <w:rsid w:val="009026DD"/>
    <w:rsid w:val="00905F4F"/>
    <w:rsid w:val="00910224"/>
    <w:rsid w:val="00911AEA"/>
    <w:rsid w:val="009124EE"/>
    <w:rsid w:val="009164B5"/>
    <w:rsid w:val="0093625B"/>
    <w:rsid w:val="00936292"/>
    <w:rsid w:val="009416C8"/>
    <w:rsid w:val="00943E06"/>
    <w:rsid w:val="00944738"/>
    <w:rsid w:val="00945CDB"/>
    <w:rsid w:val="009474B9"/>
    <w:rsid w:val="00952F25"/>
    <w:rsid w:val="0095571D"/>
    <w:rsid w:val="00956430"/>
    <w:rsid w:val="009615F3"/>
    <w:rsid w:val="009646F8"/>
    <w:rsid w:val="009A678D"/>
    <w:rsid w:val="009B51DF"/>
    <w:rsid w:val="009B52C8"/>
    <w:rsid w:val="009C3E4A"/>
    <w:rsid w:val="009D1D82"/>
    <w:rsid w:val="009E0504"/>
    <w:rsid w:val="009E1DB1"/>
    <w:rsid w:val="009E5D9E"/>
    <w:rsid w:val="00A02A86"/>
    <w:rsid w:val="00A1721D"/>
    <w:rsid w:val="00A215D8"/>
    <w:rsid w:val="00A22A1E"/>
    <w:rsid w:val="00A236A0"/>
    <w:rsid w:val="00A24E56"/>
    <w:rsid w:val="00A26D31"/>
    <w:rsid w:val="00A5020E"/>
    <w:rsid w:val="00A52C88"/>
    <w:rsid w:val="00A6178E"/>
    <w:rsid w:val="00A64D96"/>
    <w:rsid w:val="00A64DBE"/>
    <w:rsid w:val="00A65097"/>
    <w:rsid w:val="00A66E24"/>
    <w:rsid w:val="00A758A0"/>
    <w:rsid w:val="00A96C37"/>
    <w:rsid w:val="00AB1B79"/>
    <w:rsid w:val="00AB4436"/>
    <w:rsid w:val="00AB56E9"/>
    <w:rsid w:val="00AC3024"/>
    <w:rsid w:val="00AC5E0C"/>
    <w:rsid w:val="00AD0418"/>
    <w:rsid w:val="00AD6A62"/>
    <w:rsid w:val="00AE5713"/>
    <w:rsid w:val="00B02D7B"/>
    <w:rsid w:val="00B03F31"/>
    <w:rsid w:val="00B070D4"/>
    <w:rsid w:val="00B12046"/>
    <w:rsid w:val="00B126F8"/>
    <w:rsid w:val="00B13FDC"/>
    <w:rsid w:val="00B25E0F"/>
    <w:rsid w:val="00B2725A"/>
    <w:rsid w:val="00B37A77"/>
    <w:rsid w:val="00B4234A"/>
    <w:rsid w:val="00B43B62"/>
    <w:rsid w:val="00B460D3"/>
    <w:rsid w:val="00B52985"/>
    <w:rsid w:val="00B613BB"/>
    <w:rsid w:val="00B7719C"/>
    <w:rsid w:val="00B825D0"/>
    <w:rsid w:val="00B841AB"/>
    <w:rsid w:val="00BA38F3"/>
    <w:rsid w:val="00BA62CC"/>
    <w:rsid w:val="00BB46FC"/>
    <w:rsid w:val="00BC1EC3"/>
    <w:rsid w:val="00BC258D"/>
    <w:rsid w:val="00BC556E"/>
    <w:rsid w:val="00BC6729"/>
    <w:rsid w:val="00BC7FF5"/>
    <w:rsid w:val="00BE18F2"/>
    <w:rsid w:val="00C05FF8"/>
    <w:rsid w:val="00C11B91"/>
    <w:rsid w:val="00C12C7B"/>
    <w:rsid w:val="00C26C03"/>
    <w:rsid w:val="00C33B1C"/>
    <w:rsid w:val="00C3530F"/>
    <w:rsid w:val="00C35837"/>
    <w:rsid w:val="00C37584"/>
    <w:rsid w:val="00C423D0"/>
    <w:rsid w:val="00C51EF1"/>
    <w:rsid w:val="00C6453C"/>
    <w:rsid w:val="00C676BF"/>
    <w:rsid w:val="00C74CCB"/>
    <w:rsid w:val="00C75CC1"/>
    <w:rsid w:val="00C80A66"/>
    <w:rsid w:val="00C80EE8"/>
    <w:rsid w:val="00C82510"/>
    <w:rsid w:val="00C86D5A"/>
    <w:rsid w:val="00C874BA"/>
    <w:rsid w:val="00C94BEA"/>
    <w:rsid w:val="00C951B5"/>
    <w:rsid w:val="00C959C9"/>
    <w:rsid w:val="00CA1FAB"/>
    <w:rsid w:val="00CA5F7D"/>
    <w:rsid w:val="00CB03E9"/>
    <w:rsid w:val="00CB4B3C"/>
    <w:rsid w:val="00CB68E2"/>
    <w:rsid w:val="00CB6E8B"/>
    <w:rsid w:val="00CC339B"/>
    <w:rsid w:val="00CD461B"/>
    <w:rsid w:val="00CE0B34"/>
    <w:rsid w:val="00CE7BA4"/>
    <w:rsid w:val="00D15C20"/>
    <w:rsid w:val="00D258D4"/>
    <w:rsid w:val="00D26D95"/>
    <w:rsid w:val="00D27F2F"/>
    <w:rsid w:val="00D320FA"/>
    <w:rsid w:val="00D329D9"/>
    <w:rsid w:val="00D4474F"/>
    <w:rsid w:val="00D627F7"/>
    <w:rsid w:val="00D633F0"/>
    <w:rsid w:val="00D70E14"/>
    <w:rsid w:val="00D74456"/>
    <w:rsid w:val="00D80D7F"/>
    <w:rsid w:val="00D83230"/>
    <w:rsid w:val="00D8550F"/>
    <w:rsid w:val="00D94F67"/>
    <w:rsid w:val="00DA1636"/>
    <w:rsid w:val="00DB3469"/>
    <w:rsid w:val="00DB4DE9"/>
    <w:rsid w:val="00DC3A4C"/>
    <w:rsid w:val="00DC56DA"/>
    <w:rsid w:val="00DE212A"/>
    <w:rsid w:val="00DE766D"/>
    <w:rsid w:val="00DE7953"/>
    <w:rsid w:val="00DF0174"/>
    <w:rsid w:val="00DF118A"/>
    <w:rsid w:val="00DF6121"/>
    <w:rsid w:val="00E0030A"/>
    <w:rsid w:val="00E003AA"/>
    <w:rsid w:val="00E040BF"/>
    <w:rsid w:val="00E05798"/>
    <w:rsid w:val="00E120EE"/>
    <w:rsid w:val="00E32516"/>
    <w:rsid w:val="00E4525A"/>
    <w:rsid w:val="00E461BC"/>
    <w:rsid w:val="00E50777"/>
    <w:rsid w:val="00E52B7E"/>
    <w:rsid w:val="00E63B6D"/>
    <w:rsid w:val="00E729B8"/>
    <w:rsid w:val="00E72FE1"/>
    <w:rsid w:val="00E7375F"/>
    <w:rsid w:val="00E80294"/>
    <w:rsid w:val="00E806DF"/>
    <w:rsid w:val="00E8465B"/>
    <w:rsid w:val="00E85A40"/>
    <w:rsid w:val="00E967DC"/>
    <w:rsid w:val="00EA30B8"/>
    <w:rsid w:val="00EA6E65"/>
    <w:rsid w:val="00EB2048"/>
    <w:rsid w:val="00EB5E19"/>
    <w:rsid w:val="00EB7589"/>
    <w:rsid w:val="00EC3DE2"/>
    <w:rsid w:val="00EC79A9"/>
    <w:rsid w:val="00ED0AFC"/>
    <w:rsid w:val="00ED63F1"/>
    <w:rsid w:val="00ED7938"/>
    <w:rsid w:val="00EE3EFF"/>
    <w:rsid w:val="00EE6F57"/>
    <w:rsid w:val="00EF21A4"/>
    <w:rsid w:val="00EF2B2F"/>
    <w:rsid w:val="00EF6A04"/>
    <w:rsid w:val="00F02076"/>
    <w:rsid w:val="00F04DEB"/>
    <w:rsid w:val="00F10B6A"/>
    <w:rsid w:val="00F10EBF"/>
    <w:rsid w:val="00F20286"/>
    <w:rsid w:val="00F238A2"/>
    <w:rsid w:val="00F253B6"/>
    <w:rsid w:val="00F37CB4"/>
    <w:rsid w:val="00F556DA"/>
    <w:rsid w:val="00F56D11"/>
    <w:rsid w:val="00F622B7"/>
    <w:rsid w:val="00F67C56"/>
    <w:rsid w:val="00F82786"/>
    <w:rsid w:val="00F84EFB"/>
    <w:rsid w:val="00FA024E"/>
    <w:rsid w:val="00FA64B0"/>
    <w:rsid w:val="00FA7083"/>
    <w:rsid w:val="00FB1925"/>
    <w:rsid w:val="00FB59AE"/>
    <w:rsid w:val="00FC0C08"/>
    <w:rsid w:val="00FC587E"/>
    <w:rsid w:val="00FC65CC"/>
    <w:rsid w:val="00FC665C"/>
    <w:rsid w:val="00FD33FE"/>
    <w:rsid w:val="00FE0687"/>
    <w:rsid w:val="00FE0A71"/>
    <w:rsid w:val="00FE4130"/>
    <w:rsid w:val="00FE67D8"/>
    <w:rsid w:val="00FE798B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40AE9"/>
  <w15:docId w15:val="{590E80AE-E496-4F69-8292-3669F65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17C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2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E73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65178"/>
    <w:rPr>
      <w:b/>
      <w:bCs/>
    </w:rPr>
  </w:style>
  <w:style w:type="character" w:customStyle="1" w:styleId="10">
    <w:name w:val="标题 1 字符"/>
    <w:basedOn w:val="a0"/>
    <w:link w:val="1"/>
    <w:uiPriority w:val="9"/>
    <w:rsid w:val="00417C3D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Revision"/>
    <w:hidden/>
    <w:uiPriority w:val="99"/>
    <w:semiHidden/>
    <w:rsid w:val="00C35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wujingjing</dc:creator>
  <cp:lastModifiedBy>wujingjing</cp:lastModifiedBy>
  <cp:revision>10</cp:revision>
  <cp:lastPrinted>2023-07-31T06:06:00Z</cp:lastPrinted>
  <dcterms:created xsi:type="dcterms:W3CDTF">2024-05-08T01:32:00Z</dcterms:created>
  <dcterms:modified xsi:type="dcterms:W3CDTF">2024-05-08T03:46:00Z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