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FE39BD" w14:textId="77777777" w:rsidR="00D3704D" w:rsidRDefault="00D3704D" w:rsidP="000C3C4B">
      <w:pPr>
        <w:spacing w:line="360" w:lineRule="auto"/>
        <w:rPr>
          <w:rFonts w:ascii="TimesNewRoman" w:hAnsi="宋体"/>
          <w:sz w:val="24"/>
        </w:rPr>
      </w:pPr>
      <w:r w:rsidRPr="00943E94">
        <w:rPr>
          <w:rFonts w:ascii="TimesNewRoman" w:hAnsi="宋体" w:hint="eastAsia"/>
          <w:sz w:val="24"/>
        </w:rPr>
        <w:t>证券代码：</w:t>
      </w:r>
      <w:r w:rsidR="009D2D7D">
        <w:rPr>
          <w:rFonts w:ascii="TimesNewRoman" w:hAnsi="TimesNewRoman"/>
          <w:sz w:val="24"/>
        </w:rPr>
        <w:t>688499</w:t>
      </w:r>
      <w:r w:rsidRPr="00943E94">
        <w:rPr>
          <w:rFonts w:ascii="TimesNewRoman" w:hAnsi="TimesNewRoman" w:hint="eastAsia"/>
          <w:sz w:val="24"/>
        </w:rPr>
        <w:t xml:space="preserve">                                </w:t>
      </w:r>
      <w:r w:rsidRPr="00943E94">
        <w:rPr>
          <w:rFonts w:ascii="TimesNewRoman" w:hAnsi="宋体" w:hint="eastAsia"/>
          <w:sz w:val="24"/>
        </w:rPr>
        <w:t>证券简称：</w:t>
      </w:r>
      <w:r w:rsidR="009D2D7D">
        <w:rPr>
          <w:rFonts w:ascii="TimesNewRoman" w:hAnsi="宋体" w:hint="eastAsia"/>
          <w:sz w:val="24"/>
        </w:rPr>
        <w:t>利元亨</w:t>
      </w:r>
    </w:p>
    <w:p w14:paraId="7D2C7141" w14:textId="74FE0A96" w:rsidR="00656DC0" w:rsidRPr="00656DC0" w:rsidRDefault="00656DC0" w:rsidP="000C3C4B">
      <w:pPr>
        <w:spacing w:line="360" w:lineRule="auto"/>
        <w:rPr>
          <w:rFonts w:ascii="TimesNewRoman" w:hAnsi="TimesNewRoman" w:hint="eastAsia"/>
          <w:sz w:val="24"/>
        </w:rPr>
      </w:pPr>
      <w:r>
        <w:rPr>
          <w:rFonts w:ascii="TimesNewRoman" w:hAnsi="宋体" w:hint="eastAsia"/>
          <w:sz w:val="24"/>
        </w:rPr>
        <w:t>转债代码：</w:t>
      </w:r>
      <w:r>
        <w:rPr>
          <w:rFonts w:ascii="TimesNewRoman" w:hAnsi="宋体" w:hint="eastAsia"/>
          <w:sz w:val="24"/>
        </w:rPr>
        <w:t xml:space="preserve">118026                                </w:t>
      </w:r>
      <w:r>
        <w:rPr>
          <w:rFonts w:ascii="TimesNewRoman" w:hAnsi="宋体" w:hint="eastAsia"/>
          <w:sz w:val="24"/>
        </w:rPr>
        <w:t>转债简称：利元转债</w:t>
      </w:r>
    </w:p>
    <w:p w14:paraId="1DFA0F0F" w14:textId="77777777" w:rsidR="00C04DF9" w:rsidRDefault="009D2D7D" w:rsidP="000C3C4B">
      <w:pPr>
        <w:spacing w:beforeLines="50" w:before="156" w:line="360" w:lineRule="auto"/>
        <w:jc w:val="center"/>
        <w:rPr>
          <w:rFonts w:ascii="TimesNewRoman" w:hAnsi="宋体"/>
          <w:b/>
          <w:sz w:val="32"/>
          <w:szCs w:val="32"/>
        </w:rPr>
      </w:pPr>
      <w:r>
        <w:rPr>
          <w:rFonts w:ascii="TimesNewRoman" w:hAnsi="宋体" w:hint="eastAsia"/>
          <w:b/>
          <w:sz w:val="32"/>
          <w:szCs w:val="32"/>
        </w:rPr>
        <w:t>广东利元亨智能装备</w:t>
      </w:r>
      <w:r w:rsidR="00E83A63">
        <w:rPr>
          <w:rFonts w:ascii="TimesNewRoman" w:hAnsi="宋体" w:hint="eastAsia"/>
          <w:b/>
          <w:sz w:val="32"/>
          <w:szCs w:val="32"/>
        </w:rPr>
        <w:t>股份有限公司</w:t>
      </w:r>
    </w:p>
    <w:p w14:paraId="1D206E9E" w14:textId="411425E3" w:rsidR="00D3704D" w:rsidRPr="00943E94" w:rsidRDefault="007116B0" w:rsidP="007116B0">
      <w:pPr>
        <w:spacing w:line="360" w:lineRule="auto"/>
        <w:jc w:val="center"/>
        <w:rPr>
          <w:rFonts w:ascii="TimesNewRoman" w:hAnsi="TimesNewRoman" w:hint="eastAsia"/>
          <w:b/>
          <w:sz w:val="32"/>
          <w:szCs w:val="32"/>
        </w:rPr>
      </w:pPr>
      <w:r w:rsidRPr="007116B0">
        <w:rPr>
          <w:rFonts w:ascii="TimesNewRoman" w:hAnsi="宋体" w:hint="eastAsia"/>
          <w:b/>
          <w:sz w:val="32"/>
          <w:szCs w:val="32"/>
        </w:rPr>
        <w:t>参加</w:t>
      </w:r>
      <w:r w:rsidRPr="007116B0">
        <w:rPr>
          <w:rFonts w:ascii="TimesNewRoman" w:hAnsi="宋体" w:hint="eastAsia"/>
          <w:b/>
          <w:sz w:val="32"/>
          <w:szCs w:val="32"/>
        </w:rPr>
        <w:t>2023</w:t>
      </w:r>
      <w:r w:rsidRPr="007116B0">
        <w:rPr>
          <w:rFonts w:ascii="TimesNewRoman" w:hAnsi="宋体" w:hint="eastAsia"/>
          <w:b/>
          <w:sz w:val="32"/>
          <w:szCs w:val="32"/>
        </w:rPr>
        <w:t>年度科创板电池专场集体业绩说明会暨</w:t>
      </w:r>
      <w:r w:rsidRPr="007116B0">
        <w:rPr>
          <w:rFonts w:ascii="TimesNewRoman" w:hAnsi="宋体" w:hint="eastAsia"/>
          <w:b/>
          <w:sz w:val="32"/>
          <w:szCs w:val="32"/>
        </w:rPr>
        <w:t>2024</w:t>
      </w:r>
      <w:r w:rsidRPr="007116B0">
        <w:rPr>
          <w:rFonts w:ascii="TimesNewRoman" w:hAnsi="宋体" w:hint="eastAsia"/>
          <w:b/>
          <w:sz w:val="32"/>
          <w:szCs w:val="32"/>
        </w:rPr>
        <w:t>年第一季度业绩说明会</w:t>
      </w:r>
      <w:r w:rsidR="00777579">
        <w:rPr>
          <w:rFonts w:ascii="TimesNewRoman" w:hAnsi="宋体" w:hint="eastAsia"/>
          <w:b/>
          <w:sz w:val="32"/>
          <w:szCs w:val="32"/>
        </w:rPr>
        <w:t>投资者交流记录表</w:t>
      </w:r>
    </w:p>
    <w:p w14:paraId="004077C6" w14:textId="331A408B" w:rsidR="00D3704D" w:rsidRPr="00943E94" w:rsidRDefault="00D3704D" w:rsidP="00D3704D">
      <w:pPr>
        <w:spacing w:line="400" w:lineRule="exact"/>
        <w:rPr>
          <w:rFonts w:ascii="TimesNewRoman" w:hAnsi="TimesNewRoman" w:hint="eastAsia"/>
          <w:sz w:val="24"/>
        </w:rPr>
      </w:pPr>
      <w:r w:rsidRPr="00943E94">
        <w:rPr>
          <w:rFonts w:ascii="TimesNewRoman" w:hAnsi="TimesNewRoman" w:hint="eastAsia"/>
          <w:sz w:val="24"/>
        </w:rPr>
        <w:t xml:space="preserve">                                                     </w:t>
      </w:r>
      <w:r w:rsidRPr="00943E94">
        <w:rPr>
          <w:rFonts w:ascii="TimesNewRoman" w:hAnsi="宋体" w:hint="eastAsia"/>
          <w:sz w:val="24"/>
        </w:rPr>
        <w:t>编号：</w:t>
      </w:r>
      <w:r w:rsidR="00B94466">
        <w:rPr>
          <w:rFonts w:ascii="TimesNewRoman" w:hAnsi="宋体" w:hint="eastAsia"/>
          <w:sz w:val="24"/>
        </w:rPr>
        <w:t>202</w:t>
      </w:r>
      <w:r w:rsidR="007116B0">
        <w:rPr>
          <w:rFonts w:ascii="TimesNewRoman" w:hAnsi="宋体" w:hint="eastAsia"/>
          <w:sz w:val="24"/>
        </w:rPr>
        <w:t>4</w:t>
      </w:r>
      <w:r w:rsidR="00B94466">
        <w:rPr>
          <w:rFonts w:ascii="TimesNewRoman" w:hAnsi="宋体" w:hint="eastAsia"/>
          <w:sz w:val="24"/>
        </w:rPr>
        <w:t>-</w:t>
      </w:r>
      <w:r w:rsidR="00CA22A8">
        <w:rPr>
          <w:rFonts w:ascii="TimesNewRoman" w:hAnsi="宋体"/>
          <w:sz w:val="24"/>
        </w:rPr>
        <w:t>05</w:t>
      </w:r>
      <w:r w:rsidR="00B94466">
        <w:rPr>
          <w:rFonts w:ascii="TimesNewRoman" w:hAnsi="宋体" w:hint="eastAsia"/>
          <w:sz w:val="24"/>
        </w:rPr>
        <w:t>00</w:t>
      </w:r>
      <w:bookmarkStart w:id="0" w:name="_GoBack"/>
      <w:r w:rsidR="00B94466">
        <w:rPr>
          <w:rFonts w:ascii="TimesNewRoman" w:hAnsi="宋体" w:hint="eastAsia"/>
          <w:sz w:val="24"/>
        </w:rPr>
        <w:t>1</w:t>
      </w:r>
      <w:bookmarkEnd w:id="0"/>
    </w:p>
    <w:tbl>
      <w:tblPr>
        <w:tblW w:w="94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7521"/>
      </w:tblGrid>
      <w:tr w:rsidR="00D3704D" w:rsidRPr="00943E94" w14:paraId="47AEA695" w14:textId="77777777" w:rsidTr="00575C51">
        <w:trPr>
          <w:trHeight w:val="2405"/>
          <w:jc w:val="center"/>
        </w:trPr>
        <w:tc>
          <w:tcPr>
            <w:tcW w:w="1908" w:type="dxa"/>
            <w:vAlign w:val="center"/>
          </w:tcPr>
          <w:p w14:paraId="443F8846" w14:textId="77777777" w:rsidR="00D3704D" w:rsidRPr="00943E94" w:rsidRDefault="00D3704D" w:rsidP="001C59B7">
            <w:pPr>
              <w:spacing w:line="480" w:lineRule="atLeast"/>
              <w:rPr>
                <w:rFonts w:ascii="TimesNewRoman" w:hAnsi="TimesNewRoman" w:hint="eastAsia"/>
                <w:b/>
                <w:sz w:val="24"/>
              </w:rPr>
            </w:pPr>
            <w:r w:rsidRPr="00943E94">
              <w:rPr>
                <w:rFonts w:ascii="TimesNewRoman" w:hAnsi="宋体" w:hint="eastAsia"/>
                <w:b/>
                <w:sz w:val="24"/>
              </w:rPr>
              <w:t>投资者关系活动类别</w:t>
            </w:r>
          </w:p>
          <w:p w14:paraId="545BB8C0" w14:textId="77777777" w:rsidR="00D3704D" w:rsidRPr="00943E94" w:rsidRDefault="00D3704D" w:rsidP="001C59B7">
            <w:pPr>
              <w:spacing w:line="480" w:lineRule="atLeast"/>
              <w:rPr>
                <w:rFonts w:ascii="TimesNewRoman" w:hAnsi="TimesNewRoman" w:hint="eastAsia"/>
                <w:b/>
                <w:sz w:val="24"/>
              </w:rPr>
            </w:pPr>
          </w:p>
        </w:tc>
        <w:tc>
          <w:tcPr>
            <w:tcW w:w="7521" w:type="dxa"/>
            <w:tcBorders>
              <w:bottom w:val="single" w:sz="4" w:space="0" w:color="auto"/>
            </w:tcBorders>
          </w:tcPr>
          <w:p w14:paraId="5DCB8560" w14:textId="77777777" w:rsidR="00D3704D" w:rsidRPr="00943E94" w:rsidRDefault="009D2D7D" w:rsidP="002749ED">
            <w:pPr>
              <w:spacing w:line="480" w:lineRule="atLeast"/>
              <w:rPr>
                <w:rFonts w:ascii="TimesNewRoman" w:hAnsi="TimesNewRoman" w:hint="eastAsia"/>
                <w:sz w:val="24"/>
              </w:rPr>
            </w:pPr>
            <w:r w:rsidRPr="00943E94">
              <w:rPr>
                <w:rFonts w:ascii="TimesNewRoman" w:hAnsi="TimesNewRoman" w:hint="eastAsia"/>
                <w:sz w:val="24"/>
              </w:rPr>
              <w:t>□</w:t>
            </w:r>
            <w:r w:rsidR="00D3704D" w:rsidRPr="00943E94">
              <w:rPr>
                <w:rFonts w:ascii="TimesNewRoman" w:hAnsi="宋体" w:hint="eastAsia"/>
                <w:sz w:val="24"/>
              </w:rPr>
              <w:t>特定对象调研</w:t>
            </w:r>
            <w:r w:rsidR="00337761">
              <w:rPr>
                <w:rFonts w:ascii="TimesNewRoman" w:hAnsi="TimesNewRoman" w:hint="eastAsia"/>
                <w:sz w:val="24"/>
              </w:rPr>
              <w:t xml:space="preserve">      </w:t>
            </w:r>
            <w:r w:rsidR="006F3FA6">
              <w:rPr>
                <w:rFonts w:ascii="TimesNewRoman" w:hAnsi="TimesNewRoman" w:hint="eastAsia"/>
                <w:sz w:val="24"/>
              </w:rPr>
              <w:t xml:space="preserve">  </w:t>
            </w:r>
            <w:r w:rsidR="00337761" w:rsidRPr="00943E94">
              <w:rPr>
                <w:rFonts w:ascii="TimesNewRoman" w:hAnsi="TimesNewRoman" w:hint="eastAsia"/>
                <w:sz w:val="24"/>
              </w:rPr>
              <w:t>□</w:t>
            </w:r>
            <w:r w:rsidR="00D3704D" w:rsidRPr="00943E94">
              <w:rPr>
                <w:rFonts w:ascii="TimesNewRoman" w:hAnsi="宋体" w:hint="eastAsia"/>
                <w:sz w:val="24"/>
              </w:rPr>
              <w:t>分析师会议</w:t>
            </w:r>
          </w:p>
          <w:p w14:paraId="63C895BB" w14:textId="77777777" w:rsidR="00D3704D" w:rsidRPr="00943E94" w:rsidRDefault="00D3704D" w:rsidP="002749ED">
            <w:pPr>
              <w:spacing w:line="480" w:lineRule="atLeast"/>
              <w:rPr>
                <w:rFonts w:ascii="TimesNewRoman" w:hAnsi="TimesNewRoman" w:hint="eastAsia"/>
                <w:sz w:val="24"/>
              </w:rPr>
            </w:pPr>
            <w:r w:rsidRPr="00943E94">
              <w:rPr>
                <w:rFonts w:ascii="TimesNewRoman" w:hAnsi="TimesNewRoman" w:hint="eastAsia"/>
                <w:sz w:val="24"/>
              </w:rPr>
              <w:t>□</w:t>
            </w:r>
            <w:r w:rsidRPr="00943E94">
              <w:rPr>
                <w:rFonts w:ascii="TimesNewRoman" w:hAnsi="宋体" w:hint="eastAsia"/>
                <w:sz w:val="24"/>
              </w:rPr>
              <w:t>媒体采访</w:t>
            </w:r>
            <w:r w:rsidRPr="00943E94">
              <w:rPr>
                <w:rFonts w:ascii="TimesNewRoman" w:hAnsi="TimesNewRoman" w:hint="eastAsia"/>
                <w:sz w:val="24"/>
              </w:rPr>
              <w:t xml:space="preserve">            </w:t>
            </w:r>
            <w:r w:rsidR="00777579">
              <w:rPr>
                <w:rFonts w:ascii="宋体" w:hAnsi="宋体" w:hint="eastAsia"/>
                <w:sz w:val="24"/>
              </w:rPr>
              <w:t>■</w:t>
            </w:r>
            <w:r w:rsidR="00777579">
              <w:rPr>
                <w:rFonts w:ascii="TimesNewRoman" w:hAnsi="宋体" w:hint="eastAsia"/>
                <w:sz w:val="24"/>
              </w:rPr>
              <w:t>业绩</w:t>
            </w:r>
            <w:r w:rsidRPr="00943E94">
              <w:rPr>
                <w:rFonts w:ascii="TimesNewRoman" w:hAnsi="宋体" w:hint="eastAsia"/>
                <w:sz w:val="24"/>
              </w:rPr>
              <w:t>说明会</w:t>
            </w:r>
          </w:p>
          <w:p w14:paraId="21250951" w14:textId="77777777" w:rsidR="00D3704D" w:rsidRPr="00943E94" w:rsidRDefault="00D3704D" w:rsidP="002749ED">
            <w:pPr>
              <w:spacing w:line="480" w:lineRule="atLeast"/>
              <w:rPr>
                <w:rFonts w:ascii="TimesNewRoman" w:hAnsi="TimesNewRoman" w:hint="eastAsia"/>
                <w:sz w:val="24"/>
              </w:rPr>
            </w:pPr>
            <w:r w:rsidRPr="00943E94">
              <w:rPr>
                <w:rFonts w:ascii="TimesNewRoman" w:hAnsi="TimesNewRoman" w:hint="eastAsia"/>
                <w:sz w:val="24"/>
              </w:rPr>
              <w:t>□</w:t>
            </w:r>
            <w:r w:rsidRPr="00943E94">
              <w:rPr>
                <w:rFonts w:ascii="TimesNewRoman" w:hAnsi="宋体" w:hint="eastAsia"/>
                <w:sz w:val="24"/>
              </w:rPr>
              <w:t>新闻发布会</w:t>
            </w:r>
            <w:r w:rsidRPr="00943E94">
              <w:rPr>
                <w:rFonts w:ascii="TimesNewRoman" w:hAnsi="TimesNewRoman" w:hint="eastAsia"/>
                <w:sz w:val="24"/>
              </w:rPr>
              <w:t xml:space="preserve">          </w:t>
            </w:r>
            <w:r w:rsidRPr="00943E94">
              <w:rPr>
                <w:rFonts w:ascii="TimesNewRoman" w:hAnsi="TimesNewRoman" w:hint="eastAsia"/>
                <w:sz w:val="24"/>
              </w:rPr>
              <w:t>□</w:t>
            </w:r>
            <w:r w:rsidRPr="00943E94">
              <w:rPr>
                <w:rFonts w:ascii="TimesNewRoman" w:hAnsi="宋体" w:hint="eastAsia"/>
                <w:sz w:val="24"/>
              </w:rPr>
              <w:t>路演活动</w:t>
            </w:r>
          </w:p>
          <w:p w14:paraId="24E32EDC" w14:textId="77777777" w:rsidR="00D3704D" w:rsidRPr="00943E94" w:rsidRDefault="00A64ABE" w:rsidP="002749ED">
            <w:pPr>
              <w:tabs>
                <w:tab w:val="left" w:pos="3045"/>
                <w:tab w:val="center" w:pos="3199"/>
              </w:tabs>
              <w:spacing w:line="480" w:lineRule="atLeast"/>
              <w:rPr>
                <w:rFonts w:ascii="TimesNewRoman" w:hAnsi="TimesNewRoman" w:hint="eastAsia"/>
                <w:sz w:val="24"/>
              </w:rPr>
            </w:pPr>
            <w:r>
              <w:rPr>
                <w:rFonts w:ascii="宋体" w:hAnsi="宋体" w:hint="eastAsia"/>
                <w:sz w:val="24"/>
              </w:rPr>
              <w:t>□</w:t>
            </w:r>
            <w:r w:rsidR="00D3704D" w:rsidRPr="00943E94">
              <w:rPr>
                <w:rFonts w:ascii="TimesNewRoman" w:hAnsi="宋体" w:hint="eastAsia"/>
                <w:sz w:val="24"/>
              </w:rPr>
              <w:t>现场参观</w:t>
            </w:r>
            <w:r w:rsidR="00D3704D" w:rsidRPr="00943E94">
              <w:rPr>
                <w:rFonts w:ascii="TimesNewRoman" w:hAnsi="TimesNewRoman"/>
                <w:sz w:val="24"/>
              </w:rPr>
              <w:tab/>
            </w:r>
          </w:p>
          <w:p w14:paraId="3A897DDF" w14:textId="77777777" w:rsidR="00D3704D" w:rsidRPr="00943E94" w:rsidRDefault="00777579" w:rsidP="008C175B">
            <w:pPr>
              <w:tabs>
                <w:tab w:val="left" w:pos="3045"/>
                <w:tab w:val="center" w:pos="3199"/>
              </w:tabs>
              <w:spacing w:line="480" w:lineRule="atLeast"/>
              <w:rPr>
                <w:rFonts w:ascii="TimesNewRoman" w:hAnsi="TimesNewRoman" w:hint="eastAsia"/>
                <w:sz w:val="24"/>
              </w:rPr>
            </w:pPr>
            <w:r>
              <w:rPr>
                <w:rFonts w:ascii="宋体" w:hAnsi="宋体" w:hint="eastAsia"/>
                <w:sz w:val="24"/>
              </w:rPr>
              <w:t>□</w:t>
            </w:r>
            <w:r w:rsidR="008C175B" w:rsidRPr="008C175B">
              <w:rPr>
                <w:rFonts w:ascii="TimesNewRoman" w:hAnsi="TimesNewRoman" w:hint="eastAsia"/>
                <w:sz w:val="24"/>
              </w:rPr>
              <w:t>其他（电话会议）</w:t>
            </w:r>
            <w:r w:rsidR="00D3704D" w:rsidRPr="00943E94">
              <w:rPr>
                <w:rFonts w:ascii="TimesNewRoman" w:hAnsi="TimesNewRoman" w:hint="eastAsia"/>
                <w:sz w:val="24"/>
              </w:rPr>
              <w:t xml:space="preserve"> </w:t>
            </w:r>
          </w:p>
        </w:tc>
      </w:tr>
      <w:tr w:rsidR="00134783" w:rsidRPr="00943E94" w14:paraId="772C8D30" w14:textId="77777777" w:rsidTr="00575C51">
        <w:trPr>
          <w:trHeight w:val="1020"/>
          <w:jc w:val="center"/>
        </w:trPr>
        <w:tc>
          <w:tcPr>
            <w:tcW w:w="1908" w:type="dxa"/>
            <w:vAlign w:val="center"/>
          </w:tcPr>
          <w:p w14:paraId="1239826A" w14:textId="77777777" w:rsidR="00134783" w:rsidRPr="00943E94" w:rsidRDefault="00134783" w:rsidP="001C59B7">
            <w:pPr>
              <w:spacing w:line="480" w:lineRule="atLeast"/>
              <w:rPr>
                <w:rFonts w:ascii="TimesNewRoman" w:hAnsi="TimesNewRoman" w:hint="eastAsia"/>
                <w:b/>
                <w:sz w:val="24"/>
              </w:rPr>
            </w:pPr>
            <w:r w:rsidRPr="00943E94">
              <w:rPr>
                <w:rFonts w:ascii="TimesNewRoman" w:hAnsi="宋体" w:hint="eastAsia"/>
                <w:b/>
                <w:sz w:val="24"/>
              </w:rPr>
              <w:t>参与单位名称</w:t>
            </w:r>
          </w:p>
        </w:tc>
        <w:tc>
          <w:tcPr>
            <w:tcW w:w="7521" w:type="dxa"/>
          </w:tcPr>
          <w:p w14:paraId="434CDFA5" w14:textId="073ADFE9" w:rsidR="00E772E3" w:rsidRPr="00E772E3" w:rsidRDefault="00777579" w:rsidP="00537F78">
            <w:pPr>
              <w:spacing w:line="480" w:lineRule="atLeast"/>
              <w:jc w:val="left"/>
              <w:rPr>
                <w:rFonts w:ascii="TimesNewRoman" w:eastAsiaTheme="minorEastAsia" w:hAnsi="TimesNewRoman" w:cs="Arial" w:hint="eastAsia"/>
                <w:color w:val="000000"/>
                <w:kern w:val="0"/>
                <w:sz w:val="24"/>
                <w:szCs w:val="24"/>
              </w:rPr>
            </w:pPr>
            <w:r>
              <w:rPr>
                <w:rFonts w:ascii="TimesNewRoman" w:eastAsiaTheme="minorEastAsia" w:hAnsi="TimesNewRoman" w:cs="Arial" w:hint="eastAsia"/>
                <w:color w:val="000000"/>
                <w:kern w:val="0"/>
                <w:sz w:val="24"/>
                <w:szCs w:val="24"/>
              </w:rPr>
              <w:t>通过上证路演中心网站</w:t>
            </w:r>
            <w:r w:rsidR="00145870">
              <w:rPr>
                <w:rFonts w:ascii="TimesNewRoman" w:eastAsiaTheme="minorEastAsia" w:hAnsi="TimesNewRoman" w:cs="Arial" w:hint="eastAsia"/>
                <w:color w:val="000000"/>
                <w:kern w:val="0"/>
                <w:sz w:val="24"/>
                <w:szCs w:val="24"/>
              </w:rPr>
              <w:t>参加</w:t>
            </w:r>
            <w:r w:rsidR="00145870" w:rsidRPr="00145870">
              <w:rPr>
                <w:rFonts w:ascii="TimesNewRoman" w:eastAsiaTheme="minorEastAsia" w:hAnsi="TimesNewRoman" w:cs="Arial" w:hint="eastAsia"/>
                <w:color w:val="000000"/>
                <w:kern w:val="0"/>
                <w:sz w:val="24"/>
                <w:szCs w:val="24"/>
              </w:rPr>
              <w:t>2023</w:t>
            </w:r>
            <w:r w:rsidR="00145870" w:rsidRPr="00145870">
              <w:rPr>
                <w:rFonts w:ascii="TimesNewRoman" w:eastAsiaTheme="minorEastAsia" w:hAnsi="TimesNewRoman" w:cs="Arial" w:hint="eastAsia"/>
                <w:color w:val="000000"/>
                <w:kern w:val="0"/>
                <w:sz w:val="24"/>
                <w:szCs w:val="24"/>
              </w:rPr>
              <w:t>年度科创板电池专场集体业绩说明会暨</w:t>
            </w:r>
            <w:r w:rsidR="00145870" w:rsidRPr="00145870">
              <w:rPr>
                <w:rFonts w:ascii="TimesNewRoman" w:eastAsiaTheme="minorEastAsia" w:hAnsi="TimesNewRoman" w:cs="Arial" w:hint="eastAsia"/>
                <w:color w:val="000000"/>
                <w:kern w:val="0"/>
                <w:sz w:val="24"/>
                <w:szCs w:val="24"/>
              </w:rPr>
              <w:t>2024</w:t>
            </w:r>
            <w:r w:rsidR="00145870" w:rsidRPr="00145870">
              <w:rPr>
                <w:rFonts w:ascii="TimesNewRoman" w:eastAsiaTheme="minorEastAsia" w:hAnsi="TimesNewRoman" w:cs="Arial" w:hint="eastAsia"/>
                <w:color w:val="000000"/>
                <w:kern w:val="0"/>
                <w:sz w:val="24"/>
                <w:szCs w:val="24"/>
              </w:rPr>
              <w:t>年第一季度业绩说明会</w:t>
            </w:r>
            <w:r>
              <w:rPr>
                <w:rFonts w:ascii="TimesNewRoman" w:eastAsiaTheme="minorEastAsia" w:hAnsi="TimesNewRoman" w:cs="Arial" w:hint="eastAsia"/>
                <w:color w:val="000000"/>
                <w:kern w:val="0"/>
                <w:sz w:val="24"/>
                <w:szCs w:val="24"/>
              </w:rPr>
              <w:t>的投资者</w:t>
            </w:r>
          </w:p>
        </w:tc>
      </w:tr>
      <w:tr w:rsidR="00D3704D" w:rsidRPr="00943E94" w14:paraId="008E134D" w14:textId="77777777" w:rsidTr="00575C51">
        <w:trPr>
          <w:jc w:val="center"/>
        </w:trPr>
        <w:tc>
          <w:tcPr>
            <w:tcW w:w="1908" w:type="dxa"/>
            <w:vAlign w:val="center"/>
          </w:tcPr>
          <w:p w14:paraId="033158E3" w14:textId="77777777" w:rsidR="00D3704D" w:rsidRPr="00943E94" w:rsidRDefault="00D3704D" w:rsidP="001C59B7">
            <w:pPr>
              <w:spacing w:line="480" w:lineRule="atLeast"/>
              <w:rPr>
                <w:rFonts w:ascii="TimesNewRoman" w:hAnsi="TimesNewRoman" w:hint="eastAsia"/>
                <w:b/>
                <w:sz w:val="24"/>
              </w:rPr>
            </w:pPr>
            <w:r w:rsidRPr="00943E94">
              <w:rPr>
                <w:rFonts w:ascii="TimesNewRoman" w:hAnsi="宋体" w:hint="eastAsia"/>
                <w:b/>
                <w:sz w:val="24"/>
              </w:rPr>
              <w:t>时间</w:t>
            </w:r>
          </w:p>
        </w:tc>
        <w:tc>
          <w:tcPr>
            <w:tcW w:w="7521" w:type="dxa"/>
          </w:tcPr>
          <w:p w14:paraId="172BA60E" w14:textId="0FDD4218" w:rsidR="00D3704D" w:rsidRPr="00943E94" w:rsidRDefault="001F4725" w:rsidP="00145870">
            <w:pPr>
              <w:spacing w:line="480" w:lineRule="atLeast"/>
              <w:rPr>
                <w:rFonts w:ascii="TimesNewRoman" w:hAnsi="TimesNewRoman" w:hint="eastAsia"/>
                <w:sz w:val="24"/>
              </w:rPr>
            </w:pPr>
            <w:r>
              <w:rPr>
                <w:rFonts w:ascii="TimesNewRoman" w:hAnsi="TimesNewRoman" w:hint="eastAsia"/>
                <w:sz w:val="24"/>
              </w:rPr>
              <w:t>2</w:t>
            </w:r>
            <w:r>
              <w:rPr>
                <w:rFonts w:ascii="TimesNewRoman" w:hAnsi="TimesNewRoman"/>
                <w:sz w:val="24"/>
              </w:rPr>
              <w:t>02</w:t>
            </w:r>
            <w:r w:rsidR="00145870">
              <w:rPr>
                <w:rFonts w:ascii="TimesNewRoman" w:hAnsi="TimesNewRoman" w:hint="eastAsia"/>
                <w:sz w:val="24"/>
              </w:rPr>
              <w:t>4</w:t>
            </w:r>
            <w:r>
              <w:rPr>
                <w:rFonts w:ascii="TimesNewRoman" w:hAnsi="TimesNewRoman" w:hint="eastAsia"/>
                <w:sz w:val="24"/>
              </w:rPr>
              <w:t>年</w:t>
            </w:r>
            <w:r w:rsidR="00CA22A8">
              <w:rPr>
                <w:rFonts w:ascii="TimesNewRoman" w:hAnsi="TimesNewRoman"/>
                <w:sz w:val="24"/>
              </w:rPr>
              <w:t>5</w:t>
            </w:r>
            <w:r>
              <w:rPr>
                <w:rFonts w:ascii="TimesNewRoman" w:hAnsi="TimesNewRoman" w:hint="eastAsia"/>
                <w:sz w:val="24"/>
              </w:rPr>
              <w:t>月</w:t>
            </w:r>
            <w:r w:rsidR="00145870">
              <w:rPr>
                <w:rFonts w:ascii="TimesNewRoman" w:hAnsi="TimesNewRoman" w:hint="eastAsia"/>
                <w:sz w:val="24"/>
              </w:rPr>
              <w:t>9</w:t>
            </w:r>
            <w:r>
              <w:rPr>
                <w:rFonts w:ascii="TimesNewRoman" w:hAnsi="TimesNewRoman" w:hint="eastAsia"/>
                <w:sz w:val="24"/>
              </w:rPr>
              <w:t>日</w:t>
            </w:r>
            <w:r w:rsidR="001C59B7">
              <w:rPr>
                <w:rFonts w:ascii="TimesNewRoman" w:hAnsi="TimesNewRoman" w:hint="eastAsia"/>
                <w:sz w:val="24"/>
              </w:rPr>
              <w:t xml:space="preserve">  </w:t>
            </w:r>
            <w:r w:rsidR="00EE7ADB">
              <w:rPr>
                <w:rFonts w:ascii="TimesNewRoman" w:hAnsi="TimesNewRoman" w:hint="eastAsia"/>
                <w:sz w:val="24"/>
              </w:rPr>
              <w:t>1</w:t>
            </w:r>
            <w:r w:rsidR="00145870">
              <w:rPr>
                <w:rFonts w:ascii="TimesNewRoman" w:hAnsi="TimesNewRoman" w:hint="eastAsia"/>
                <w:sz w:val="24"/>
              </w:rPr>
              <w:t>5</w:t>
            </w:r>
            <w:r w:rsidR="00EE7ADB">
              <w:rPr>
                <w:rFonts w:ascii="TimesNewRoman" w:hAnsi="TimesNewRoman" w:hint="eastAsia"/>
                <w:sz w:val="24"/>
              </w:rPr>
              <w:t>:00-1</w:t>
            </w:r>
            <w:r w:rsidR="00145870">
              <w:rPr>
                <w:rFonts w:ascii="TimesNewRoman" w:hAnsi="TimesNewRoman" w:hint="eastAsia"/>
                <w:sz w:val="24"/>
              </w:rPr>
              <w:t>7</w:t>
            </w:r>
            <w:r w:rsidR="00EE7ADB">
              <w:rPr>
                <w:rFonts w:ascii="TimesNewRoman" w:hAnsi="TimesNewRoman" w:hint="eastAsia"/>
                <w:sz w:val="24"/>
              </w:rPr>
              <w:t>:00</w:t>
            </w:r>
          </w:p>
        </w:tc>
      </w:tr>
      <w:tr w:rsidR="00D3704D" w:rsidRPr="00943E94" w14:paraId="00EAE4A5" w14:textId="77777777" w:rsidTr="00575C51">
        <w:trPr>
          <w:trHeight w:val="380"/>
          <w:jc w:val="center"/>
        </w:trPr>
        <w:tc>
          <w:tcPr>
            <w:tcW w:w="1908" w:type="dxa"/>
            <w:vAlign w:val="center"/>
          </w:tcPr>
          <w:p w14:paraId="65871B88" w14:textId="77777777" w:rsidR="00D3704D" w:rsidRPr="00943E94" w:rsidRDefault="00D3704D" w:rsidP="001C59B7">
            <w:pPr>
              <w:spacing w:line="480" w:lineRule="atLeast"/>
              <w:rPr>
                <w:rFonts w:ascii="TimesNewRoman" w:hAnsi="TimesNewRoman" w:hint="eastAsia"/>
                <w:b/>
                <w:sz w:val="24"/>
              </w:rPr>
            </w:pPr>
            <w:r w:rsidRPr="00943E94">
              <w:rPr>
                <w:rFonts w:ascii="TimesNewRoman" w:hAnsi="宋体" w:hint="eastAsia"/>
                <w:b/>
                <w:sz w:val="24"/>
              </w:rPr>
              <w:t>地点</w:t>
            </w:r>
          </w:p>
        </w:tc>
        <w:tc>
          <w:tcPr>
            <w:tcW w:w="7521" w:type="dxa"/>
          </w:tcPr>
          <w:p w14:paraId="0B3810D8" w14:textId="77777777" w:rsidR="00D3704D" w:rsidRPr="00943E94" w:rsidRDefault="007640EC" w:rsidP="007640EC">
            <w:pPr>
              <w:spacing w:line="480" w:lineRule="atLeast"/>
              <w:rPr>
                <w:rFonts w:ascii="TimesNewRoman" w:hAnsi="TimesNewRoman" w:hint="eastAsia"/>
                <w:sz w:val="24"/>
              </w:rPr>
            </w:pPr>
            <w:r>
              <w:rPr>
                <w:rFonts w:ascii="TimesNewRoman" w:eastAsiaTheme="minorEastAsia" w:hAnsi="TimesNewRoman" w:cs="Arial" w:hint="eastAsia"/>
                <w:color w:val="000000"/>
                <w:kern w:val="0"/>
                <w:sz w:val="24"/>
                <w:szCs w:val="24"/>
              </w:rPr>
              <w:t>上证路演中心网站（</w:t>
            </w:r>
            <w:r>
              <w:rPr>
                <w:rFonts w:ascii="TimesNewRoman" w:eastAsiaTheme="minorEastAsia" w:hAnsi="TimesNewRoman" w:cs="Arial"/>
                <w:color w:val="000000"/>
                <w:kern w:val="0"/>
                <w:sz w:val="24"/>
                <w:szCs w:val="24"/>
              </w:rPr>
              <w:t>http://roadshow.sseinfo.com</w:t>
            </w:r>
            <w:r>
              <w:rPr>
                <w:rFonts w:ascii="TimesNewRoman" w:eastAsiaTheme="minorEastAsia" w:hAnsi="TimesNewRoman" w:cs="Arial" w:hint="eastAsia"/>
                <w:color w:val="000000"/>
                <w:kern w:val="0"/>
                <w:sz w:val="24"/>
                <w:szCs w:val="24"/>
              </w:rPr>
              <w:t>）</w:t>
            </w:r>
          </w:p>
        </w:tc>
      </w:tr>
      <w:tr w:rsidR="00D3704D" w:rsidRPr="00943E94" w14:paraId="389538C4" w14:textId="77777777" w:rsidTr="00575C51">
        <w:trPr>
          <w:jc w:val="center"/>
        </w:trPr>
        <w:tc>
          <w:tcPr>
            <w:tcW w:w="1908" w:type="dxa"/>
            <w:vAlign w:val="center"/>
          </w:tcPr>
          <w:p w14:paraId="4E524DEE" w14:textId="77777777" w:rsidR="00D3704D" w:rsidRPr="00943E94" w:rsidRDefault="00D3704D" w:rsidP="001C59B7">
            <w:pPr>
              <w:spacing w:line="480" w:lineRule="atLeast"/>
              <w:rPr>
                <w:rFonts w:ascii="TimesNewRoman" w:hAnsi="TimesNewRoman" w:hint="eastAsia"/>
                <w:b/>
                <w:sz w:val="24"/>
              </w:rPr>
            </w:pPr>
            <w:r w:rsidRPr="00943E94">
              <w:rPr>
                <w:rFonts w:ascii="TimesNewRoman" w:hAnsi="宋体" w:hint="eastAsia"/>
                <w:b/>
                <w:sz w:val="24"/>
              </w:rPr>
              <w:t>上市公司接待人员姓名</w:t>
            </w:r>
          </w:p>
        </w:tc>
        <w:tc>
          <w:tcPr>
            <w:tcW w:w="7521" w:type="dxa"/>
          </w:tcPr>
          <w:p w14:paraId="468481F2" w14:textId="62285FCC" w:rsidR="00E772E3" w:rsidRPr="00E772E3" w:rsidRDefault="00E772E3" w:rsidP="00E772E3">
            <w:pPr>
              <w:spacing w:line="480" w:lineRule="atLeast"/>
              <w:rPr>
                <w:rFonts w:ascii="TimesNewRoman" w:hAnsi="宋体"/>
                <w:sz w:val="24"/>
              </w:rPr>
            </w:pPr>
            <w:r w:rsidRPr="00E772E3">
              <w:rPr>
                <w:rFonts w:ascii="TimesNewRoman" w:hAnsi="宋体" w:hint="eastAsia"/>
                <w:sz w:val="24"/>
              </w:rPr>
              <w:t>广东利元亨智能装备股份有限公司董事长</w:t>
            </w:r>
            <w:r w:rsidR="00756BF8">
              <w:rPr>
                <w:rFonts w:ascii="TimesNewRoman" w:hAnsi="宋体" w:hint="eastAsia"/>
                <w:sz w:val="24"/>
              </w:rPr>
              <w:t>兼总裁</w:t>
            </w:r>
            <w:r w:rsidRPr="00E772E3">
              <w:rPr>
                <w:rFonts w:ascii="TimesNewRoman" w:hAnsi="宋体" w:hint="eastAsia"/>
                <w:sz w:val="24"/>
              </w:rPr>
              <w:t xml:space="preserve"> </w:t>
            </w:r>
            <w:r w:rsidR="007640EC">
              <w:rPr>
                <w:rFonts w:ascii="TimesNewRoman" w:hAnsi="宋体" w:hint="eastAsia"/>
                <w:sz w:val="24"/>
              </w:rPr>
              <w:t>周俊雄</w:t>
            </w:r>
          </w:p>
          <w:p w14:paraId="3C562277" w14:textId="77777777" w:rsidR="00816D5A" w:rsidRDefault="00E772E3" w:rsidP="00537F78">
            <w:pPr>
              <w:spacing w:line="480" w:lineRule="atLeast"/>
              <w:rPr>
                <w:rFonts w:ascii="TimesNewRoman" w:hAnsi="宋体"/>
                <w:sz w:val="24"/>
              </w:rPr>
            </w:pPr>
            <w:r w:rsidRPr="00E772E3">
              <w:rPr>
                <w:rFonts w:ascii="TimesNewRoman" w:hAnsi="宋体" w:hint="eastAsia"/>
                <w:sz w:val="24"/>
              </w:rPr>
              <w:t>广东利元亨智能装备股份有限公司董事会秘书兼财务总监</w:t>
            </w:r>
            <w:r w:rsidRPr="00E772E3">
              <w:rPr>
                <w:rFonts w:ascii="TimesNewRoman" w:hAnsi="宋体" w:hint="eastAsia"/>
                <w:sz w:val="24"/>
              </w:rPr>
              <w:t xml:space="preserve"> </w:t>
            </w:r>
            <w:r w:rsidRPr="00E772E3">
              <w:rPr>
                <w:rFonts w:ascii="TimesNewRoman" w:hAnsi="宋体" w:hint="eastAsia"/>
                <w:sz w:val="24"/>
              </w:rPr>
              <w:t>高雪松</w:t>
            </w:r>
          </w:p>
          <w:p w14:paraId="647A0817" w14:textId="4D68E458" w:rsidR="00CA22A8" w:rsidRPr="00CA22A8" w:rsidRDefault="00CA22A8" w:rsidP="00CA22A8">
            <w:pPr>
              <w:spacing w:line="480" w:lineRule="atLeast"/>
              <w:rPr>
                <w:rFonts w:ascii="TimesNewRoman" w:hAnsi="宋体"/>
                <w:sz w:val="24"/>
              </w:rPr>
            </w:pPr>
            <w:r w:rsidRPr="00E772E3">
              <w:rPr>
                <w:rFonts w:ascii="TimesNewRoman" w:hAnsi="宋体" w:hint="eastAsia"/>
                <w:sz w:val="24"/>
              </w:rPr>
              <w:t>广东利元亨智能装备股份有限公司</w:t>
            </w:r>
            <w:r>
              <w:rPr>
                <w:rFonts w:ascii="TimesNewRoman" w:hAnsi="宋体" w:hint="eastAsia"/>
                <w:sz w:val="24"/>
              </w:rPr>
              <w:t>独立董事</w:t>
            </w:r>
            <w:r w:rsidRPr="00E772E3">
              <w:rPr>
                <w:rFonts w:ascii="TimesNewRoman" w:hAnsi="宋体" w:hint="eastAsia"/>
                <w:sz w:val="24"/>
              </w:rPr>
              <w:t xml:space="preserve"> </w:t>
            </w:r>
            <w:r>
              <w:rPr>
                <w:rFonts w:ascii="TimesNewRoman" w:hAnsi="宋体" w:hint="eastAsia"/>
                <w:sz w:val="24"/>
              </w:rPr>
              <w:t>陆德明</w:t>
            </w:r>
          </w:p>
        </w:tc>
      </w:tr>
      <w:tr w:rsidR="0047551A" w:rsidRPr="0047551A" w14:paraId="5938D44D" w14:textId="77777777" w:rsidTr="00575C51">
        <w:trPr>
          <w:jc w:val="center"/>
        </w:trPr>
        <w:tc>
          <w:tcPr>
            <w:tcW w:w="1908" w:type="dxa"/>
            <w:vAlign w:val="center"/>
          </w:tcPr>
          <w:p w14:paraId="4FAF8BF2" w14:textId="77777777" w:rsidR="00606691" w:rsidRPr="0047551A" w:rsidRDefault="00606691" w:rsidP="001C59B7">
            <w:pPr>
              <w:spacing w:line="480" w:lineRule="atLeast"/>
              <w:rPr>
                <w:rFonts w:ascii="TimesNewRoman" w:hAnsi="宋体"/>
                <w:b/>
                <w:color w:val="000000" w:themeColor="text1"/>
                <w:sz w:val="24"/>
              </w:rPr>
            </w:pPr>
            <w:r w:rsidRPr="0047551A">
              <w:rPr>
                <w:rFonts w:ascii="TimesNewRoman" w:hAnsi="宋体" w:hint="eastAsia"/>
                <w:b/>
                <w:color w:val="000000" w:themeColor="text1"/>
                <w:sz w:val="24"/>
              </w:rPr>
              <w:t>投资者关系活动主要内容介绍</w:t>
            </w:r>
          </w:p>
        </w:tc>
        <w:tc>
          <w:tcPr>
            <w:tcW w:w="7521" w:type="dxa"/>
          </w:tcPr>
          <w:p w14:paraId="5F97420B" w14:textId="77777777" w:rsidR="001A6A42" w:rsidRPr="00947863" w:rsidRDefault="00947863" w:rsidP="00587D04">
            <w:pPr>
              <w:spacing w:line="276" w:lineRule="auto"/>
              <w:rPr>
                <w:rFonts w:ascii="TimesNewRoman" w:hAnsi="宋体"/>
                <w:b/>
                <w:sz w:val="24"/>
              </w:rPr>
            </w:pPr>
            <w:r w:rsidRPr="00947863">
              <w:rPr>
                <w:rFonts w:ascii="TimesNewRoman" w:hAnsi="宋体"/>
                <w:b/>
                <w:sz w:val="24"/>
              </w:rPr>
              <w:t>1</w:t>
            </w:r>
            <w:r w:rsidRPr="00947863">
              <w:rPr>
                <w:rFonts w:ascii="TimesNewRoman" w:hAnsi="宋体"/>
                <w:b/>
                <w:sz w:val="24"/>
              </w:rPr>
              <w:t>、目前公司产能和产能利用率情况如何？在手订单多少？</w:t>
            </w:r>
          </w:p>
          <w:p w14:paraId="3E97C142" w14:textId="77777777" w:rsidR="00947863" w:rsidRDefault="00947863" w:rsidP="00587D04">
            <w:pPr>
              <w:spacing w:line="276" w:lineRule="auto"/>
              <w:rPr>
                <w:rFonts w:ascii="TimesNewRoman" w:hAnsi="宋体"/>
                <w:sz w:val="24"/>
              </w:rPr>
            </w:pPr>
            <w:r>
              <w:rPr>
                <w:rFonts w:ascii="TimesNewRoman" w:hAnsi="宋体" w:hint="eastAsia"/>
                <w:sz w:val="24"/>
              </w:rPr>
              <w:t>复：尊敬的投资者您好！目前</w:t>
            </w:r>
            <w:r w:rsidRPr="00947863">
              <w:rPr>
                <w:rFonts w:ascii="TimesNewRoman" w:hAnsi="宋体" w:hint="eastAsia"/>
                <w:sz w:val="24"/>
              </w:rPr>
              <w:t>公司产能处于满产状态，截至</w:t>
            </w:r>
            <w:r w:rsidRPr="00947863">
              <w:rPr>
                <w:rFonts w:ascii="TimesNewRoman" w:hAnsi="宋体" w:hint="eastAsia"/>
                <w:sz w:val="24"/>
              </w:rPr>
              <w:t>2023</w:t>
            </w:r>
            <w:r w:rsidRPr="00947863">
              <w:rPr>
                <w:rFonts w:ascii="TimesNewRoman" w:hAnsi="宋体" w:hint="eastAsia"/>
                <w:sz w:val="24"/>
              </w:rPr>
              <w:t>年</w:t>
            </w:r>
            <w:r w:rsidRPr="00947863">
              <w:rPr>
                <w:rFonts w:ascii="TimesNewRoman" w:hAnsi="宋体" w:hint="eastAsia"/>
                <w:sz w:val="24"/>
              </w:rPr>
              <w:t>12</w:t>
            </w:r>
            <w:r w:rsidRPr="00947863">
              <w:rPr>
                <w:rFonts w:ascii="TimesNewRoman" w:hAnsi="宋体" w:hint="eastAsia"/>
                <w:sz w:val="24"/>
              </w:rPr>
              <w:t>月</w:t>
            </w:r>
            <w:r w:rsidRPr="00947863">
              <w:rPr>
                <w:rFonts w:ascii="TimesNewRoman" w:hAnsi="宋体" w:hint="eastAsia"/>
                <w:sz w:val="24"/>
              </w:rPr>
              <w:t>31</w:t>
            </w:r>
            <w:r w:rsidRPr="00947863">
              <w:rPr>
                <w:rFonts w:ascii="TimesNewRoman" w:hAnsi="宋体" w:hint="eastAsia"/>
                <w:sz w:val="24"/>
              </w:rPr>
              <w:t>日，公司拥有锂电及其他领域在手订单（含已取得合同及订单、已中标的项目、已取得意向性协议，下同）约</w:t>
            </w:r>
            <w:r w:rsidRPr="00947863">
              <w:rPr>
                <w:rFonts w:ascii="TimesNewRoman" w:hAnsi="宋体" w:hint="eastAsia"/>
                <w:sz w:val="24"/>
              </w:rPr>
              <w:t>58</w:t>
            </w:r>
            <w:r w:rsidRPr="00947863">
              <w:rPr>
                <w:rFonts w:ascii="TimesNewRoman" w:hAnsi="宋体" w:hint="eastAsia"/>
                <w:sz w:val="24"/>
              </w:rPr>
              <w:t>亿元，主要客户包括新能源科技、比亚迪、宁德时代、因湃电池、国轩高科、远景、</w:t>
            </w:r>
            <w:r w:rsidRPr="00947863">
              <w:rPr>
                <w:rFonts w:ascii="TimesNewRoman" w:hAnsi="宋体" w:hint="eastAsia"/>
                <w:sz w:val="24"/>
              </w:rPr>
              <w:t>SK ON</w:t>
            </w:r>
            <w:r w:rsidRPr="00947863">
              <w:rPr>
                <w:rFonts w:ascii="TimesNewRoman" w:hAnsi="宋体" w:hint="eastAsia"/>
                <w:sz w:val="24"/>
              </w:rPr>
              <w:t>等。</w:t>
            </w:r>
            <w:r>
              <w:rPr>
                <w:rFonts w:ascii="TimesNewRoman" w:hAnsi="宋体" w:hint="eastAsia"/>
                <w:sz w:val="24"/>
              </w:rPr>
              <w:t>感谢关注！</w:t>
            </w:r>
          </w:p>
          <w:p w14:paraId="25FA3253" w14:textId="0DAC6118" w:rsidR="00947863" w:rsidRPr="00947863" w:rsidRDefault="00947863" w:rsidP="00587D04">
            <w:pPr>
              <w:spacing w:line="276" w:lineRule="auto"/>
              <w:rPr>
                <w:rFonts w:ascii="TimesNewRoman" w:hAnsi="宋体"/>
                <w:b/>
                <w:sz w:val="24"/>
              </w:rPr>
            </w:pPr>
            <w:r w:rsidRPr="00947863">
              <w:rPr>
                <w:rFonts w:ascii="TimesNewRoman" w:hAnsi="宋体" w:hint="eastAsia"/>
                <w:b/>
                <w:sz w:val="24"/>
              </w:rPr>
              <w:t>2</w:t>
            </w:r>
            <w:r w:rsidRPr="00947863">
              <w:rPr>
                <w:rFonts w:ascii="TimesNewRoman" w:hAnsi="宋体" w:hint="eastAsia"/>
                <w:b/>
                <w:sz w:val="24"/>
              </w:rPr>
              <w:t>、</w:t>
            </w:r>
            <w:r w:rsidRPr="00947863">
              <w:rPr>
                <w:rFonts w:ascii="TimesNewRoman" w:hAnsi="宋体"/>
                <w:b/>
                <w:sz w:val="24"/>
              </w:rPr>
              <w:t>今年整体业绩预期如何？对于当前锂电产业下行周期，公司下一步的突破口在哪？</w:t>
            </w:r>
          </w:p>
          <w:p w14:paraId="29159197" w14:textId="4DE8A833" w:rsidR="00947863" w:rsidRPr="00947863" w:rsidRDefault="00947863" w:rsidP="00587D04">
            <w:pPr>
              <w:spacing w:line="276" w:lineRule="auto"/>
              <w:rPr>
                <w:rFonts w:ascii="TimesNewRoman" w:hAnsi="宋体" w:hint="eastAsia"/>
                <w:sz w:val="24"/>
              </w:rPr>
            </w:pPr>
            <w:r>
              <w:rPr>
                <w:rFonts w:ascii="TimesNewRoman" w:hAnsi="宋体" w:hint="eastAsia"/>
                <w:sz w:val="24"/>
              </w:rPr>
              <w:t>复：</w:t>
            </w:r>
            <w:r>
              <w:rPr>
                <w:rFonts w:ascii="TimesNewRoman" w:hAnsi="宋体" w:hint="eastAsia"/>
                <w:sz w:val="24"/>
              </w:rPr>
              <w:t>尊敬的投资者您好！</w:t>
            </w:r>
            <w:r w:rsidRPr="00947863">
              <w:rPr>
                <w:rFonts w:ascii="TimesNewRoman" w:hAnsi="宋体" w:hint="eastAsia"/>
                <w:sz w:val="24"/>
              </w:rPr>
              <w:t xml:space="preserve">2024 </w:t>
            </w:r>
            <w:r w:rsidRPr="00947863">
              <w:rPr>
                <w:rFonts w:ascii="TimesNewRoman" w:hAnsi="宋体" w:hint="eastAsia"/>
                <w:sz w:val="24"/>
              </w:rPr>
              <w:t>年公司调整签单策略，一方面将签单重心放在海外订单开拓，重点抓有质量的订单；另一方面公司将持续深耕技术创新，积极配合客户在固态电池、钠电池、钙钛矿电池等新型能源的研发量产，在行业周期变化中不断拓展新业务场景。面对去年锂电产业发生变化以来，公司决策层一直在周期性、辩证地讨论公司</w:t>
            </w:r>
            <w:r w:rsidRPr="00947863">
              <w:rPr>
                <w:rFonts w:ascii="TimesNewRoman" w:hAnsi="宋体" w:hint="eastAsia"/>
                <w:sz w:val="24"/>
              </w:rPr>
              <w:lastRenderedPageBreak/>
              <w:t>未来战略方向</w:t>
            </w:r>
            <w:r>
              <w:rPr>
                <w:rFonts w:ascii="TimesNewRoman" w:hAnsi="宋体" w:hint="eastAsia"/>
                <w:sz w:val="24"/>
              </w:rPr>
              <w:t>，</w:t>
            </w:r>
            <w:r w:rsidRPr="00947863">
              <w:rPr>
                <w:rFonts w:ascii="TimesNewRoman" w:hAnsi="宋体" w:hint="eastAsia"/>
                <w:sz w:val="24"/>
              </w:rPr>
              <w:t>寻找突破口</w:t>
            </w:r>
            <w:r>
              <w:rPr>
                <w:rFonts w:ascii="TimesNewRoman" w:hAnsi="宋体" w:hint="eastAsia"/>
                <w:sz w:val="24"/>
              </w:rPr>
              <w:t>：</w:t>
            </w:r>
            <w:r w:rsidRPr="00947863">
              <w:rPr>
                <w:rFonts w:ascii="TimesNewRoman" w:hAnsi="宋体" w:hint="eastAsia"/>
                <w:sz w:val="24"/>
              </w:rPr>
              <w:t>第一</w:t>
            </w:r>
            <w:r>
              <w:rPr>
                <w:rFonts w:ascii="TimesNewRoman" w:hAnsi="宋体" w:hint="eastAsia"/>
                <w:sz w:val="24"/>
              </w:rPr>
              <w:t xml:space="preserve"> </w:t>
            </w:r>
            <w:r w:rsidRPr="00947863">
              <w:rPr>
                <w:rFonts w:ascii="TimesNewRoman" w:hAnsi="宋体" w:hint="eastAsia"/>
                <w:sz w:val="24"/>
              </w:rPr>
              <w:t>公司会持续追求人效的提升，</w:t>
            </w:r>
            <w:r w:rsidRPr="00947863">
              <w:rPr>
                <w:rFonts w:ascii="TimesNewRoman" w:hAnsi="宋体" w:hint="eastAsia"/>
                <w:sz w:val="24"/>
              </w:rPr>
              <w:t xml:space="preserve">2024 </w:t>
            </w:r>
            <w:r w:rsidRPr="00947863">
              <w:rPr>
                <w:rFonts w:ascii="TimesNewRoman" w:hAnsi="宋体" w:hint="eastAsia"/>
                <w:sz w:val="24"/>
              </w:rPr>
              <w:t>年、</w:t>
            </w:r>
            <w:r w:rsidRPr="00947863">
              <w:rPr>
                <w:rFonts w:ascii="TimesNewRoman" w:hAnsi="宋体" w:hint="eastAsia"/>
                <w:sz w:val="24"/>
              </w:rPr>
              <w:t xml:space="preserve">2025 </w:t>
            </w:r>
            <w:r w:rsidRPr="00947863">
              <w:rPr>
                <w:rFonts w:ascii="TimesNewRoman" w:hAnsi="宋体" w:hint="eastAsia"/>
                <w:sz w:val="24"/>
              </w:rPr>
              <w:t>年做稳做扎实；第二</w:t>
            </w:r>
            <w:r>
              <w:rPr>
                <w:rFonts w:ascii="TimesNewRoman" w:hAnsi="宋体" w:hint="eastAsia"/>
                <w:sz w:val="24"/>
              </w:rPr>
              <w:t xml:space="preserve"> </w:t>
            </w:r>
            <w:r w:rsidRPr="00947863">
              <w:rPr>
                <w:rFonts w:ascii="TimesNewRoman" w:hAnsi="宋体" w:hint="eastAsia"/>
                <w:sz w:val="24"/>
              </w:rPr>
              <w:t>公司会聚焦服务高质量且现金流良好的客户，以扎实技术稳固客户关系；第三</w:t>
            </w:r>
            <w:r>
              <w:rPr>
                <w:rFonts w:ascii="TimesNewRoman" w:hAnsi="宋体" w:hint="eastAsia"/>
                <w:sz w:val="24"/>
              </w:rPr>
              <w:t xml:space="preserve"> </w:t>
            </w:r>
            <w:r w:rsidRPr="00947863">
              <w:rPr>
                <w:rFonts w:ascii="TimesNewRoman" w:hAnsi="宋体" w:hint="eastAsia"/>
                <w:sz w:val="24"/>
              </w:rPr>
              <w:t>公司会持续深耕技术创新，积极配合客户在固态电池、钠电池、钙钛矿电池等新型能源的研发量产，在行业周期变化中不断拓展新业务场景</w:t>
            </w:r>
            <w:r>
              <w:rPr>
                <w:rFonts w:ascii="TimesNewRoman" w:hAnsi="宋体" w:hint="eastAsia"/>
                <w:sz w:val="24"/>
              </w:rPr>
              <w:t>。</w:t>
            </w:r>
            <w:r w:rsidRPr="00947863">
              <w:rPr>
                <w:rFonts w:ascii="TimesNewRoman" w:hAnsi="宋体" w:hint="eastAsia"/>
                <w:sz w:val="24"/>
              </w:rPr>
              <w:t>感谢关注！</w:t>
            </w:r>
          </w:p>
          <w:p w14:paraId="00E9E34C" w14:textId="78930B58" w:rsidR="00947863" w:rsidRPr="00947863" w:rsidRDefault="00947863" w:rsidP="00587D04">
            <w:pPr>
              <w:spacing w:line="276" w:lineRule="auto"/>
              <w:rPr>
                <w:rFonts w:ascii="TimesNewRoman" w:hAnsi="宋体"/>
                <w:b/>
                <w:sz w:val="24"/>
              </w:rPr>
            </w:pPr>
            <w:r>
              <w:rPr>
                <w:rFonts w:ascii="TimesNewRoman" w:hAnsi="宋体" w:hint="eastAsia"/>
                <w:b/>
                <w:sz w:val="24"/>
              </w:rPr>
              <w:t>3</w:t>
            </w:r>
            <w:r>
              <w:rPr>
                <w:rFonts w:ascii="TimesNewRoman" w:hAnsi="宋体" w:hint="eastAsia"/>
                <w:b/>
                <w:sz w:val="24"/>
              </w:rPr>
              <w:t>、</w:t>
            </w:r>
            <w:r w:rsidRPr="00947863">
              <w:rPr>
                <w:rFonts w:ascii="TimesNewRoman" w:hAnsi="宋体"/>
                <w:b/>
                <w:sz w:val="24"/>
              </w:rPr>
              <w:t>锂电下行周期预计何时能有拐点？行业产能会以什么方式出清？</w:t>
            </w:r>
          </w:p>
          <w:p w14:paraId="14C11721" w14:textId="53D2AB4D" w:rsidR="00947863" w:rsidRDefault="00947863" w:rsidP="00587D04">
            <w:pPr>
              <w:spacing w:line="276" w:lineRule="auto"/>
              <w:rPr>
                <w:rFonts w:ascii="TimesNewRoman" w:hAnsi="宋体"/>
                <w:sz w:val="24"/>
              </w:rPr>
            </w:pPr>
            <w:r w:rsidRPr="00947863">
              <w:rPr>
                <w:rFonts w:ascii="TimesNewRoman" w:hAnsi="宋体" w:hint="eastAsia"/>
                <w:sz w:val="24"/>
              </w:rPr>
              <w:t>复：尊敬的投资者您好！公司看好锂电行业的长期发展前景，但短期内受宏观经济环境、行业竞争加剧、下游市场需求变化等多因素影响，行业发展存在周期波动，公司将密切关注行业发展情况，积极采取相关措施促进企业稳健发展。</w:t>
            </w:r>
            <w:r w:rsidRPr="00947863">
              <w:rPr>
                <w:rFonts w:ascii="TimesNewRoman" w:hAnsi="宋体" w:hint="eastAsia"/>
                <w:sz w:val="24"/>
              </w:rPr>
              <w:t>感谢关注！</w:t>
            </w:r>
          </w:p>
          <w:p w14:paraId="54028AD4" w14:textId="18FAD8A6" w:rsidR="00947863" w:rsidRPr="00947863" w:rsidRDefault="00947863" w:rsidP="00587D04">
            <w:pPr>
              <w:spacing w:line="276" w:lineRule="auto"/>
              <w:rPr>
                <w:rFonts w:ascii="TimesNewRoman" w:hAnsi="宋体" w:hint="eastAsia"/>
                <w:sz w:val="24"/>
              </w:rPr>
            </w:pPr>
            <w:r>
              <w:rPr>
                <w:rFonts w:ascii="TimesNewRoman" w:hAnsi="宋体" w:hint="eastAsia"/>
                <w:sz w:val="24"/>
              </w:rPr>
              <w:t>4</w:t>
            </w:r>
            <w:r>
              <w:rPr>
                <w:rFonts w:ascii="TimesNewRoman" w:hAnsi="宋体" w:hint="eastAsia"/>
                <w:sz w:val="24"/>
              </w:rPr>
              <w:t>、</w:t>
            </w:r>
            <w:r w:rsidRPr="00947863">
              <w:rPr>
                <w:rFonts w:ascii="TimesNewRoman" w:hAnsi="宋体"/>
                <w:b/>
                <w:sz w:val="24"/>
              </w:rPr>
              <w:t>如何看待日前工信部发布的《锂电行业规范条件》和《锂电行业规范公告管理办法》（征求意见稿）？其将对行业有何影响？公司有何相关举措？</w:t>
            </w:r>
          </w:p>
          <w:p w14:paraId="5746F609" w14:textId="477B5AF2" w:rsidR="00947863" w:rsidRPr="00947863" w:rsidRDefault="00947863" w:rsidP="00947863">
            <w:pPr>
              <w:spacing w:line="276" w:lineRule="auto"/>
              <w:rPr>
                <w:rFonts w:ascii="TimesNewRoman" w:hAnsi="宋体" w:hint="eastAsia"/>
                <w:sz w:val="24"/>
              </w:rPr>
            </w:pPr>
            <w:r w:rsidRPr="00947863">
              <w:rPr>
                <w:rFonts w:ascii="TimesNewRoman" w:hAnsi="宋体" w:hint="eastAsia"/>
                <w:sz w:val="24"/>
              </w:rPr>
              <w:t>复：尊敬的投资者您好！相关行业指导文件鼓励和引导行业技术进步和规范发展，本次征求意见稿提到的强制性标准明显增多，征求意见稿还鼓励企业制定和执行高于国家或行业标准的产品技术标准或规范。未来尾部企业淘汰加速和中游企业前向一体化是主要趋势，引导企业减少单纯扩大产能的制造项目，加强技术创新、提高产品质量、降低生产成本。有助于引导锂电池行业向高质量发展转型，减少单纯扩大产能的低端竞争，同时提高产品质量和性能要求，减少内卷。</w:t>
            </w:r>
            <w:r w:rsidRPr="00947863">
              <w:rPr>
                <w:rFonts w:ascii="TimesNewRoman" w:hAnsi="宋体" w:hint="eastAsia"/>
                <w:sz w:val="24"/>
              </w:rPr>
              <w:t xml:space="preserve"> </w:t>
            </w:r>
          </w:p>
          <w:p w14:paraId="5927A7DF" w14:textId="69F06802" w:rsidR="00947863" w:rsidRDefault="00947863" w:rsidP="005878E3">
            <w:pPr>
              <w:spacing w:line="276" w:lineRule="auto"/>
              <w:ind w:firstLine="480"/>
              <w:rPr>
                <w:rFonts w:ascii="TimesNewRoman" w:hAnsi="宋体"/>
                <w:sz w:val="24"/>
              </w:rPr>
            </w:pPr>
            <w:r w:rsidRPr="00947863">
              <w:rPr>
                <w:rFonts w:ascii="TimesNewRoman" w:hAnsi="宋体" w:hint="eastAsia"/>
                <w:sz w:val="24"/>
              </w:rPr>
              <w:t>一直以来，利元亨始终把科技创新摆在企业发展的首位，多年来维持着高研发费用率，并取得众多技术专利，多年来公司凭借技术创新和产品引领已成为行业名列前茅的设备厂家，获得行业及头部客户的高度认可，这与工业和信息化部一直倡导的锂电池行业向高质量发展转型不谋而合。公司未来将持续加大研发投入，提升原始创新能力，大力发展新质生产力。</w:t>
            </w:r>
            <w:r w:rsidR="005878E3">
              <w:rPr>
                <w:rFonts w:ascii="TimesNewRoman" w:hAnsi="宋体" w:hint="eastAsia"/>
                <w:sz w:val="24"/>
              </w:rPr>
              <w:t>感谢关注！</w:t>
            </w:r>
          </w:p>
          <w:p w14:paraId="578CF3B3" w14:textId="507ADF7E" w:rsidR="005878E3" w:rsidRPr="005878E3" w:rsidRDefault="005878E3" w:rsidP="005878E3">
            <w:pPr>
              <w:spacing w:line="276" w:lineRule="auto"/>
              <w:rPr>
                <w:rFonts w:ascii="TimesNewRoman" w:hAnsi="宋体" w:hint="eastAsia"/>
                <w:b/>
                <w:sz w:val="24"/>
              </w:rPr>
            </w:pPr>
            <w:r>
              <w:rPr>
                <w:rFonts w:ascii="TimesNewRoman" w:hAnsi="宋体"/>
                <w:b/>
                <w:sz w:val="24"/>
              </w:rPr>
              <w:t>5</w:t>
            </w:r>
            <w:r w:rsidRPr="005878E3">
              <w:rPr>
                <w:rFonts w:ascii="TimesNewRoman" w:hAnsi="宋体"/>
                <w:b/>
                <w:sz w:val="24"/>
              </w:rPr>
              <w:t>、年报和一季报显示，公司业绩出现了下滑，何时能扭住颓势。能否分析一下原因？</w:t>
            </w:r>
          </w:p>
          <w:p w14:paraId="698C5BDE" w14:textId="244E7F3E" w:rsidR="005878E3" w:rsidRPr="005878E3" w:rsidRDefault="005878E3" w:rsidP="005878E3">
            <w:pPr>
              <w:spacing w:line="276" w:lineRule="auto"/>
              <w:rPr>
                <w:rFonts w:ascii="TimesNewRoman" w:hAnsi="宋体" w:hint="eastAsia"/>
                <w:sz w:val="24"/>
              </w:rPr>
            </w:pPr>
            <w:r w:rsidRPr="00947863">
              <w:rPr>
                <w:rFonts w:ascii="TimesNewRoman" w:hAnsi="宋体" w:hint="eastAsia"/>
                <w:sz w:val="24"/>
              </w:rPr>
              <w:t>复：尊敬的投资者您好！</w:t>
            </w:r>
            <w:r w:rsidRPr="005878E3">
              <w:rPr>
                <w:rFonts w:ascii="TimesNewRoman" w:hAnsi="宋体" w:hint="eastAsia"/>
                <w:sz w:val="24"/>
              </w:rPr>
              <w:t>公司业绩下滑主要是受到综合毛利率下降、管理费用率较高、计提资产减值损失和信用减值损失增加等因素影响。</w:t>
            </w:r>
          </w:p>
          <w:p w14:paraId="48AD5486" w14:textId="7C54C30E" w:rsidR="005878E3" w:rsidRPr="005878E3" w:rsidRDefault="005878E3" w:rsidP="005878E3">
            <w:pPr>
              <w:spacing w:line="276" w:lineRule="auto"/>
              <w:rPr>
                <w:rFonts w:ascii="TimesNewRoman" w:hAnsi="宋体" w:hint="eastAsia"/>
                <w:sz w:val="24"/>
              </w:rPr>
            </w:pPr>
            <w:r>
              <w:rPr>
                <w:rFonts w:ascii="TimesNewRoman" w:hAnsi="宋体" w:hint="eastAsia"/>
                <w:sz w:val="24"/>
              </w:rPr>
              <w:t xml:space="preserve">   </w:t>
            </w:r>
            <w:r w:rsidRPr="005878E3">
              <w:rPr>
                <w:rFonts w:ascii="TimesNewRoman" w:hAnsi="宋体" w:hint="eastAsia"/>
                <w:sz w:val="24"/>
              </w:rPr>
              <w:t>后续受消费锂电业务占比以及海外业务收入占比提高因素影响；以及公司聚焦动力锂电高毛利的中后段产品，实现规模化效应，有效降低成本，提高综合毛利率与降低大额计提资产减值损失风险；优化组织架构和管理流程，将管理费用和销售费用控制在合理水平内；积极制定各项举措加强应收账款回收，改善公司回款情况，降低计提大额信用减值损失的风险等措施，积极改善公司业绩。</w:t>
            </w:r>
            <w:r w:rsidRPr="005878E3">
              <w:rPr>
                <w:rFonts w:ascii="TimesNewRoman" w:hAnsi="宋体" w:hint="eastAsia"/>
                <w:sz w:val="24"/>
              </w:rPr>
              <w:t xml:space="preserve"> </w:t>
            </w:r>
          </w:p>
          <w:p w14:paraId="5F5AAC2B" w14:textId="61E45220" w:rsidR="00947863" w:rsidRDefault="005878E3" w:rsidP="005878E3">
            <w:pPr>
              <w:spacing w:line="276" w:lineRule="auto"/>
              <w:rPr>
                <w:rFonts w:ascii="TimesNewRoman" w:hAnsi="宋体"/>
                <w:sz w:val="24"/>
              </w:rPr>
            </w:pPr>
            <w:r>
              <w:rPr>
                <w:rFonts w:ascii="TimesNewRoman" w:hAnsi="宋体" w:hint="eastAsia"/>
                <w:sz w:val="24"/>
              </w:rPr>
              <w:t xml:space="preserve">   </w:t>
            </w:r>
            <w:r w:rsidRPr="005878E3">
              <w:rPr>
                <w:rFonts w:ascii="TimesNewRoman" w:hAnsi="宋体" w:hint="eastAsia"/>
                <w:sz w:val="24"/>
              </w:rPr>
              <w:t>从一季度数据来看，各项举措已有所成效。第一季度管理费用和销售费用总额同环比均下降超过</w:t>
            </w:r>
            <w:r w:rsidRPr="005878E3">
              <w:rPr>
                <w:rFonts w:ascii="TimesNewRoman" w:hAnsi="宋体" w:hint="eastAsia"/>
                <w:sz w:val="24"/>
              </w:rPr>
              <w:t>22%</w:t>
            </w:r>
            <w:r w:rsidRPr="005878E3">
              <w:rPr>
                <w:rFonts w:ascii="TimesNewRoman" w:hAnsi="宋体" w:hint="eastAsia"/>
                <w:sz w:val="24"/>
              </w:rPr>
              <w:t>，计提的资产减值损失和信用减值</w:t>
            </w:r>
            <w:r w:rsidRPr="005878E3">
              <w:rPr>
                <w:rFonts w:ascii="TimesNewRoman" w:hAnsi="宋体" w:hint="eastAsia"/>
                <w:sz w:val="24"/>
              </w:rPr>
              <w:lastRenderedPageBreak/>
              <w:t>损失总额也同比下降约</w:t>
            </w:r>
            <w:r w:rsidRPr="005878E3">
              <w:rPr>
                <w:rFonts w:ascii="TimesNewRoman" w:hAnsi="宋体" w:hint="eastAsia"/>
                <w:sz w:val="24"/>
              </w:rPr>
              <w:t>38%</w:t>
            </w:r>
            <w:r w:rsidRPr="005878E3">
              <w:rPr>
                <w:rFonts w:ascii="TimesNewRoman" w:hAnsi="宋体" w:hint="eastAsia"/>
                <w:sz w:val="24"/>
              </w:rPr>
              <w:t>。</w:t>
            </w:r>
            <w:r>
              <w:rPr>
                <w:rFonts w:ascii="TimesNewRoman" w:hAnsi="宋体" w:hint="eastAsia"/>
                <w:sz w:val="24"/>
              </w:rPr>
              <w:t>感谢关注！</w:t>
            </w:r>
          </w:p>
          <w:p w14:paraId="0F2F83EC" w14:textId="3678006B" w:rsidR="005878E3" w:rsidRPr="005878E3" w:rsidRDefault="005878E3" w:rsidP="005878E3">
            <w:pPr>
              <w:spacing w:line="276" w:lineRule="auto"/>
              <w:rPr>
                <w:rFonts w:ascii="TimesNewRoman" w:hAnsi="宋体" w:hint="eastAsia"/>
                <w:b/>
                <w:sz w:val="24"/>
              </w:rPr>
            </w:pPr>
            <w:r w:rsidRPr="005878E3">
              <w:rPr>
                <w:rFonts w:ascii="TimesNewRoman" w:hAnsi="宋体" w:hint="eastAsia"/>
                <w:b/>
                <w:sz w:val="24"/>
              </w:rPr>
              <w:t>6</w:t>
            </w:r>
            <w:r w:rsidRPr="005878E3">
              <w:rPr>
                <w:rFonts w:ascii="TimesNewRoman" w:hAnsi="宋体" w:hint="eastAsia"/>
                <w:b/>
                <w:sz w:val="24"/>
              </w:rPr>
              <w:t>、公司发行</w:t>
            </w:r>
            <w:r w:rsidRPr="005878E3">
              <w:rPr>
                <w:rFonts w:ascii="TimesNewRoman" w:hAnsi="宋体" w:hint="eastAsia"/>
                <w:b/>
                <w:sz w:val="24"/>
              </w:rPr>
              <w:t>9.5</w:t>
            </w:r>
            <w:r w:rsidRPr="005878E3">
              <w:rPr>
                <w:rFonts w:ascii="TimesNewRoman" w:hAnsi="宋体" w:hint="eastAsia"/>
                <w:b/>
                <w:sz w:val="24"/>
              </w:rPr>
              <w:t>亿元可转债尚未转股，下一步将如何推动转股？之前大股东是否有结合下修进行减持的嫌疑？</w:t>
            </w:r>
          </w:p>
          <w:p w14:paraId="338824E2" w14:textId="39B486B7" w:rsidR="00947863" w:rsidRDefault="005878E3" w:rsidP="00587D04">
            <w:pPr>
              <w:spacing w:line="276" w:lineRule="auto"/>
              <w:rPr>
                <w:rFonts w:ascii="TimesNewRoman" w:hAnsi="宋体"/>
                <w:sz w:val="24"/>
              </w:rPr>
            </w:pPr>
            <w:r w:rsidRPr="00947863">
              <w:rPr>
                <w:rFonts w:ascii="TimesNewRoman" w:hAnsi="宋体" w:hint="eastAsia"/>
                <w:sz w:val="24"/>
              </w:rPr>
              <w:t>复：尊敬的投资者您好！</w:t>
            </w:r>
            <w:r w:rsidRPr="005878E3">
              <w:rPr>
                <w:rFonts w:ascii="TimesNewRoman" w:hAnsi="宋体" w:hint="eastAsia"/>
                <w:sz w:val="24"/>
              </w:rPr>
              <w:t>公司将努力做好经营，通过创造良好业绩实现价值回归，为可转债转股营造条件。公司前次修正可转债转股价格主要系基于支持公司长期稳健发展，维护全体投资者利益的考虑。控股股东减持可转债符合证监会、上交所关于可转债减持管理的相关要求，公司已严格按照相关法律、法规及上交所的相关规定及时充分地履行了信息披露义务。</w:t>
            </w:r>
            <w:r>
              <w:rPr>
                <w:rFonts w:ascii="TimesNewRoman" w:hAnsi="宋体" w:hint="eastAsia"/>
                <w:sz w:val="24"/>
              </w:rPr>
              <w:t>感谢关注！</w:t>
            </w:r>
          </w:p>
          <w:p w14:paraId="5DA0F60B" w14:textId="6124574B" w:rsidR="005878E3" w:rsidRPr="00FB4772" w:rsidRDefault="005878E3" w:rsidP="00587D04">
            <w:pPr>
              <w:spacing w:line="276" w:lineRule="auto"/>
              <w:rPr>
                <w:rFonts w:ascii="TimesNewRoman" w:hAnsi="宋体" w:hint="eastAsia"/>
                <w:b/>
                <w:sz w:val="24"/>
              </w:rPr>
            </w:pPr>
            <w:r w:rsidRPr="00FB4772">
              <w:rPr>
                <w:rFonts w:ascii="TimesNewRoman" w:hAnsi="宋体" w:hint="eastAsia"/>
                <w:b/>
                <w:sz w:val="24"/>
              </w:rPr>
              <w:t>7</w:t>
            </w:r>
            <w:r w:rsidRPr="00FB4772">
              <w:rPr>
                <w:rFonts w:ascii="TimesNewRoman" w:hAnsi="宋体" w:hint="eastAsia"/>
                <w:b/>
                <w:sz w:val="24"/>
              </w:rPr>
              <w:t>、新“国九条”对分红提出具体要求，公司目前的分红现状是否会触及</w:t>
            </w:r>
            <w:r w:rsidRPr="00FB4772">
              <w:rPr>
                <w:rFonts w:ascii="TimesNewRoman" w:hAnsi="宋体" w:hint="eastAsia"/>
                <w:b/>
                <w:sz w:val="24"/>
              </w:rPr>
              <w:t>ST</w:t>
            </w:r>
            <w:r w:rsidRPr="00FB4772">
              <w:rPr>
                <w:rFonts w:ascii="TimesNewRoman" w:hAnsi="宋体" w:hint="eastAsia"/>
                <w:b/>
                <w:sz w:val="24"/>
              </w:rPr>
              <w:t>？未来公司分红政策会做哪些调整？</w:t>
            </w:r>
          </w:p>
          <w:p w14:paraId="07F19048" w14:textId="22E1C300" w:rsidR="00947863" w:rsidRPr="00947863" w:rsidRDefault="005878E3" w:rsidP="00FB4772">
            <w:pPr>
              <w:spacing w:line="276" w:lineRule="auto"/>
              <w:rPr>
                <w:rFonts w:ascii="TimesNewRoman" w:hAnsi="宋体" w:hint="eastAsia"/>
                <w:sz w:val="24"/>
              </w:rPr>
            </w:pPr>
            <w:r w:rsidRPr="00947863">
              <w:rPr>
                <w:rFonts w:ascii="TimesNewRoman" w:hAnsi="宋体" w:hint="eastAsia"/>
                <w:sz w:val="24"/>
              </w:rPr>
              <w:t>复：尊敬的投资者您好！</w:t>
            </w:r>
            <w:r w:rsidRPr="005878E3">
              <w:rPr>
                <w:rFonts w:ascii="TimesNewRoman" w:hAnsi="宋体" w:hint="eastAsia"/>
                <w:sz w:val="24"/>
              </w:rPr>
              <w:t>根据现有法规规定，公司未触发上述被实施其他风险警示的情形。公司根据新政策要求及时修订公司章程及相关制度条款，严格按照分红政策的要求制定分红方案，重视对投资者的合理回报。未来，公司将继续深耕高端装备行业，坚持打造核心拳头产品。全面聚焦主业发展，进一步优化管理体系，实现降本增效，以发展新质生产力为引擎，助力公司高质量发展，积极回报投资者。感谢关注！</w:t>
            </w:r>
          </w:p>
        </w:tc>
      </w:tr>
      <w:tr w:rsidR="0047551A" w:rsidRPr="0047551A" w14:paraId="5FA4CD21" w14:textId="77777777" w:rsidTr="00575C51">
        <w:trPr>
          <w:trHeight w:val="387"/>
          <w:jc w:val="center"/>
        </w:trPr>
        <w:tc>
          <w:tcPr>
            <w:tcW w:w="1908" w:type="dxa"/>
          </w:tcPr>
          <w:p w14:paraId="74357D01" w14:textId="77777777" w:rsidR="00606691" w:rsidRPr="0047551A" w:rsidRDefault="00606691" w:rsidP="002749ED">
            <w:pPr>
              <w:spacing w:line="480" w:lineRule="atLeast"/>
              <w:rPr>
                <w:rFonts w:ascii="TimesNewRoman" w:hAnsi="宋体"/>
                <w:b/>
                <w:color w:val="000000" w:themeColor="text1"/>
                <w:sz w:val="24"/>
              </w:rPr>
            </w:pPr>
            <w:r w:rsidRPr="0047551A">
              <w:rPr>
                <w:rFonts w:ascii="TimesNewRoman" w:hAnsi="宋体" w:hint="eastAsia"/>
                <w:b/>
                <w:color w:val="000000" w:themeColor="text1"/>
                <w:sz w:val="24"/>
              </w:rPr>
              <w:lastRenderedPageBreak/>
              <w:t>附件清单（如有）</w:t>
            </w:r>
          </w:p>
        </w:tc>
        <w:tc>
          <w:tcPr>
            <w:tcW w:w="7521" w:type="dxa"/>
          </w:tcPr>
          <w:p w14:paraId="430987A0" w14:textId="77777777" w:rsidR="00606691" w:rsidRPr="0047551A" w:rsidRDefault="00606691" w:rsidP="000D29EC">
            <w:pPr>
              <w:spacing w:line="480" w:lineRule="atLeast"/>
              <w:rPr>
                <w:rFonts w:ascii="TimesNewRoman" w:hAnsi="宋体"/>
                <w:color w:val="000000" w:themeColor="text1"/>
                <w:sz w:val="24"/>
              </w:rPr>
            </w:pPr>
            <w:r w:rsidRPr="0047551A">
              <w:rPr>
                <w:rFonts w:ascii="TimesNewRoman" w:hAnsi="宋体" w:hint="eastAsia"/>
                <w:color w:val="000000" w:themeColor="text1"/>
                <w:sz w:val="24"/>
                <w:szCs w:val="24"/>
              </w:rPr>
              <w:t>无</w:t>
            </w:r>
          </w:p>
        </w:tc>
      </w:tr>
      <w:tr w:rsidR="00D3704D" w:rsidRPr="0047551A" w14:paraId="4B38FE2A" w14:textId="77777777" w:rsidTr="00575C51">
        <w:trPr>
          <w:jc w:val="center"/>
        </w:trPr>
        <w:tc>
          <w:tcPr>
            <w:tcW w:w="1908" w:type="dxa"/>
            <w:vAlign w:val="center"/>
          </w:tcPr>
          <w:p w14:paraId="505E5A2E" w14:textId="77777777" w:rsidR="00D3704D" w:rsidRPr="0047551A" w:rsidRDefault="00D3704D" w:rsidP="002749ED">
            <w:pPr>
              <w:spacing w:line="480" w:lineRule="atLeast"/>
              <w:rPr>
                <w:rFonts w:ascii="TimesNewRoman" w:hAnsi="TimesNewRoman" w:hint="eastAsia"/>
                <w:b/>
                <w:color w:val="000000" w:themeColor="text1"/>
                <w:sz w:val="24"/>
              </w:rPr>
            </w:pPr>
            <w:r w:rsidRPr="0047551A">
              <w:rPr>
                <w:rFonts w:ascii="TimesNewRoman" w:hAnsi="宋体" w:hint="eastAsia"/>
                <w:b/>
                <w:color w:val="000000" w:themeColor="text1"/>
                <w:sz w:val="24"/>
              </w:rPr>
              <w:t>日期</w:t>
            </w:r>
          </w:p>
        </w:tc>
        <w:tc>
          <w:tcPr>
            <w:tcW w:w="7521" w:type="dxa"/>
          </w:tcPr>
          <w:p w14:paraId="4EB685D4" w14:textId="48D4A09C" w:rsidR="00D3704D" w:rsidRPr="0047551A" w:rsidRDefault="00C04DF9" w:rsidP="00145870">
            <w:pPr>
              <w:spacing w:line="480" w:lineRule="atLeast"/>
              <w:rPr>
                <w:rFonts w:ascii="TimesNewRoman" w:hAnsi="TimesNewRoman" w:hint="eastAsia"/>
                <w:color w:val="000000" w:themeColor="text1"/>
                <w:sz w:val="24"/>
                <w:szCs w:val="24"/>
              </w:rPr>
            </w:pPr>
            <w:r w:rsidRPr="0047551A">
              <w:rPr>
                <w:rFonts w:ascii="TimesNewRoman" w:hAnsi="宋体" w:hint="eastAsia"/>
                <w:color w:val="000000" w:themeColor="text1"/>
                <w:sz w:val="24"/>
                <w:szCs w:val="24"/>
              </w:rPr>
              <w:t>2</w:t>
            </w:r>
            <w:r w:rsidRPr="0047551A">
              <w:rPr>
                <w:rFonts w:ascii="TimesNewRoman" w:hAnsi="宋体"/>
                <w:color w:val="000000" w:themeColor="text1"/>
                <w:sz w:val="24"/>
                <w:szCs w:val="24"/>
              </w:rPr>
              <w:t>02</w:t>
            </w:r>
            <w:r w:rsidR="00145870">
              <w:rPr>
                <w:rFonts w:ascii="TimesNewRoman" w:hAnsi="宋体" w:hint="eastAsia"/>
                <w:color w:val="000000" w:themeColor="text1"/>
                <w:sz w:val="24"/>
                <w:szCs w:val="24"/>
              </w:rPr>
              <w:t>4</w:t>
            </w:r>
            <w:r w:rsidR="00D3704D" w:rsidRPr="0047551A">
              <w:rPr>
                <w:rFonts w:ascii="TimesNewRoman" w:hAnsi="宋体" w:hint="eastAsia"/>
                <w:color w:val="000000" w:themeColor="text1"/>
                <w:sz w:val="24"/>
                <w:szCs w:val="24"/>
              </w:rPr>
              <w:t>年</w:t>
            </w:r>
            <w:r w:rsidR="009D2D7D" w:rsidRPr="0047551A">
              <w:rPr>
                <w:rFonts w:ascii="TimesNewRoman" w:hAnsi="宋体" w:hint="eastAsia"/>
                <w:color w:val="000000" w:themeColor="text1"/>
                <w:sz w:val="24"/>
                <w:szCs w:val="24"/>
              </w:rPr>
              <w:t xml:space="preserve"> </w:t>
            </w:r>
            <w:r w:rsidR="00CA22A8">
              <w:rPr>
                <w:rFonts w:ascii="TimesNewRoman" w:hAnsi="宋体"/>
                <w:color w:val="000000" w:themeColor="text1"/>
                <w:sz w:val="24"/>
                <w:szCs w:val="24"/>
              </w:rPr>
              <w:t>5</w:t>
            </w:r>
            <w:r w:rsidR="00D3704D" w:rsidRPr="0047551A">
              <w:rPr>
                <w:rFonts w:ascii="TimesNewRoman" w:hAnsi="宋体" w:hint="eastAsia"/>
                <w:color w:val="000000" w:themeColor="text1"/>
                <w:sz w:val="24"/>
                <w:szCs w:val="24"/>
              </w:rPr>
              <w:t>月</w:t>
            </w:r>
            <w:r w:rsidR="00145870">
              <w:rPr>
                <w:rFonts w:ascii="TimesNewRoman" w:hAnsi="TimesNewRoman" w:hint="eastAsia"/>
                <w:color w:val="000000" w:themeColor="text1"/>
                <w:sz w:val="24"/>
                <w:szCs w:val="24"/>
              </w:rPr>
              <w:t>9</w:t>
            </w:r>
            <w:r w:rsidR="00D3704D" w:rsidRPr="0047551A">
              <w:rPr>
                <w:rFonts w:ascii="TimesNewRoman" w:hAnsi="宋体" w:hint="eastAsia"/>
                <w:color w:val="000000" w:themeColor="text1"/>
                <w:sz w:val="24"/>
                <w:szCs w:val="24"/>
              </w:rPr>
              <w:t>日</w:t>
            </w:r>
          </w:p>
        </w:tc>
      </w:tr>
    </w:tbl>
    <w:p w14:paraId="708B8FF0" w14:textId="77777777" w:rsidR="00134783" w:rsidRPr="0047551A" w:rsidRDefault="00134783" w:rsidP="00575C51">
      <w:pPr>
        <w:rPr>
          <w:rFonts w:ascii="TimesNewRoman" w:hAnsi="TimesNewRoman" w:hint="eastAsia"/>
          <w:color w:val="000000" w:themeColor="text1"/>
        </w:rPr>
      </w:pPr>
    </w:p>
    <w:sectPr w:rsidR="00134783" w:rsidRPr="0047551A" w:rsidSect="002749ED">
      <w:footerReference w:type="default" r:id="rId8"/>
      <w:pgSz w:w="11906" w:h="16838"/>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006C77" w14:textId="77777777" w:rsidR="00401D4D" w:rsidRDefault="00401D4D" w:rsidP="00D3704D">
      <w:r>
        <w:separator/>
      </w:r>
    </w:p>
  </w:endnote>
  <w:endnote w:type="continuationSeparator" w:id="0">
    <w:p w14:paraId="7FB89DC7" w14:textId="77777777" w:rsidR="00401D4D" w:rsidRDefault="00401D4D" w:rsidP="00D370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NewRoman">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2555993"/>
      <w:docPartObj>
        <w:docPartGallery w:val="Page Numbers (Bottom of Page)"/>
        <w:docPartUnique/>
      </w:docPartObj>
    </w:sdtPr>
    <w:sdtEndPr/>
    <w:sdtContent>
      <w:p w14:paraId="1B053ACE" w14:textId="0AA9A6CD" w:rsidR="00081817" w:rsidRDefault="00081817">
        <w:pPr>
          <w:pStyle w:val="a5"/>
          <w:jc w:val="center"/>
        </w:pPr>
        <w:r>
          <w:fldChar w:fldCharType="begin"/>
        </w:r>
        <w:r>
          <w:instrText>PAGE   \* MERGEFORMAT</w:instrText>
        </w:r>
        <w:r>
          <w:fldChar w:fldCharType="separate"/>
        </w:r>
        <w:r w:rsidR="00194F3F" w:rsidRPr="00194F3F">
          <w:rPr>
            <w:noProof/>
            <w:lang w:val="zh-CN"/>
          </w:rPr>
          <w:t>1</w:t>
        </w:r>
        <w:r>
          <w:fldChar w:fldCharType="end"/>
        </w:r>
      </w:p>
    </w:sdtContent>
  </w:sdt>
  <w:p w14:paraId="32ADB6BF" w14:textId="77777777" w:rsidR="00081817" w:rsidRDefault="0008181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38218C" w14:textId="77777777" w:rsidR="00401D4D" w:rsidRDefault="00401D4D" w:rsidP="00D3704D">
      <w:r>
        <w:separator/>
      </w:r>
    </w:p>
  </w:footnote>
  <w:footnote w:type="continuationSeparator" w:id="0">
    <w:p w14:paraId="53CDBE5B" w14:textId="77777777" w:rsidR="00401D4D" w:rsidRDefault="00401D4D" w:rsidP="00D370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AA59FB"/>
    <w:multiLevelType w:val="hybridMultilevel"/>
    <w:tmpl w:val="7E062644"/>
    <w:lvl w:ilvl="0" w:tplc="A502BDB0">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CN" w:vendorID="64" w:dllVersion="131077" w:nlCheck="1" w:checkStyle="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04D"/>
    <w:rsid w:val="00007235"/>
    <w:rsid w:val="00007434"/>
    <w:rsid w:val="00007A64"/>
    <w:rsid w:val="0001134B"/>
    <w:rsid w:val="00016D7C"/>
    <w:rsid w:val="00041BD6"/>
    <w:rsid w:val="00045A41"/>
    <w:rsid w:val="000649C3"/>
    <w:rsid w:val="00081817"/>
    <w:rsid w:val="00082349"/>
    <w:rsid w:val="000846EC"/>
    <w:rsid w:val="000963FF"/>
    <w:rsid w:val="000A6856"/>
    <w:rsid w:val="000C3C4B"/>
    <w:rsid w:val="000D0E7C"/>
    <w:rsid w:val="000D29EC"/>
    <w:rsid w:val="000F1006"/>
    <w:rsid w:val="00100FB7"/>
    <w:rsid w:val="001123B3"/>
    <w:rsid w:val="001254C0"/>
    <w:rsid w:val="00132274"/>
    <w:rsid w:val="00134783"/>
    <w:rsid w:val="00136249"/>
    <w:rsid w:val="00136A3B"/>
    <w:rsid w:val="00140353"/>
    <w:rsid w:val="00145870"/>
    <w:rsid w:val="0014748C"/>
    <w:rsid w:val="00163F1B"/>
    <w:rsid w:val="001662AD"/>
    <w:rsid w:val="00174E5B"/>
    <w:rsid w:val="001752A3"/>
    <w:rsid w:val="0018028C"/>
    <w:rsid w:val="00181FB2"/>
    <w:rsid w:val="001828EB"/>
    <w:rsid w:val="0018610C"/>
    <w:rsid w:val="00194F3F"/>
    <w:rsid w:val="001A5A36"/>
    <w:rsid w:val="001A6A42"/>
    <w:rsid w:val="001C1223"/>
    <w:rsid w:val="001C59B7"/>
    <w:rsid w:val="001C6DC4"/>
    <w:rsid w:val="001F4725"/>
    <w:rsid w:val="00206444"/>
    <w:rsid w:val="002137E2"/>
    <w:rsid w:val="002264AA"/>
    <w:rsid w:val="0023721D"/>
    <w:rsid w:val="00241ED6"/>
    <w:rsid w:val="00246516"/>
    <w:rsid w:val="00256CBC"/>
    <w:rsid w:val="002633B7"/>
    <w:rsid w:val="002713D9"/>
    <w:rsid w:val="002749ED"/>
    <w:rsid w:val="00281C82"/>
    <w:rsid w:val="002910E9"/>
    <w:rsid w:val="002932A1"/>
    <w:rsid w:val="00293B2A"/>
    <w:rsid w:val="002941F4"/>
    <w:rsid w:val="002A5EDA"/>
    <w:rsid w:val="002B2BC2"/>
    <w:rsid w:val="002B7F22"/>
    <w:rsid w:val="002C249C"/>
    <w:rsid w:val="002C2A88"/>
    <w:rsid w:val="002D60DE"/>
    <w:rsid w:val="002D7AAC"/>
    <w:rsid w:val="003017A7"/>
    <w:rsid w:val="00312019"/>
    <w:rsid w:val="00316A4E"/>
    <w:rsid w:val="00322B99"/>
    <w:rsid w:val="0032749B"/>
    <w:rsid w:val="0033388C"/>
    <w:rsid w:val="00337761"/>
    <w:rsid w:val="0034225E"/>
    <w:rsid w:val="00350008"/>
    <w:rsid w:val="00366D14"/>
    <w:rsid w:val="00370EE6"/>
    <w:rsid w:val="003711B6"/>
    <w:rsid w:val="003927D7"/>
    <w:rsid w:val="003A4BC5"/>
    <w:rsid w:val="003A6AD9"/>
    <w:rsid w:val="003B678A"/>
    <w:rsid w:val="003C23EA"/>
    <w:rsid w:val="003D0B0D"/>
    <w:rsid w:val="003E6CF9"/>
    <w:rsid w:val="003F018A"/>
    <w:rsid w:val="003F1AE1"/>
    <w:rsid w:val="003F251F"/>
    <w:rsid w:val="00401D4D"/>
    <w:rsid w:val="00402CC2"/>
    <w:rsid w:val="00415E89"/>
    <w:rsid w:val="00416724"/>
    <w:rsid w:val="00421CAC"/>
    <w:rsid w:val="00422D27"/>
    <w:rsid w:val="004401A3"/>
    <w:rsid w:val="004422C1"/>
    <w:rsid w:val="0044659F"/>
    <w:rsid w:val="0044774A"/>
    <w:rsid w:val="004511AD"/>
    <w:rsid w:val="00455EC7"/>
    <w:rsid w:val="0046364D"/>
    <w:rsid w:val="00471670"/>
    <w:rsid w:val="00474CEB"/>
    <w:rsid w:val="0047551A"/>
    <w:rsid w:val="00490731"/>
    <w:rsid w:val="0049488E"/>
    <w:rsid w:val="004A0EBC"/>
    <w:rsid w:val="004B2D4B"/>
    <w:rsid w:val="004C4573"/>
    <w:rsid w:val="004C57EA"/>
    <w:rsid w:val="004C6D8D"/>
    <w:rsid w:val="004D2728"/>
    <w:rsid w:val="004F3751"/>
    <w:rsid w:val="004F605B"/>
    <w:rsid w:val="00502D46"/>
    <w:rsid w:val="00506085"/>
    <w:rsid w:val="00511DA7"/>
    <w:rsid w:val="00526844"/>
    <w:rsid w:val="00532440"/>
    <w:rsid w:val="005341CB"/>
    <w:rsid w:val="00537F78"/>
    <w:rsid w:val="00550615"/>
    <w:rsid w:val="00551555"/>
    <w:rsid w:val="00575C51"/>
    <w:rsid w:val="0058211F"/>
    <w:rsid w:val="005878E3"/>
    <w:rsid w:val="00587D04"/>
    <w:rsid w:val="0059469B"/>
    <w:rsid w:val="005A4790"/>
    <w:rsid w:val="005B5582"/>
    <w:rsid w:val="005B6EB0"/>
    <w:rsid w:val="005C1B38"/>
    <w:rsid w:val="005C7F55"/>
    <w:rsid w:val="005E11B8"/>
    <w:rsid w:val="005F06D4"/>
    <w:rsid w:val="00601EB3"/>
    <w:rsid w:val="00606691"/>
    <w:rsid w:val="00633E3A"/>
    <w:rsid w:val="00656DC0"/>
    <w:rsid w:val="00664FB0"/>
    <w:rsid w:val="00674522"/>
    <w:rsid w:val="00691AD0"/>
    <w:rsid w:val="006946AA"/>
    <w:rsid w:val="006A52E0"/>
    <w:rsid w:val="006A6F3C"/>
    <w:rsid w:val="006C21D6"/>
    <w:rsid w:val="006D42A9"/>
    <w:rsid w:val="006D59F1"/>
    <w:rsid w:val="006E18AA"/>
    <w:rsid w:val="006F05CE"/>
    <w:rsid w:val="006F3FA6"/>
    <w:rsid w:val="0070033E"/>
    <w:rsid w:val="00701DB0"/>
    <w:rsid w:val="00704870"/>
    <w:rsid w:val="007116B0"/>
    <w:rsid w:val="00717633"/>
    <w:rsid w:val="00722173"/>
    <w:rsid w:val="00727BEB"/>
    <w:rsid w:val="00727C04"/>
    <w:rsid w:val="0073572A"/>
    <w:rsid w:val="00741124"/>
    <w:rsid w:val="007455B6"/>
    <w:rsid w:val="00746AA1"/>
    <w:rsid w:val="007504E7"/>
    <w:rsid w:val="00756BF8"/>
    <w:rsid w:val="007640EC"/>
    <w:rsid w:val="0076447D"/>
    <w:rsid w:val="00777579"/>
    <w:rsid w:val="007821B2"/>
    <w:rsid w:val="007933A1"/>
    <w:rsid w:val="007B76EC"/>
    <w:rsid w:val="007D4640"/>
    <w:rsid w:val="007E0E61"/>
    <w:rsid w:val="007E49F6"/>
    <w:rsid w:val="007E7623"/>
    <w:rsid w:val="008034E4"/>
    <w:rsid w:val="00812B86"/>
    <w:rsid w:val="00816D5A"/>
    <w:rsid w:val="00822259"/>
    <w:rsid w:val="00825D5E"/>
    <w:rsid w:val="00847AFF"/>
    <w:rsid w:val="00847C3F"/>
    <w:rsid w:val="00871A26"/>
    <w:rsid w:val="00877186"/>
    <w:rsid w:val="00883D42"/>
    <w:rsid w:val="008A130A"/>
    <w:rsid w:val="008A13EF"/>
    <w:rsid w:val="008B460B"/>
    <w:rsid w:val="008C175B"/>
    <w:rsid w:val="008C2CC0"/>
    <w:rsid w:val="008C6760"/>
    <w:rsid w:val="008E1538"/>
    <w:rsid w:val="008E246B"/>
    <w:rsid w:val="008E2BFB"/>
    <w:rsid w:val="008E7682"/>
    <w:rsid w:val="008E76FF"/>
    <w:rsid w:val="008F1F47"/>
    <w:rsid w:val="008F70F5"/>
    <w:rsid w:val="008F7B85"/>
    <w:rsid w:val="00900C17"/>
    <w:rsid w:val="009027BF"/>
    <w:rsid w:val="009204B8"/>
    <w:rsid w:val="00924D44"/>
    <w:rsid w:val="00932A6C"/>
    <w:rsid w:val="00941380"/>
    <w:rsid w:val="00943D37"/>
    <w:rsid w:val="00943E94"/>
    <w:rsid w:val="00947863"/>
    <w:rsid w:val="0095733F"/>
    <w:rsid w:val="00986394"/>
    <w:rsid w:val="009949FE"/>
    <w:rsid w:val="009A2BDB"/>
    <w:rsid w:val="009A64A5"/>
    <w:rsid w:val="009B1061"/>
    <w:rsid w:val="009C0B5A"/>
    <w:rsid w:val="009C50BB"/>
    <w:rsid w:val="009D0B5E"/>
    <w:rsid w:val="009D11B8"/>
    <w:rsid w:val="009D2D7D"/>
    <w:rsid w:val="009D5F85"/>
    <w:rsid w:val="009E0AD4"/>
    <w:rsid w:val="009E1DF1"/>
    <w:rsid w:val="009E68F0"/>
    <w:rsid w:val="009F68B1"/>
    <w:rsid w:val="00A02A37"/>
    <w:rsid w:val="00A0744B"/>
    <w:rsid w:val="00A113FC"/>
    <w:rsid w:val="00A11C23"/>
    <w:rsid w:val="00A30CC8"/>
    <w:rsid w:val="00A57249"/>
    <w:rsid w:val="00A60105"/>
    <w:rsid w:val="00A64ABE"/>
    <w:rsid w:val="00A736DB"/>
    <w:rsid w:val="00A7584E"/>
    <w:rsid w:val="00A92AD4"/>
    <w:rsid w:val="00A931C5"/>
    <w:rsid w:val="00AA0E54"/>
    <w:rsid w:val="00AA7CF7"/>
    <w:rsid w:val="00AB6086"/>
    <w:rsid w:val="00AD4C75"/>
    <w:rsid w:val="00AE7FF6"/>
    <w:rsid w:val="00AF6F58"/>
    <w:rsid w:val="00B00CDE"/>
    <w:rsid w:val="00B11A28"/>
    <w:rsid w:val="00B246C1"/>
    <w:rsid w:val="00B37BD0"/>
    <w:rsid w:val="00B37DDB"/>
    <w:rsid w:val="00B40F71"/>
    <w:rsid w:val="00B42907"/>
    <w:rsid w:val="00B44048"/>
    <w:rsid w:val="00B45FBA"/>
    <w:rsid w:val="00B559A3"/>
    <w:rsid w:val="00B7520F"/>
    <w:rsid w:val="00B85DA8"/>
    <w:rsid w:val="00B87599"/>
    <w:rsid w:val="00B90BC3"/>
    <w:rsid w:val="00B94466"/>
    <w:rsid w:val="00BA73F6"/>
    <w:rsid w:val="00BB2769"/>
    <w:rsid w:val="00BB2DB5"/>
    <w:rsid w:val="00BB47EF"/>
    <w:rsid w:val="00BB7D88"/>
    <w:rsid w:val="00BC7406"/>
    <w:rsid w:val="00BE22AF"/>
    <w:rsid w:val="00BE4D98"/>
    <w:rsid w:val="00BF1090"/>
    <w:rsid w:val="00BF3679"/>
    <w:rsid w:val="00C04DF9"/>
    <w:rsid w:val="00C11C7A"/>
    <w:rsid w:val="00C25D36"/>
    <w:rsid w:val="00C30B8F"/>
    <w:rsid w:val="00C320A4"/>
    <w:rsid w:val="00C35433"/>
    <w:rsid w:val="00C45EC5"/>
    <w:rsid w:val="00C64189"/>
    <w:rsid w:val="00C746E2"/>
    <w:rsid w:val="00C841CB"/>
    <w:rsid w:val="00CA22A8"/>
    <w:rsid w:val="00CA6204"/>
    <w:rsid w:val="00CA774D"/>
    <w:rsid w:val="00CD03F9"/>
    <w:rsid w:val="00CE3A25"/>
    <w:rsid w:val="00CE3BE3"/>
    <w:rsid w:val="00D004CF"/>
    <w:rsid w:val="00D20834"/>
    <w:rsid w:val="00D21866"/>
    <w:rsid w:val="00D305D4"/>
    <w:rsid w:val="00D310AF"/>
    <w:rsid w:val="00D3704D"/>
    <w:rsid w:val="00D5243A"/>
    <w:rsid w:val="00D57055"/>
    <w:rsid w:val="00D654EC"/>
    <w:rsid w:val="00D66C56"/>
    <w:rsid w:val="00D75691"/>
    <w:rsid w:val="00D9280E"/>
    <w:rsid w:val="00D934AE"/>
    <w:rsid w:val="00DA1279"/>
    <w:rsid w:val="00DA2DE9"/>
    <w:rsid w:val="00DA48B4"/>
    <w:rsid w:val="00DA6B6B"/>
    <w:rsid w:val="00DB0B87"/>
    <w:rsid w:val="00DC3E35"/>
    <w:rsid w:val="00DC6488"/>
    <w:rsid w:val="00DD553E"/>
    <w:rsid w:val="00DE1483"/>
    <w:rsid w:val="00DE56A1"/>
    <w:rsid w:val="00E05343"/>
    <w:rsid w:val="00E23AE5"/>
    <w:rsid w:val="00E3771B"/>
    <w:rsid w:val="00E41DBA"/>
    <w:rsid w:val="00E425C7"/>
    <w:rsid w:val="00E42D0D"/>
    <w:rsid w:val="00E51CE7"/>
    <w:rsid w:val="00E542BE"/>
    <w:rsid w:val="00E56DEF"/>
    <w:rsid w:val="00E62CC4"/>
    <w:rsid w:val="00E67912"/>
    <w:rsid w:val="00E73989"/>
    <w:rsid w:val="00E772E3"/>
    <w:rsid w:val="00E80235"/>
    <w:rsid w:val="00E83A63"/>
    <w:rsid w:val="00EA6167"/>
    <w:rsid w:val="00EA759E"/>
    <w:rsid w:val="00EB1469"/>
    <w:rsid w:val="00EC1D56"/>
    <w:rsid w:val="00EC4BAE"/>
    <w:rsid w:val="00EE62D5"/>
    <w:rsid w:val="00EE7ADB"/>
    <w:rsid w:val="00EF3B7D"/>
    <w:rsid w:val="00F019FE"/>
    <w:rsid w:val="00F01A7F"/>
    <w:rsid w:val="00F02620"/>
    <w:rsid w:val="00F06CF7"/>
    <w:rsid w:val="00F10609"/>
    <w:rsid w:val="00F22C6B"/>
    <w:rsid w:val="00F22E84"/>
    <w:rsid w:val="00F313A6"/>
    <w:rsid w:val="00F317EE"/>
    <w:rsid w:val="00F32670"/>
    <w:rsid w:val="00F55421"/>
    <w:rsid w:val="00F575CB"/>
    <w:rsid w:val="00F6410B"/>
    <w:rsid w:val="00F67693"/>
    <w:rsid w:val="00F8703D"/>
    <w:rsid w:val="00F87203"/>
    <w:rsid w:val="00F91AFD"/>
    <w:rsid w:val="00F95DD9"/>
    <w:rsid w:val="00F97B2F"/>
    <w:rsid w:val="00FB20BD"/>
    <w:rsid w:val="00FB4772"/>
    <w:rsid w:val="00FB739E"/>
    <w:rsid w:val="00FC0A2D"/>
    <w:rsid w:val="00FD064F"/>
    <w:rsid w:val="00FD7484"/>
    <w:rsid w:val="00FE669E"/>
    <w:rsid w:val="00FF11B5"/>
    <w:rsid w:val="00FF214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C298EE"/>
  <w15:docId w15:val="{79E03F1B-26AB-41F1-8057-6B65AB54F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704D"/>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3704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D3704D"/>
    <w:rPr>
      <w:sz w:val="18"/>
      <w:szCs w:val="18"/>
    </w:rPr>
  </w:style>
  <w:style w:type="paragraph" w:styleId="a5">
    <w:name w:val="footer"/>
    <w:basedOn w:val="a"/>
    <w:link w:val="a6"/>
    <w:uiPriority w:val="99"/>
    <w:unhideWhenUsed/>
    <w:rsid w:val="00D3704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D3704D"/>
    <w:rPr>
      <w:sz w:val="18"/>
      <w:szCs w:val="18"/>
    </w:rPr>
  </w:style>
  <w:style w:type="paragraph" w:customStyle="1" w:styleId="Default">
    <w:name w:val="Default"/>
    <w:rsid w:val="00B246C1"/>
    <w:pPr>
      <w:widowControl w:val="0"/>
      <w:autoSpaceDE w:val="0"/>
      <w:autoSpaceDN w:val="0"/>
      <w:adjustRightInd w:val="0"/>
    </w:pPr>
    <w:rPr>
      <w:rFonts w:ascii="宋体" w:eastAsia="宋体" w:cs="宋体"/>
      <w:color w:val="000000"/>
      <w:kern w:val="0"/>
      <w:sz w:val="24"/>
      <w:szCs w:val="24"/>
    </w:rPr>
  </w:style>
  <w:style w:type="character" w:styleId="a7">
    <w:name w:val="annotation reference"/>
    <w:basedOn w:val="a0"/>
    <w:uiPriority w:val="99"/>
    <w:semiHidden/>
    <w:unhideWhenUsed/>
    <w:rsid w:val="00941380"/>
    <w:rPr>
      <w:sz w:val="21"/>
      <w:szCs w:val="21"/>
    </w:rPr>
  </w:style>
  <w:style w:type="paragraph" w:styleId="a8">
    <w:name w:val="annotation text"/>
    <w:basedOn w:val="a"/>
    <w:link w:val="a9"/>
    <w:uiPriority w:val="99"/>
    <w:semiHidden/>
    <w:unhideWhenUsed/>
    <w:rsid w:val="00941380"/>
    <w:pPr>
      <w:jc w:val="left"/>
    </w:pPr>
  </w:style>
  <w:style w:type="character" w:customStyle="1" w:styleId="a9">
    <w:name w:val="批注文字 字符"/>
    <w:basedOn w:val="a0"/>
    <w:link w:val="a8"/>
    <w:uiPriority w:val="99"/>
    <w:semiHidden/>
    <w:rsid w:val="00941380"/>
    <w:rPr>
      <w:rFonts w:ascii="Times New Roman" w:eastAsia="宋体" w:hAnsi="Times New Roman" w:cs="Times New Roman"/>
      <w:szCs w:val="20"/>
    </w:rPr>
  </w:style>
  <w:style w:type="paragraph" w:styleId="aa">
    <w:name w:val="annotation subject"/>
    <w:basedOn w:val="a8"/>
    <w:next w:val="a8"/>
    <w:link w:val="ab"/>
    <w:uiPriority w:val="99"/>
    <w:semiHidden/>
    <w:unhideWhenUsed/>
    <w:rsid w:val="00941380"/>
    <w:rPr>
      <w:b/>
      <w:bCs/>
    </w:rPr>
  </w:style>
  <w:style w:type="character" w:customStyle="1" w:styleId="ab">
    <w:name w:val="批注主题 字符"/>
    <w:basedOn w:val="a9"/>
    <w:link w:val="aa"/>
    <w:uiPriority w:val="99"/>
    <w:semiHidden/>
    <w:rsid w:val="00941380"/>
    <w:rPr>
      <w:rFonts w:ascii="Times New Roman" w:eastAsia="宋体" w:hAnsi="Times New Roman" w:cs="Times New Roman"/>
      <w:b/>
      <w:bCs/>
      <w:szCs w:val="20"/>
    </w:rPr>
  </w:style>
  <w:style w:type="paragraph" w:styleId="ac">
    <w:name w:val="Balloon Text"/>
    <w:basedOn w:val="a"/>
    <w:link w:val="ad"/>
    <w:uiPriority w:val="99"/>
    <w:semiHidden/>
    <w:unhideWhenUsed/>
    <w:rsid w:val="00941380"/>
    <w:rPr>
      <w:sz w:val="18"/>
      <w:szCs w:val="18"/>
    </w:rPr>
  </w:style>
  <w:style w:type="character" w:customStyle="1" w:styleId="ad">
    <w:name w:val="批注框文本 字符"/>
    <w:basedOn w:val="a0"/>
    <w:link w:val="ac"/>
    <w:uiPriority w:val="99"/>
    <w:semiHidden/>
    <w:rsid w:val="00941380"/>
    <w:rPr>
      <w:rFonts w:ascii="Times New Roman" w:eastAsia="宋体" w:hAnsi="Times New Roman" w:cs="Times New Roman"/>
      <w:sz w:val="18"/>
      <w:szCs w:val="18"/>
    </w:rPr>
  </w:style>
  <w:style w:type="character" w:customStyle="1" w:styleId="hrefstyle">
    <w:name w:val="hrefstyle"/>
    <w:basedOn w:val="a0"/>
    <w:rsid w:val="00A30CC8"/>
  </w:style>
  <w:style w:type="character" w:styleId="ae">
    <w:name w:val="Emphasis"/>
    <w:basedOn w:val="a0"/>
    <w:uiPriority w:val="20"/>
    <w:qFormat/>
    <w:rsid w:val="000A6856"/>
    <w:rPr>
      <w:i/>
      <w:iCs/>
    </w:rPr>
  </w:style>
  <w:style w:type="paragraph" w:styleId="af">
    <w:name w:val="Normal (Web)"/>
    <w:basedOn w:val="a"/>
    <w:uiPriority w:val="99"/>
    <w:unhideWhenUsed/>
    <w:rsid w:val="007933A1"/>
    <w:pPr>
      <w:widowControl/>
      <w:spacing w:before="100" w:beforeAutospacing="1" w:after="100" w:afterAutospacing="1"/>
      <w:jc w:val="left"/>
    </w:pPr>
    <w:rPr>
      <w:rFonts w:ascii="宋体" w:hAnsi="宋体" w:cs="宋体"/>
      <w:kern w:val="0"/>
      <w:sz w:val="24"/>
      <w:szCs w:val="24"/>
    </w:rPr>
  </w:style>
  <w:style w:type="paragraph" w:styleId="af0">
    <w:name w:val="List Paragraph"/>
    <w:basedOn w:val="a"/>
    <w:uiPriority w:val="34"/>
    <w:qFormat/>
    <w:rsid w:val="00134783"/>
    <w:pPr>
      <w:ind w:firstLineChars="200" w:firstLine="420"/>
    </w:pPr>
    <w:rPr>
      <w:rFonts w:asciiTheme="minorHAnsi" w:eastAsiaTheme="minorEastAsia"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7157925">
      <w:bodyDiv w:val="1"/>
      <w:marLeft w:val="0"/>
      <w:marRight w:val="0"/>
      <w:marTop w:val="0"/>
      <w:marBottom w:val="0"/>
      <w:divBdr>
        <w:top w:val="none" w:sz="0" w:space="0" w:color="auto"/>
        <w:left w:val="none" w:sz="0" w:space="0" w:color="auto"/>
        <w:bottom w:val="none" w:sz="0" w:space="0" w:color="auto"/>
        <w:right w:val="none" w:sz="0" w:space="0" w:color="auto"/>
      </w:divBdr>
    </w:div>
    <w:div w:id="720515459">
      <w:bodyDiv w:val="1"/>
      <w:marLeft w:val="0"/>
      <w:marRight w:val="0"/>
      <w:marTop w:val="0"/>
      <w:marBottom w:val="0"/>
      <w:divBdr>
        <w:top w:val="none" w:sz="0" w:space="0" w:color="auto"/>
        <w:left w:val="none" w:sz="0" w:space="0" w:color="auto"/>
        <w:bottom w:val="none" w:sz="0" w:space="0" w:color="auto"/>
        <w:right w:val="none" w:sz="0" w:space="0" w:color="auto"/>
      </w:divBdr>
    </w:div>
    <w:div w:id="889028245">
      <w:bodyDiv w:val="1"/>
      <w:marLeft w:val="0"/>
      <w:marRight w:val="0"/>
      <w:marTop w:val="0"/>
      <w:marBottom w:val="0"/>
      <w:divBdr>
        <w:top w:val="none" w:sz="0" w:space="0" w:color="auto"/>
        <w:left w:val="none" w:sz="0" w:space="0" w:color="auto"/>
        <w:bottom w:val="none" w:sz="0" w:space="0" w:color="auto"/>
        <w:right w:val="none" w:sz="0" w:space="0" w:color="auto"/>
      </w:divBdr>
    </w:div>
    <w:div w:id="1518807168">
      <w:bodyDiv w:val="1"/>
      <w:marLeft w:val="0"/>
      <w:marRight w:val="0"/>
      <w:marTop w:val="0"/>
      <w:marBottom w:val="0"/>
      <w:divBdr>
        <w:top w:val="none" w:sz="0" w:space="0" w:color="auto"/>
        <w:left w:val="none" w:sz="0" w:space="0" w:color="auto"/>
        <w:bottom w:val="none" w:sz="0" w:space="0" w:color="auto"/>
        <w:right w:val="none" w:sz="0" w:space="0" w:color="auto"/>
      </w:divBdr>
    </w:div>
    <w:div w:id="1557274453">
      <w:bodyDiv w:val="1"/>
      <w:marLeft w:val="0"/>
      <w:marRight w:val="0"/>
      <w:marTop w:val="0"/>
      <w:marBottom w:val="0"/>
      <w:divBdr>
        <w:top w:val="none" w:sz="0" w:space="0" w:color="auto"/>
        <w:left w:val="none" w:sz="0" w:space="0" w:color="auto"/>
        <w:bottom w:val="none" w:sz="0" w:space="0" w:color="auto"/>
        <w:right w:val="none" w:sz="0" w:space="0" w:color="auto"/>
      </w:divBdr>
    </w:div>
    <w:div w:id="1639677147">
      <w:bodyDiv w:val="1"/>
      <w:marLeft w:val="0"/>
      <w:marRight w:val="0"/>
      <w:marTop w:val="0"/>
      <w:marBottom w:val="0"/>
      <w:divBdr>
        <w:top w:val="none" w:sz="0" w:space="0" w:color="auto"/>
        <w:left w:val="none" w:sz="0" w:space="0" w:color="auto"/>
        <w:bottom w:val="none" w:sz="0" w:space="0" w:color="auto"/>
        <w:right w:val="none" w:sz="0" w:space="0" w:color="auto"/>
      </w:divBdr>
    </w:div>
    <w:div w:id="1822116309">
      <w:bodyDiv w:val="1"/>
      <w:marLeft w:val="0"/>
      <w:marRight w:val="0"/>
      <w:marTop w:val="0"/>
      <w:marBottom w:val="0"/>
      <w:divBdr>
        <w:top w:val="none" w:sz="0" w:space="0" w:color="auto"/>
        <w:left w:val="none" w:sz="0" w:space="0" w:color="auto"/>
        <w:bottom w:val="none" w:sz="0" w:space="0" w:color="auto"/>
        <w:right w:val="none" w:sz="0" w:space="0" w:color="auto"/>
      </w:divBdr>
    </w:div>
    <w:div w:id="1875918309">
      <w:bodyDiv w:val="1"/>
      <w:marLeft w:val="0"/>
      <w:marRight w:val="0"/>
      <w:marTop w:val="0"/>
      <w:marBottom w:val="0"/>
      <w:divBdr>
        <w:top w:val="none" w:sz="0" w:space="0" w:color="auto"/>
        <w:left w:val="none" w:sz="0" w:space="0" w:color="auto"/>
        <w:bottom w:val="none" w:sz="0" w:space="0" w:color="auto"/>
        <w:right w:val="none" w:sz="0" w:space="0" w:color="auto"/>
      </w:divBdr>
    </w:div>
    <w:div w:id="1913733952">
      <w:bodyDiv w:val="1"/>
      <w:marLeft w:val="0"/>
      <w:marRight w:val="0"/>
      <w:marTop w:val="0"/>
      <w:marBottom w:val="0"/>
      <w:divBdr>
        <w:top w:val="none" w:sz="0" w:space="0" w:color="auto"/>
        <w:left w:val="none" w:sz="0" w:space="0" w:color="auto"/>
        <w:bottom w:val="none" w:sz="0" w:space="0" w:color="auto"/>
        <w:right w:val="none" w:sz="0" w:space="0" w:color="auto"/>
      </w:divBdr>
    </w:div>
    <w:div w:id="2146269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6E96EF-E8A7-4738-8F4E-4B6F3E206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856</TotalTime>
  <Pages>3</Pages>
  <Words>373</Words>
  <Characters>2127</Characters>
  <Application>Microsoft Office Word</Application>
  <DocSecurity>0</DocSecurity>
  <Lines>17</Lines>
  <Paragraphs>4</Paragraphs>
  <ScaleCrop>false</ScaleCrop>
  <Company>Microsoft</Company>
  <LinksUpToDate>false</LinksUpToDate>
  <CharactersWithSpaces>2496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yuanyuzhu</dc:creator>
  <cp:lastModifiedBy>1</cp:lastModifiedBy>
  <cp:revision>42</cp:revision>
  <cp:lastPrinted>2022-11-11T00:58:00Z</cp:lastPrinted>
  <dcterms:created xsi:type="dcterms:W3CDTF">2022-04-09T08:03:00Z</dcterms:created>
  <dcterms:modified xsi:type="dcterms:W3CDTF">2024-05-09T10:06:00Z</dcterms:modified>
</cp:coreProperties>
</file>