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600717                             </w:t>
      </w:r>
      <w:r>
        <w:rPr>
          <w:rFonts w:hAnsi="宋体"/>
          <w:bCs/>
          <w:iCs/>
          <w:color w:val="000000"/>
          <w:sz w:val="24"/>
        </w:rPr>
        <w:t>证券简称：</w:t>
      </w:r>
      <w:r>
        <w:rPr>
          <w:color w:val="000000"/>
          <w:sz w:val="24"/>
        </w:rPr>
        <w:t>天津港</w:t>
      </w:r>
    </w:p>
    <w:p>
      <w:pPr>
        <w:spacing w:beforeLines="50" w:afterLines="50" w:line="400" w:lineRule="exact"/>
        <w:jc w:val="center"/>
        <w:rPr>
          <w:rFonts w:ascii="宋体" w:hAnsi="宋体"/>
          <w:b/>
          <w:bCs/>
          <w:iCs/>
          <w:color w:val="000000"/>
          <w:sz w:val="32"/>
          <w:szCs w:val="32"/>
        </w:rPr>
      </w:pPr>
      <w:r>
        <w:rPr>
          <w:rFonts w:ascii="宋体" w:hAnsi="宋体"/>
          <w:b/>
          <w:bCs/>
          <w:iCs/>
          <w:color w:val="000000"/>
          <w:sz w:val="32"/>
          <w:szCs w:val="32"/>
        </w:rPr>
        <w:t>天津港股份有限公司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bCs/>
                <w:iCs/>
                <w:color w:val="000000"/>
                <w:kern w:val="0"/>
                <w:sz w:val="24"/>
              </w:rPr>
              <w:t>□</w:t>
            </w:r>
            <w:r>
              <w:rPr>
                <w:rFonts w:hint="eastAsia"/>
                <w:bCs/>
                <w:iCs/>
                <w:color w:val="000000"/>
                <w:kern w:val="0"/>
                <w:sz w:val="24"/>
                <w:lang w:val="en-US" w:eastAsia="zh-CN"/>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rFonts w:hint="eastAsia"/>
                <w:bCs/>
                <w:iCs/>
                <w:color w:val="000000"/>
                <w:kern w:val="0"/>
                <w:sz w:val="24"/>
                <w:lang w:eastAsia="zh-CN"/>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pPr>
              <w:spacing w:beforeLines="50" w:afterLines="50" w:line="420" w:lineRule="exact"/>
              <w:rPr>
                <w:bCs/>
                <w:iCs/>
                <w:color w:val="000000"/>
                <w:sz w:val="24"/>
              </w:rPr>
            </w:pPr>
            <w:r>
              <w:rPr>
                <w:bCs/>
                <w:iCs/>
                <w:color w:val="000000"/>
                <w:sz w:val="24"/>
              </w:rPr>
              <w:t>202</w:t>
            </w:r>
            <w:r>
              <w:rPr>
                <w:rFonts w:hint="eastAsia"/>
                <w:bCs/>
                <w:iCs/>
                <w:color w:val="000000"/>
                <w:sz w:val="24"/>
              </w:rPr>
              <w:t>4</w:t>
            </w:r>
            <w:r>
              <w:rPr>
                <w:bCs/>
                <w:iCs/>
                <w:color w:val="000000"/>
                <w:sz w:val="24"/>
              </w:rPr>
              <w:t>年</w:t>
            </w:r>
            <w:r>
              <w:rPr>
                <w:rFonts w:hint="eastAsia"/>
                <w:bCs/>
                <w:iCs/>
                <w:color w:val="000000"/>
                <w:sz w:val="24"/>
                <w:lang w:val="en-US" w:eastAsia="zh-CN"/>
              </w:rPr>
              <w:t>5</w:t>
            </w:r>
            <w:r>
              <w:rPr>
                <w:bCs/>
                <w:iCs/>
                <w:color w:val="000000"/>
                <w:sz w:val="24"/>
              </w:rPr>
              <w:t>月</w:t>
            </w:r>
            <w:r>
              <w:rPr>
                <w:rFonts w:hint="eastAsia"/>
                <w:bCs/>
                <w:iCs/>
                <w:color w:val="000000"/>
                <w:sz w:val="24"/>
                <w:lang w:val="en-US" w:eastAsia="zh-CN"/>
              </w:rPr>
              <w:t>8</w:t>
            </w:r>
            <w:r>
              <w:rPr>
                <w:bCs/>
                <w:iCs/>
                <w:color w:val="000000"/>
                <w:sz w:val="24"/>
              </w:rPr>
              <w:t>日 (周</w:t>
            </w:r>
            <w:r>
              <w:rPr>
                <w:rFonts w:hint="eastAsia"/>
                <w:bCs/>
                <w:iCs/>
                <w:color w:val="000000"/>
                <w:sz w:val="24"/>
              </w:rPr>
              <w:t>三</w:t>
            </w:r>
            <w:r>
              <w:rPr>
                <w:bCs/>
                <w:iCs/>
                <w:color w:val="000000"/>
                <w:sz w:val="24"/>
              </w:rPr>
              <w:t>) 1</w:t>
            </w:r>
            <w:r>
              <w:rPr>
                <w:rFonts w:hint="eastAsia"/>
                <w:bCs/>
                <w:iCs/>
                <w:color w:val="000000"/>
                <w:sz w:val="24"/>
                <w:lang w:val="en-US" w:eastAsia="zh-CN"/>
              </w:rPr>
              <w:t>0</w:t>
            </w:r>
            <w:r>
              <w:rPr>
                <w:bCs/>
                <w:iCs/>
                <w:color w:val="000000"/>
                <w:sz w:val="24"/>
              </w:rPr>
              <w:t>:</w:t>
            </w:r>
            <w:r>
              <w:rPr>
                <w:rFonts w:hint="eastAsia"/>
                <w:bCs/>
                <w:iCs/>
                <w:color w:val="000000"/>
                <w:sz w:val="24"/>
                <w:lang w:val="en-US" w:eastAsia="zh-CN"/>
              </w:rPr>
              <w:t>0</w:t>
            </w:r>
            <w:r>
              <w:rPr>
                <w:bCs/>
                <w:iCs/>
                <w:color w:val="000000"/>
                <w:sz w:val="24"/>
              </w:rPr>
              <w:t>0~1</w:t>
            </w:r>
            <w:r>
              <w:rPr>
                <w:rFonts w:hint="eastAsia"/>
                <w:bCs/>
                <w:iCs/>
                <w:color w:val="000000"/>
                <w:sz w:val="24"/>
                <w:lang w:val="en-US" w:eastAsia="zh-CN"/>
              </w:rPr>
              <w:t>0</w:t>
            </w:r>
            <w:r>
              <w:rPr>
                <w:bCs/>
                <w:iCs/>
                <w:color w:val="000000"/>
                <w:sz w:val="24"/>
              </w:rPr>
              <w:t>:</w:t>
            </w:r>
            <w:r>
              <w:rPr>
                <w:rFonts w:hint="eastAsia"/>
                <w:bCs/>
                <w:iCs/>
                <w:color w:val="000000"/>
                <w:sz w:val="24"/>
                <w:lang w:val="en-US" w:eastAsia="zh-CN"/>
              </w:rPr>
              <w:t>5</w:t>
            </w:r>
            <w:r>
              <w:rPr>
                <w:bCs/>
                <w:i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pPr>
              <w:spacing w:beforeLines="50" w:afterLines="50" w:line="420" w:lineRule="exact"/>
              <w:rPr>
                <w:rFonts w:hint="default" w:eastAsia="宋体"/>
                <w:bCs/>
                <w:iCs/>
                <w:color w:val="000000"/>
                <w:sz w:val="24"/>
                <w:lang w:val="en-US" w:eastAsia="zh-CN"/>
              </w:rPr>
            </w:pPr>
            <w:r>
              <w:rPr>
                <w:rFonts w:hint="eastAsia"/>
                <w:bCs/>
                <w:iCs/>
                <w:color w:val="000000"/>
                <w:sz w:val="24"/>
              </w:rPr>
              <w:t>线上平台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left"/>
              <w:rPr>
                <w:rFonts w:ascii="宋体" w:hAnsi="宋体"/>
                <w:sz w:val="24"/>
              </w:rPr>
            </w:pPr>
            <w:r>
              <w:rPr>
                <w:rFonts w:hint="eastAsia" w:ascii="宋体" w:hAnsi="宋体"/>
                <w:sz w:val="24"/>
              </w:rPr>
              <w:t>1、董事会秘书：郭小薇</w:t>
            </w:r>
          </w:p>
          <w:p>
            <w:pPr>
              <w:adjustRightInd w:val="0"/>
              <w:snapToGrid w:val="0"/>
              <w:spacing w:beforeLines="50" w:line="360" w:lineRule="auto"/>
              <w:jc w:val="left"/>
              <w:rPr>
                <w:rFonts w:hint="eastAsia" w:ascii="宋体" w:hAnsi="宋体" w:eastAsia="宋体"/>
                <w:sz w:val="28"/>
                <w:szCs w:val="28"/>
                <w:lang w:eastAsia="zh-CN"/>
              </w:rPr>
            </w:pPr>
            <w:r>
              <w:rPr>
                <w:rFonts w:hint="eastAsia" w:ascii="宋体" w:hAnsi="宋体"/>
                <w:sz w:val="24"/>
              </w:rPr>
              <w:t>2、</w:t>
            </w:r>
            <w:r>
              <w:rPr>
                <w:rFonts w:hint="eastAsia" w:ascii="宋体" w:hAnsi="宋体"/>
                <w:sz w:val="24"/>
                <w:lang w:val="en-US" w:eastAsia="zh-CN"/>
              </w:rPr>
              <w:t>关联交易</w:t>
            </w:r>
            <w:r>
              <w:rPr>
                <w:rFonts w:hint="eastAsia" w:ascii="宋体" w:hAnsi="宋体"/>
                <w:sz w:val="24"/>
              </w:rPr>
              <w:t>管理</w:t>
            </w:r>
            <w:r>
              <w:rPr>
                <w:rFonts w:hint="eastAsia" w:ascii="宋体" w:hAnsi="宋体"/>
                <w:sz w:val="24"/>
                <w:lang w:val="en-US" w:eastAsia="zh-CN"/>
              </w:rPr>
              <w:t>副</w:t>
            </w:r>
            <w:r>
              <w:rPr>
                <w:rFonts w:hint="eastAsia" w:ascii="宋体" w:hAnsi="宋体"/>
                <w:sz w:val="24"/>
              </w:rPr>
              <w:t>经理：</w:t>
            </w:r>
            <w:r>
              <w:rPr>
                <w:rFonts w:hint="eastAsia" w:ascii="宋体" w:hAnsi="宋体"/>
                <w:sz w:val="24"/>
                <w:lang w:val="en-US" w:eastAsia="zh-CN"/>
              </w:rPr>
              <w:t>张逸沛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pPr>
              <w:spacing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sz w:val="24"/>
              </w:rPr>
              <w:t>公司就投资者在本次</w:t>
            </w:r>
            <w:r>
              <w:rPr>
                <w:rFonts w:hint="eastAsia" w:ascii="宋体" w:hAnsi="宋体" w:cs="宋体"/>
                <w:sz w:val="24"/>
                <w:lang w:val="en-US" w:eastAsia="zh-CN"/>
              </w:rPr>
              <w:t>路演中</w:t>
            </w:r>
            <w:r>
              <w:rPr>
                <w:rFonts w:ascii="宋体" w:hAnsi="宋体" w:cs="宋体"/>
                <w:sz w:val="24"/>
              </w:rPr>
              <w:t>提出的问题进行了回复：</w:t>
            </w:r>
          </w:p>
          <w:p>
            <w:pPr>
              <w:pStyle w:val="7"/>
              <w:spacing w:line="460" w:lineRule="exact"/>
              <w:ind w:left="-2" w:leftChars="-1" w:firstLine="482"/>
              <w:rPr>
                <w:rFonts w:hint="default" w:ascii="宋体" w:hAnsi="宋体" w:eastAsia="宋体"/>
                <w:sz w:val="24"/>
                <w:szCs w:val="24"/>
                <w:lang w:val="en-US" w:eastAsia="zh-CN"/>
              </w:rPr>
            </w:pPr>
            <w:r>
              <w:rPr>
                <w:rFonts w:ascii="宋体" w:hAnsi="宋体"/>
                <w:b/>
                <w:sz w:val="24"/>
                <w:szCs w:val="24"/>
              </w:rPr>
              <w:t>1、</w:t>
            </w:r>
            <w:r>
              <w:rPr>
                <w:rFonts w:hint="eastAsia" w:ascii="宋体" w:hAnsi="宋体"/>
                <w:b/>
                <w:sz w:val="24"/>
                <w:szCs w:val="24"/>
                <w:lang w:val="en-US" w:eastAsia="zh-CN"/>
              </w:rPr>
              <w:t>公司空箱业务情况</w:t>
            </w:r>
            <w:bookmarkStart w:id="0" w:name="_GoBack"/>
            <w:bookmarkEnd w:id="0"/>
          </w:p>
          <w:p>
            <w:pPr>
              <w:pStyle w:val="7"/>
              <w:spacing w:line="460" w:lineRule="exact"/>
              <w:ind w:left="-2" w:leftChars="-1" w:firstLine="480"/>
              <w:rPr>
                <w:rFonts w:hint="default" w:ascii="宋体" w:hAnsi="宋体" w:eastAsia="宋体"/>
                <w:sz w:val="24"/>
                <w:szCs w:val="24"/>
                <w:lang w:val="en-US" w:eastAsia="zh-CN"/>
              </w:rPr>
            </w:pPr>
            <w:r>
              <w:rPr>
                <w:rFonts w:hint="eastAsia" w:ascii="宋体" w:hAnsi="宋体"/>
                <w:sz w:val="24"/>
                <w:szCs w:val="24"/>
                <w:lang w:val="en-US" w:eastAsia="zh-CN"/>
              </w:rPr>
              <w:t>目前天津口岸进出口空箱业务稳定，公司加强空箱资源管理，吸引空箱回流，满足腹地广大客户正常用箱需求，空箱堆场具备堆存、收提、检验、清洗维修及冷箱PTI检验等服务能力。</w:t>
            </w:r>
          </w:p>
          <w:p>
            <w:pPr>
              <w:pStyle w:val="7"/>
              <w:spacing w:line="460" w:lineRule="exact"/>
              <w:ind w:firstLineChars="0"/>
              <w:rPr>
                <w:rFonts w:hint="default" w:ascii="宋体" w:hAnsi="宋体" w:eastAsia="宋体"/>
                <w:b/>
                <w:sz w:val="24"/>
                <w:szCs w:val="24"/>
                <w:lang w:val="en-US" w:eastAsia="zh-CN"/>
              </w:rPr>
            </w:pPr>
            <w:r>
              <w:rPr>
                <w:rFonts w:hint="eastAsia" w:ascii="宋体" w:hAnsi="宋体"/>
                <w:b/>
                <w:sz w:val="24"/>
                <w:szCs w:val="24"/>
              </w:rPr>
              <w:t>2、</w:t>
            </w:r>
            <w:r>
              <w:rPr>
                <w:rFonts w:hint="eastAsia" w:ascii="宋体" w:hAnsi="宋体"/>
                <w:b/>
                <w:sz w:val="24"/>
                <w:szCs w:val="24"/>
                <w:lang w:val="en-US" w:eastAsia="zh-CN"/>
              </w:rPr>
              <w:t>国内航空运输对于海运是否有负面影响</w:t>
            </w:r>
          </w:p>
          <w:p>
            <w:pPr>
              <w:pStyle w:val="7"/>
              <w:spacing w:line="460" w:lineRule="exact"/>
              <w:ind w:left="-2" w:leftChars="-1" w:firstLine="480"/>
              <w:rPr>
                <w:rFonts w:hint="default" w:ascii="宋体" w:hAnsi="宋体" w:eastAsia="宋体"/>
                <w:sz w:val="24"/>
                <w:szCs w:val="24"/>
                <w:lang w:val="en-US" w:eastAsia="zh-CN"/>
              </w:rPr>
            </w:pPr>
            <w:r>
              <w:rPr>
                <w:rFonts w:hint="eastAsia" w:ascii="宋体" w:hAnsi="宋体"/>
                <w:sz w:val="24"/>
                <w:szCs w:val="24"/>
                <w:lang w:val="en-US" w:eastAsia="zh-CN"/>
              </w:rPr>
              <w:t>空运和海运面对客户群体和货类不同，海运侧重于成本更低、运输量更大，目前空运业务对海运影响不明显。</w:t>
            </w:r>
          </w:p>
          <w:p>
            <w:pPr>
              <w:pStyle w:val="7"/>
              <w:spacing w:line="460" w:lineRule="exact"/>
              <w:ind w:firstLineChars="0"/>
              <w:rPr>
                <w:rFonts w:ascii="宋体" w:hAnsi="宋体"/>
                <w:b/>
                <w:sz w:val="24"/>
                <w:szCs w:val="24"/>
              </w:rPr>
            </w:pPr>
            <w:r>
              <w:rPr>
                <w:rFonts w:hint="eastAsia" w:ascii="宋体" w:hAnsi="宋体"/>
                <w:b/>
                <w:sz w:val="24"/>
                <w:szCs w:val="24"/>
              </w:rPr>
              <w:t>3、公司在2024年有无分红计划或安排</w:t>
            </w:r>
          </w:p>
          <w:p>
            <w:pPr>
              <w:spacing w:line="460" w:lineRule="exact"/>
              <w:ind w:firstLine="480" w:firstLineChars="200"/>
              <w:rPr>
                <w:rFonts w:hint="eastAsia" w:ascii="宋体" w:hAnsi="宋体" w:cs="宋体"/>
                <w:sz w:val="24"/>
              </w:rPr>
            </w:pPr>
            <w:r>
              <w:rPr>
                <w:rFonts w:hint="eastAsia" w:ascii="宋体" w:hAnsi="宋体" w:cs="宋体"/>
                <w:sz w:val="24"/>
              </w:rPr>
              <w:t>在今年3月召开的年度董事会上公司审议通过了2023 年度利润分配预案，拟向全体股东每10股派发现金红利1.02元（含税），该事项已提交至</w:t>
            </w:r>
            <w:r>
              <w:rPr>
                <w:rFonts w:hint="eastAsia" w:ascii="宋体" w:hAnsi="宋体" w:cs="宋体"/>
                <w:sz w:val="24"/>
                <w:lang w:val="en-US" w:eastAsia="zh-CN"/>
              </w:rPr>
              <w:t>5月9日</w:t>
            </w:r>
            <w:r>
              <w:rPr>
                <w:rFonts w:hint="eastAsia" w:ascii="宋体" w:hAnsi="宋体" w:cs="宋体"/>
                <w:sz w:val="24"/>
              </w:rPr>
              <w:t>召开的年度股东大会上进行审议。</w:t>
            </w:r>
          </w:p>
          <w:p>
            <w:pPr>
              <w:spacing w:line="46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同时，在公司上市后的28年间，累计完成完成现金分红24次，分红金额达到45亿元。近五年通过现金和送股方式分红，已完成的分红金额达到了同期归母净利润的65%，实现了对公司股东充分回报。公司未来将继续积极开展现金分红等方式的利润分配，力争给股东更多回报。</w:t>
            </w:r>
          </w:p>
          <w:p>
            <w:pPr>
              <w:pStyle w:val="7"/>
              <w:spacing w:line="460" w:lineRule="exact"/>
              <w:rPr>
                <w:rFonts w:ascii="宋体" w:hAnsi="宋体"/>
                <w:b/>
                <w:sz w:val="24"/>
                <w:szCs w:val="24"/>
              </w:rPr>
            </w:pPr>
            <w:r>
              <w:rPr>
                <w:rFonts w:hint="eastAsia" w:ascii="宋体" w:hAnsi="宋体"/>
                <w:b/>
                <w:sz w:val="24"/>
                <w:szCs w:val="24"/>
              </w:rPr>
              <w:t>4</w:t>
            </w:r>
            <w:r>
              <w:rPr>
                <w:rFonts w:ascii="宋体" w:hAnsi="宋体"/>
                <w:b/>
                <w:sz w:val="24"/>
                <w:szCs w:val="24"/>
              </w:rPr>
              <w:t>、</w:t>
            </w:r>
            <w:r>
              <w:rPr>
                <w:rFonts w:hint="eastAsia" w:ascii="宋体" w:hAnsi="宋体"/>
                <w:b/>
                <w:sz w:val="24"/>
                <w:szCs w:val="24"/>
              </w:rPr>
              <w:t>公司未来增收的途径主要有哪些，降本增效方面有什</w:t>
            </w:r>
            <w:r>
              <w:rPr>
                <w:rFonts w:hint="eastAsia" w:ascii="宋体" w:hAnsi="宋体"/>
                <w:b/>
                <w:sz w:val="24"/>
                <w:szCs w:val="24"/>
                <w:lang w:val="en-US" w:eastAsia="zh-CN"/>
              </w:rPr>
              <w:t>么</w:t>
            </w:r>
            <w:r>
              <w:rPr>
                <w:rFonts w:hint="eastAsia" w:ascii="宋体" w:hAnsi="宋体"/>
                <w:b/>
                <w:sz w:val="24"/>
                <w:szCs w:val="24"/>
              </w:rPr>
              <w:t>规划</w:t>
            </w:r>
          </w:p>
          <w:p>
            <w:pPr>
              <w:pStyle w:val="7"/>
              <w:spacing w:line="460" w:lineRule="exact"/>
              <w:rPr>
                <w:rFonts w:hint="eastAsia" w:ascii="宋体" w:hAnsi="宋体"/>
                <w:sz w:val="24"/>
                <w:szCs w:val="24"/>
                <w:lang w:val="en-US" w:eastAsia="zh-CN"/>
              </w:rPr>
            </w:pPr>
            <w:r>
              <w:rPr>
                <w:rFonts w:hint="eastAsia" w:ascii="宋体" w:hAnsi="宋体"/>
                <w:sz w:val="24"/>
                <w:szCs w:val="24"/>
                <w:lang w:val="en-US" w:eastAsia="zh-CN"/>
              </w:rPr>
              <w:t>2023年，公司收入、利润增幅在行业中排名居前，公司未来的业务增量主要有五个方面。一是集装箱新增航线带来的增量，2023年新增四条航线，2024年初新开通了天津港至南美新航线，新增的航线进一步加密了天津港现有航线网络，更填补了近年来天津港南美航路直航航线的空白，将带动相应货类吞吐量的增长。二是随着扩产能的需求不断加大，公司对原有的码头泊位、堆场进行改造升级，进一步满足现有的生产需要，也对后续作业量的增长提供支撑作用。三是智慧化建设助力生产，全年先后打破各类作业效率纪录35次，多条航线船时效率稳居全球首位，杂货智能一体化系统在各件杂货码头上线运行以来，作业效率提升20%、作业周期缩短30%，进一步提升作业效率和能力。四是危化品的增长潜力，2023年底建成南港工业区新建危险货物集装箱堆场，主要承担第2至第6类危险货物集装箱，公司危险品吞吐量将在堆场投入使用后逐步提升。五是集团公司先行培育和运营的装卸主业公司，逐渐从孵化期、培育期转向盈利期，目前已有4家码头托管至公司运营，公司将会结合实际情况要求集团公司按照相关承诺将持续盈利的资产优先注入到上市公司，进一步做大做强上市公司。</w:t>
            </w:r>
          </w:p>
          <w:p>
            <w:pPr>
              <w:pStyle w:val="7"/>
              <w:spacing w:line="460" w:lineRule="exact"/>
              <w:rPr>
                <w:rFonts w:hint="default" w:ascii="宋体" w:hAnsi="宋体"/>
                <w:sz w:val="24"/>
                <w:szCs w:val="24"/>
                <w:lang w:val="en-US" w:eastAsia="zh-CN"/>
              </w:rPr>
            </w:pPr>
            <w:r>
              <w:rPr>
                <w:rFonts w:hint="default" w:ascii="宋体" w:hAnsi="宋体"/>
                <w:sz w:val="24"/>
                <w:szCs w:val="24"/>
                <w:lang w:val="en-US" w:eastAsia="zh-CN"/>
              </w:rPr>
              <w:t>公司在控制成本方面</w:t>
            </w:r>
            <w:r>
              <w:rPr>
                <w:rFonts w:hint="eastAsia" w:ascii="宋体" w:hAnsi="宋体"/>
                <w:sz w:val="24"/>
                <w:szCs w:val="24"/>
                <w:lang w:val="en-US" w:eastAsia="zh-CN"/>
              </w:rPr>
              <w:t>有三个工作方向</w:t>
            </w:r>
            <w:r>
              <w:rPr>
                <w:rFonts w:hint="default" w:ascii="宋体" w:hAnsi="宋体"/>
                <w:sz w:val="24"/>
                <w:szCs w:val="24"/>
                <w:lang w:val="en-US" w:eastAsia="zh-CN"/>
              </w:rPr>
              <w:t>：一是随着智慧化建设的不断深入，自动化码头、一体化系统的投入运用有利于降低人工成本；二是</w:t>
            </w:r>
            <w:r>
              <w:rPr>
                <w:rFonts w:hint="eastAsia" w:ascii="宋体" w:hAnsi="宋体"/>
                <w:sz w:val="24"/>
                <w:szCs w:val="24"/>
                <w:lang w:val="en-US" w:eastAsia="zh-CN"/>
              </w:rPr>
              <w:t>随着贷款利率走入下行通道</w:t>
            </w:r>
            <w:r>
              <w:rPr>
                <w:rFonts w:hint="default" w:ascii="宋体" w:hAnsi="宋体"/>
                <w:sz w:val="24"/>
                <w:szCs w:val="24"/>
                <w:lang w:val="en-US" w:eastAsia="zh-CN"/>
              </w:rPr>
              <w:t>，财务费用将得到有效控制；三是公司对各所属公司有严格的预算考核制度，促进各子公司压降开支、管控成本。</w:t>
            </w:r>
          </w:p>
          <w:p>
            <w:pPr>
              <w:pStyle w:val="7"/>
              <w:spacing w:line="460" w:lineRule="exact"/>
              <w:rPr>
                <w:rFonts w:ascii="宋体" w:hAnsi="宋体"/>
                <w:b/>
                <w:sz w:val="24"/>
                <w:szCs w:val="24"/>
              </w:rPr>
            </w:pPr>
            <w:r>
              <w:rPr>
                <w:rFonts w:hint="eastAsia" w:ascii="宋体" w:hAnsi="宋体"/>
                <w:b/>
                <w:sz w:val="24"/>
                <w:szCs w:val="24"/>
              </w:rPr>
              <w:t>5</w:t>
            </w:r>
            <w:r>
              <w:rPr>
                <w:rFonts w:ascii="宋体" w:hAnsi="宋体"/>
                <w:b/>
                <w:sz w:val="24"/>
                <w:szCs w:val="24"/>
              </w:rPr>
              <w:t>、</w:t>
            </w:r>
            <w:r>
              <w:rPr>
                <w:rFonts w:hint="eastAsia" w:ascii="宋体" w:hAnsi="宋体"/>
                <w:b/>
                <w:sz w:val="24"/>
                <w:szCs w:val="24"/>
              </w:rPr>
              <w:t>公司所在港口版块股价连续多年破净，面对政策指导公司在市值管理方面有哪些具体计划</w:t>
            </w:r>
          </w:p>
          <w:p>
            <w:pPr>
              <w:pStyle w:val="7"/>
              <w:spacing w:line="460" w:lineRule="exact"/>
              <w:ind w:firstLineChars="0"/>
              <w:rPr>
                <w:rFonts w:hint="default" w:ascii="宋体" w:hAnsi="宋体"/>
                <w:bCs/>
                <w:iCs/>
                <w:color w:val="000000"/>
                <w:sz w:val="24"/>
                <w:lang w:val="en-US"/>
              </w:rPr>
            </w:pPr>
            <w:r>
              <w:rPr>
                <w:rFonts w:hint="eastAsia" w:ascii="宋体" w:hAnsi="宋体"/>
                <w:bCs/>
                <w:iCs/>
                <w:color w:val="000000"/>
                <w:sz w:val="24"/>
                <w:lang w:val="en-US" w:eastAsia="zh-CN"/>
              </w:rPr>
              <w:t>随着中央对国有上市企业市值考核力度不断加大，我们也越来越重视市值管理工作。对于市值管理，公司下一步工作方向分为三个方面。一是聚焦价值创造，打造装卸领域领军企业，提高股份公司盈利能力；二是开展价值传播，强化信息披露管理，增加投资者交流；三是探索价值挖掘，研究市值提升方案，利用多种手段落实工作安排。</w:t>
            </w:r>
          </w:p>
          <w:p>
            <w:pPr>
              <w:pStyle w:val="7"/>
              <w:spacing w:line="460" w:lineRule="exact"/>
              <w:rPr>
                <w:rFonts w:ascii="宋体" w:hAnsi="宋体"/>
                <w:b/>
                <w:sz w:val="24"/>
                <w:szCs w:val="24"/>
              </w:rPr>
            </w:pPr>
            <w:r>
              <w:rPr>
                <w:rFonts w:hint="eastAsia" w:ascii="宋体" w:hAnsi="宋体"/>
                <w:b/>
                <w:sz w:val="24"/>
                <w:szCs w:val="24"/>
                <w:lang w:val="en-US" w:eastAsia="zh-CN"/>
              </w:rPr>
              <w:t>6</w:t>
            </w:r>
            <w:r>
              <w:rPr>
                <w:rFonts w:ascii="宋体" w:hAnsi="宋体"/>
                <w:b/>
                <w:sz w:val="24"/>
                <w:szCs w:val="24"/>
              </w:rPr>
              <w:t>、</w:t>
            </w:r>
            <w:r>
              <w:rPr>
                <w:rFonts w:hint="eastAsia" w:ascii="宋体" w:hAnsi="宋体"/>
                <w:b/>
                <w:sz w:val="24"/>
                <w:szCs w:val="24"/>
              </w:rPr>
              <w:t>近几年来公司经营业绩波动较大，主要原因是什么</w:t>
            </w:r>
          </w:p>
          <w:p>
            <w:pPr>
              <w:pStyle w:val="7"/>
              <w:spacing w:line="460" w:lineRule="exact"/>
              <w:ind w:firstLineChars="0"/>
              <w:rPr>
                <w:rFonts w:hint="default" w:ascii="宋体" w:hAnsi="宋体" w:eastAsia="宋体"/>
                <w:bCs/>
                <w:iCs/>
                <w:color w:val="000000"/>
                <w:sz w:val="24"/>
                <w:lang w:val="en-US" w:eastAsia="zh-CN"/>
              </w:rPr>
            </w:pPr>
            <w:r>
              <w:rPr>
                <w:rFonts w:hint="eastAsia" w:ascii="宋体" w:hAnsi="宋体"/>
                <w:bCs/>
                <w:iCs/>
                <w:color w:val="000000"/>
                <w:sz w:val="24"/>
                <w:lang w:val="en-US" w:eastAsia="zh-CN"/>
              </w:rPr>
              <w:t>我们看到2021年-2023年三年间公司营业收入分别为144.68亿、108.22亿、117.04亿，同期扣非归母净利润分别为5.88亿、6.26亿、9.47亿，可以看出收入波动较大，利润呈增长态势。主要原因是2021年后期公司出售燃供公司和集装箱公司股权所致。燃供公司主营船油销售业务，该业务占营业收入比重较大但利润率不高，且由于经营情况不佳，公司转让了该公司；通过向中远海运转让集装箱公司部分股权，公司通过资本合作加强了和船公司的业务合作，带动整体集装箱业务增长，且公司通过降本增效、增加高附加值货类业务规模等手段，不断提升自身盈利能力。</w:t>
            </w:r>
          </w:p>
          <w:p>
            <w:pPr>
              <w:pStyle w:val="7"/>
              <w:spacing w:line="460" w:lineRule="exact"/>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围绕环渤海港口群，公司有哪些方面的竞争优势？与周边港口的费率相比较是否具备优势</w:t>
            </w:r>
          </w:p>
          <w:p>
            <w:pPr>
              <w:pStyle w:val="7"/>
              <w:spacing w:line="460" w:lineRule="exact"/>
              <w:ind w:firstLineChars="0"/>
              <w:rPr>
                <w:rFonts w:hint="eastAsia" w:ascii="宋体" w:hAnsi="宋体"/>
                <w:bCs/>
                <w:iCs/>
                <w:color w:val="000000"/>
                <w:sz w:val="24"/>
                <w:lang w:val="en-US" w:eastAsia="zh-CN"/>
              </w:rPr>
            </w:pPr>
            <w:r>
              <w:rPr>
                <w:rFonts w:hint="eastAsia" w:ascii="宋体" w:hAnsi="宋体"/>
                <w:bCs/>
                <w:iCs/>
                <w:color w:val="000000"/>
                <w:sz w:val="24"/>
                <w:lang w:val="en-US" w:eastAsia="zh-CN"/>
              </w:rPr>
              <w:t>2020年7月，国家发改委、交通运输部发布《关于加快天津北方国际航运枢纽建设的意见》，确立了天津北方国际航运枢纽是以天津港为中心的国际性综合交通枢纽，并推进港口合理分工，明确“天津港以集装箱干线运输为重点，调整优化大宗散货运输结构，积极发展滚装和邮轮等运输功能，建设国际枢纽港。河北省相关港口巩固能源、原材料等大宗散货运输功能，拓展临港产业、现代物流等功能，稳妥有序推动转型升级和结构调整。鼓励津冀港口企业以市场为导向、以资本为纽带加快整合，实现集约化运营。”</w:t>
            </w:r>
          </w:p>
          <w:p>
            <w:pPr>
              <w:pStyle w:val="7"/>
              <w:spacing w:line="460" w:lineRule="exact"/>
              <w:ind w:firstLineChars="0"/>
              <w:rPr>
                <w:rFonts w:hint="eastAsia" w:ascii="宋体" w:hAnsi="宋体"/>
                <w:bCs/>
                <w:iCs/>
                <w:color w:val="000000"/>
                <w:sz w:val="24"/>
                <w:lang w:val="en-US" w:eastAsia="zh-CN"/>
              </w:rPr>
            </w:pPr>
            <w:r>
              <w:rPr>
                <w:rFonts w:hint="eastAsia" w:ascii="宋体" w:hAnsi="宋体"/>
                <w:bCs/>
                <w:iCs/>
                <w:color w:val="000000"/>
                <w:sz w:val="24"/>
                <w:lang w:val="en-US" w:eastAsia="zh-CN"/>
              </w:rPr>
              <w:t>天津港与河北港口利用环渤海内支线航线形成环渤海内干支联动、相互支撑的发展格局，增强了区域内港口辐射带动作用。双方既有合作又有竞争，致力于实现错位发展、联动发展、融合发展，共同构建现代化的津冀港口群。</w:t>
            </w:r>
          </w:p>
          <w:p>
            <w:pPr>
              <w:pStyle w:val="7"/>
              <w:spacing w:line="460" w:lineRule="exact"/>
              <w:ind w:firstLineChars="0"/>
              <w:rPr>
                <w:rFonts w:hint="default" w:ascii="宋体" w:hAnsi="宋体"/>
                <w:bCs/>
                <w:iCs/>
                <w:color w:val="000000"/>
                <w:sz w:val="24"/>
                <w:lang w:val="en-US" w:eastAsia="zh-CN"/>
              </w:rPr>
            </w:pPr>
            <w:r>
              <w:rPr>
                <w:rFonts w:hint="eastAsia" w:ascii="宋体" w:hAnsi="宋体"/>
                <w:bCs/>
                <w:iCs/>
                <w:color w:val="000000"/>
                <w:sz w:val="24"/>
                <w:lang w:val="en-US" w:eastAsia="zh-CN"/>
              </w:rPr>
              <w:t>公司费率的确定综合考虑具体装卸作业方式、硬件投入成本、服务内容差异、腹地经济水平、客户的接受度等方面因素。对于不同货类、不同客户也有相应政策，目前看公司费率在市场上是有竞争力的。</w:t>
            </w:r>
          </w:p>
          <w:p>
            <w:pPr>
              <w:pStyle w:val="7"/>
              <w:spacing w:line="460" w:lineRule="exact"/>
              <w:rPr>
                <w:rFonts w:ascii="宋体" w:hAnsi="宋体"/>
                <w:b/>
                <w:sz w:val="24"/>
                <w:szCs w:val="24"/>
              </w:rPr>
            </w:pPr>
            <w:r>
              <w:rPr>
                <w:rFonts w:hint="eastAsia" w:ascii="宋体" w:hAnsi="宋体"/>
                <w:b/>
                <w:sz w:val="24"/>
                <w:szCs w:val="24"/>
                <w:lang w:val="en-US" w:eastAsia="zh-CN"/>
              </w:rPr>
              <w:t>8</w:t>
            </w:r>
            <w:r>
              <w:rPr>
                <w:rFonts w:ascii="宋体" w:hAnsi="宋体"/>
                <w:b/>
                <w:sz w:val="24"/>
                <w:szCs w:val="24"/>
              </w:rPr>
              <w:t>、</w:t>
            </w:r>
            <w:r>
              <w:rPr>
                <w:rFonts w:hint="eastAsia" w:ascii="宋体" w:hAnsi="宋体"/>
                <w:b/>
                <w:sz w:val="24"/>
                <w:szCs w:val="24"/>
              </w:rPr>
              <w:t>天津港开通京津冀地区首条直航南美洲东海岸集装箱航线，对公司有何影响</w:t>
            </w:r>
          </w:p>
          <w:p>
            <w:pPr>
              <w:pStyle w:val="7"/>
              <w:spacing w:line="460" w:lineRule="exact"/>
              <w:ind w:firstLineChars="0"/>
              <w:rPr>
                <w:rFonts w:hint="eastAsia" w:ascii="宋体" w:hAnsi="宋体"/>
                <w:bCs/>
                <w:iCs/>
                <w:color w:val="000000"/>
                <w:sz w:val="24"/>
              </w:rPr>
            </w:pPr>
            <w:r>
              <w:rPr>
                <w:rFonts w:hint="eastAsia" w:ascii="宋体" w:hAnsi="宋体"/>
                <w:bCs/>
                <w:iCs/>
                <w:color w:val="000000"/>
                <w:sz w:val="24"/>
                <w:lang w:val="en-US" w:eastAsia="zh-CN"/>
              </w:rPr>
              <w:t>此次开通的天津—南美东直航新航线共投入12艘14000标准箱船舶并进行周班运营，使天津至巴西的交货期从原先中转的54天缩短至40天，冷箱装载能力提升了81%，让公司对于山东河北交界地带的货源具有更大的吸引能力，也给货源争揽提供助力。</w:t>
            </w:r>
          </w:p>
          <w:p>
            <w:pPr>
              <w:pStyle w:val="7"/>
              <w:spacing w:line="460" w:lineRule="exact"/>
              <w:ind w:firstLineChars="0"/>
              <w:rPr>
                <w:rFonts w:hint="eastAsia" w:ascii="宋体" w:hAnsi="宋体"/>
                <w:bCs/>
                <w:iCs/>
                <w:color w:val="000000"/>
                <w:sz w:val="24"/>
              </w:rPr>
            </w:pPr>
          </w:p>
          <w:p>
            <w:pPr>
              <w:pStyle w:val="7"/>
              <w:spacing w:line="460" w:lineRule="exact"/>
              <w:ind w:firstLineChars="0"/>
              <w:rPr>
                <w:rFonts w:hint="eastAsia" w:ascii="宋体" w:hAnsi="宋体"/>
                <w:bCs/>
                <w:iCs/>
                <w:color w:val="000000"/>
                <w:sz w:val="24"/>
              </w:rPr>
            </w:pPr>
          </w:p>
          <w:p>
            <w:pPr>
              <w:pStyle w:val="7"/>
              <w:spacing w:line="460" w:lineRule="exact"/>
              <w:ind w:firstLineChars="0"/>
              <w:rPr>
                <w:rFonts w:hint="eastAsia" w:ascii="宋体" w:hAnsi="宋体"/>
                <w:bCs/>
                <w:iCs/>
                <w:color w:val="000000"/>
                <w:sz w:val="24"/>
              </w:rPr>
            </w:pPr>
          </w:p>
          <w:p>
            <w:pPr>
              <w:pStyle w:val="7"/>
              <w:spacing w:line="460" w:lineRule="exact"/>
              <w:ind w:firstLineChars="0"/>
              <w:rPr>
                <w:rFonts w:hint="eastAsia" w:ascii="宋体" w:hAnsi="宋体"/>
                <w:bCs/>
                <w:iCs/>
                <w:color w:val="000000"/>
                <w:sz w:val="24"/>
              </w:rPr>
            </w:pPr>
          </w:p>
          <w:p>
            <w:pPr>
              <w:pStyle w:val="7"/>
              <w:spacing w:line="460" w:lineRule="exact"/>
              <w:ind w:firstLineChars="0"/>
              <w:rPr>
                <w:rFonts w:ascii="宋体" w:hAnsi="宋体"/>
                <w:bCs/>
                <w:iCs/>
                <w:color w:val="000000"/>
                <w:sz w:val="24"/>
              </w:rPr>
            </w:pPr>
          </w:p>
        </w:tc>
      </w:tr>
    </w:tbl>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k1NzQzMzBiM2IyN2YxMjM0NjFkY2UzMzNiZDMzMjEifQ=="/>
  </w:docVars>
  <w:rsids>
    <w:rsidRoot w:val="006861C7"/>
    <w:rsid w:val="000268C0"/>
    <w:rsid w:val="00026A12"/>
    <w:rsid w:val="000363B5"/>
    <w:rsid w:val="000375D7"/>
    <w:rsid w:val="00043015"/>
    <w:rsid w:val="00046DDE"/>
    <w:rsid w:val="00047EB9"/>
    <w:rsid w:val="00060A74"/>
    <w:rsid w:val="00067110"/>
    <w:rsid w:val="0009298A"/>
    <w:rsid w:val="000A2808"/>
    <w:rsid w:val="000A3BAC"/>
    <w:rsid w:val="000C26FD"/>
    <w:rsid w:val="000C2D85"/>
    <w:rsid w:val="000C6E3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198C"/>
    <w:rsid w:val="001D22EE"/>
    <w:rsid w:val="001D4C89"/>
    <w:rsid w:val="001E1838"/>
    <w:rsid w:val="001E3145"/>
    <w:rsid w:val="001E6509"/>
    <w:rsid w:val="001E71FF"/>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2497"/>
    <w:rsid w:val="003030BF"/>
    <w:rsid w:val="00304F89"/>
    <w:rsid w:val="00306023"/>
    <w:rsid w:val="003118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44828"/>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5D86"/>
    <w:rsid w:val="00537C53"/>
    <w:rsid w:val="00540787"/>
    <w:rsid w:val="005438F5"/>
    <w:rsid w:val="00544901"/>
    <w:rsid w:val="005474D3"/>
    <w:rsid w:val="00550737"/>
    <w:rsid w:val="00555DD2"/>
    <w:rsid w:val="00565ED9"/>
    <w:rsid w:val="005760C6"/>
    <w:rsid w:val="00585A1B"/>
    <w:rsid w:val="00591260"/>
    <w:rsid w:val="00591314"/>
    <w:rsid w:val="00593D40"/>
    <w:rsid w:val="00595187"/>
    <w:rsid w:val="00595F1B"/>
    <w:rsid w:val="005A3BE0"/>
    <w:rsid w:val="005B1026"/>
    <w:rsid w:val="005B642F"/>
    <w:rsid w:val="005C04C1"/>
    <w:rsid w:val="005C1785"/>
    <w:rsid w:val="005D2D87"/>
    <w:rsid w:val="005D6A09"/>
    <w:rsid w:val="005E2B4B"/>
    <w:rsid w:val="005E5F63"/>
    <w:rsid w:val="005E6BA1"/>
    <w:rsid w:val="005F6CCF"/>
    <w:rsid w:val="006039E2"/>
    <w:rsid w:val="0060779A"/>
    <w:rsid w:val="00622F13"/>
    <w:rsid w:val="00625503"/>
    <w:rsid w:val="0062662D"/>
    <w:rsid w:val="00632E78"/>
    <w:rsid w:val="006344F1"/>
    <w:rsid w:val="00637186"/>
    <w:rsid w:val="0064616F"/>
    <w:rsid w:val="00646DF4"/>
    <w:rsid w:val="00651DE6"/>
    <w:rsid w:val="006523BB"/>
    <w:rsid w:val="0065347E"/>
    <w:rsid w:val="00654B49"/>
    <w:rsid w:val="00662505"/>
    <w:rsid w:val="0066674C"/>
    <w:rsid w:val="006760F7"/>
    <w:rsid w:val="006861C7"/>
    <w:rsid w:val="00686DDF"/>
    <w:rsid w:val="00697B12"/>
    <w:rsid w:val="006A55BB"/>
    <w:rsid w:val="006A7613"/>
    <w:rsid w:val="006B0CC1"/>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6B50"/>
    <w:rsid w:val="0080741A"/>
    <w:rsid w:val="00814B5B"/>
    <w:rsid w:val="00836F34"/>
    <w:rsid w:val="00843E73"/>
    <w:rsid w:val="00844EBF"/>
    <w:rsid w:val="00854F61"/>
    <w:rsid w:val="00864202"/>
    <w:rsid w:val="00873B59"/>
    <w:rsid w:val="0087701F"/>
    <w:rsid w:val="0089283D"/>
    <w:rsid w:val="008A0ADC"/>
    <w:rsid w:val="008A1BAB"/>
    <w:rsid w:val="008A30E1"/>
    <w:rsid w:val="008B38B7"/>
    <w:rsid w:val="008B458E"/>
    <w:rsid w:val="008C4D4A"/>
    <w:rsid w:val="008E11AE"/>
    <w:rsid w:val="008E1708"/>
    <w:rsid w:val="008E4844"/>
    <w:rsid w:val="00904492"/>
    <w:rsid w:val="00904DFB"/>
    <w:rsid w:val="00910774"/>
    <w:rsid w:val="0091457B"/>
    <w:rsid w:val="00923763"/>
    <w:rsid w:val="00930ED6"/>
    <w:rsid w:val="0093293F"/>
    <w:rsid w:val="00933105"/>
    <w:rsid w:val="00936C19"/>
    <w:rsid w:val="009474EF"/>
    <w:rsid w:val="00951C24"/>
    <w:rsid w:val="00962626"/>
    <w:rsid w:val="00975A2C"/>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54527"/>
    <w:rsid w:val="00B6265E"/>
    <w:rsid w:val="00B65354"/>
    <w:rsid w:val="00B71A0E"/>
    <w:rsid w:val="00B81765"/>
    <w:rsid w:val="00B832F5"/>
    <w:rsid w:val="00B91A0A"/>
    <w:rsid w:val="00BA1895"/>
    <w:rsid w:val="00BA2FAB"/>
    <w:rsid w:val="00BB5E28"/>
    <w:rsid w:val="00BD15F3"/>
    <w:rsid w:val="00BD53EF"/>
    <w:rsid w:val="00BD7986"/>
    <w:rsid w:val="00BD79D3"/>
    <w:rsid w:val="00BF5884"/>
    <w:rsid w:val="00C04F82"/>
    <w:rsid w:val="00C15AC0"/>
    <w:rsid w:val="00C26030"/>
    <w:rsid w:val="00C41091"/>
    <w:rsid w:val="00C51D58"/>
    <w:rsid w:val="00C63056"/>
    <w:rsid w:val="00C661D1"/>
    <w:rsid w:val="00C775BA"/>
    <w:rsid w:val="00C85331"/>
    <w:rsid w:val="00C85500"/>
    <w:rsid w:val="00C85A50"/>
    <w:rsid w:val="00C94D46"/>
    <w:rsid w:val="00CA443A"/>
    <w:rsid w:val="00CB2461"/>
    <w:rsid w:val="00CB37FD"/>
    <w:rsid w:val="00CC4D65"/>
    <w:rsid w:val="00CC61E7"/>
    <w:rsid w:val="00CD25AD"/>
    <w:rsid w:val="00CD3FFC"/>
    <w:rsid w:val="00CE61BF"/>
    <w:rsid w:val="00CF565C"/>
    <w:rsid w:val="00D016A3"/>
    <w:rsid w:val="00D14E74"/>
    <w:rsid w:val="00D251AA"/>
    <w:rsid w:val="00D512E3"/>
    <w:rsid w:val="00D602C9"/>
    <w:rsid w:val="00DA26A9"/>
    <w:rsid w:val="00DB01FF"/>
    <w:rsid w:val="00DB5AA6"/>
    <w:rsid w:val="00DC7778"/>
    <w:rsid w:val="00DE7391"/>
    <w:rsid w:val="00DF2DB5"/>
    <w:rsid w:val="00DF6560"/>
    <w:rsid w:val="00E04CC0"/>
    <w:rsid w:val="00E136FF"/>
    <w:rsid w:val="00E32528"/>
    <w:rsid w:val="00E35F26"/>
    <w:rsid w:val="00E53165"/>
    <w:rsid w:val="00E61EF7"/>
    <w:rsid w:val="00E663B4"/>
    <w:rsid w:val="00E71759"/>
    <w:rsid w:val="00E73C19"/>
    <w:rsid w:val="00E80CEB"/>
    <w:rsid w:val="00EA5103"/>
    <w:rsid w:val="00EA6FB9"/>
    <w:rsid w:val="00EB5E6A"/>
    <w:rsid w:val="00EC2AD7"/>
    <w:rsid w:val="00ED7DE0"/>
    <w:rsid w:val="00EE7891"/>
    <w:rsid w:val="00EF49FE"/>
    <w:rsid w:val="00EF5341"/>
    <w:rsid w:val="00EF5E71"/>
    <w:rsid w:val="00F01D38"/>
    <w:rsid w:val="00F022C1"/>
    <w:rsid w:val="00F04908"/>
    <w:rsid w:val="00F07C21"/>
    <w:rsid w:val="00F12EF6"/>
    <w:rsid w:val="00F21065"/>
    <w:rsid w:val="00F225A5"/>
    <w:rsid w:val="00F24CB4"/>
    <w:rsid w:val="00F31E44"/>
    <w:rsid w:val="00F43465"/>
    <w:rsid w:val="00F45475"/>
    <w:rsid w:val="00F64E72"/>
    <w:rsid w:val="00F65424"/>
    <w:rsid w:val="00F70C7D"/>
    <w:rsid w:val="00F9272E"/>
    <w:rsid w:val="00F97743"/>
    <w:rsid w:val="00FA6DAF"/>
    <w:rsid w:val="00FC6884"/>
    <w:rsid w:val="00FE62F3"/>
    <w:rsid w:val="00FF71D2"/>
    <w:rsid w:val="05C14C3D"/>
    <w:rsid w:val="06D870D9"/>
    <w:rsid w:val="09293304"/>
    <w:rsid w:val="0DB43078"/>
    <w:rsid w:val="13877630"/>
    <w:rsid w:val="140C1569"/>
    <w:rsid w:val="19040FC4"/>
    <w:rsid w:val="1B2418A5"/>
    <w:rsid w:val="1DB63878"/>
    <w:rsid w:val="1FBFC074"/>
    <w:rsid w:val="20243BCC"/>
    <w:rsid w:val="21283172"/>
    <w:rsid w:val="255F2A47"/>
    <w:rsid w:val="25652EDE"/>
    <w:rsid w:val="31014425"/>
    <w:rsid w:val="33645A78"/>
    <w:rsid w:val="33B14BC3"/>
    <w:rsid w:val="35902FA2"/>
    <w:rsid w:val="36C720A4"/>
    <w:rsid w:val="36FB9E1F"/>
    <w:rsid w:val="381946E1"/>
    <w:rsid w:val="39B003B6"/>
    <w:rsid w:val="3A50345B"/>
    <w:rsid w:val="3B9D79CE"/>
    <w:rsid w:val="3BFA3B96"/>
    <w:rsid w:val="3CEF3472"/>
    <w:rsid w:val="3E120292"/>
    <w:rsid w:val="3EFF16E9"/>
    <w:rsid w:val="420E5181"/>
    <w:rsid w:val="434A043B"/>
    <w:rsid w:val="47FA75D9"/>
    <w:rsid w:val="4A8232F8"/>
    <w:rsid w:val="519A07DF"/>
    <w:rsid w:val="567D5022"/>
    <w:rsid w:val="5A0C5FF2"/>
    <w:rsid w:val="5B7F07AB"/>
    <w:rsid w:val="5DA14CA4"/>
    <w:rsid w:val="63100A20"/>
    <w:rsid w:val="644A563F"/>
    <w:rsid w:val="64AA4AE5"/>
    <w:rsid w:val="71954707"/>
    <w:rsid w:val="7206621D"/>
    <w:rsid w:val="73AF2A42"/>
    <w:rsid w:val="76676633"/>
    <w:rsid w:val="77CF73AC"/>
    <w:rsid w:val="78FF0116"/>
    <w:rsid w:val="7B915F00"/>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autoRedefine/>
    <w:qFormat/>
    <w:uiPriority w:val="34"/>
    <w:pPr>
      <w:ind w:firstLine="420" w:firstLineChars="200"/>
    </w:pPr>
    <w:rPr>
      <w:rFonts w:ascii="Calibri" w:hAnsi="Calibri"/>
      <w:szCs w:val="22"/>
    </w:rPr>
  </w:style>
  <w:style w:type="paragraph" w:customStyle="1" w:styleId="8">
    <w:name w:val="Char Char Char"/>
    <w:basedOn w:val="1"/>
    <w:autoRedefine/>
    <w:qFormat/>
    <w:uiPriority w:val="0"/>
    <w:rPr>
      <w:szCs w:val="21"/>
    </w:rPr>
  </w:style>
  <w:style w:type="paragraph" w:customStyle="1" w:styleId="9">
    <w:name w:val="Char Char Char Char Char Char Char Char Char Char Char Char Char Char Char Char"/>
    <w:basedOn w:val="1"/>
    <w:autoRedefine/>
    <w:qFormat/>
    <w:uiPriority w:val="0"/>
  </w:style>
  <w:style w:type="paragraph" w:customStyle="1" w:styleId="10">
    <w:name w:val="Char Char Char1"/>
    <w:basedOn w:val="1"/>
    <w:autoRedefine/>
    <w:qFormat/>
    <w:uiPriority w:val="0"/>
  </w:style>
  <w:style w:type="character" w:customStyle="1" w:styleId="11">
    <w:name w:val="页脚 Char"/>
    <w:basedOn w:val="6"/>
    <w:link w:val="2"/>
    <w:autoRedefine/>
    <w:qFormat/>
    <w:uiPriority w:val="0"/>
    <w:rPr>
      <w:kern w:val="2"/>
      <w:sz w:val="18"/>
      <w:szCs w:val="18"/>
    </w:rPr>
  </w:style>
  <w:style w:type="character" w:customStyle="1" w:styleId="12">
    <w:name w:val="页眉 Char"/>
    <w:basedOn w:val="6"/>
    <w:link w:val="3"/>
    <w:qFormat/>
    <w:uiPriority w:val="0"/>
    <w:rPr>
      <w:kern w:val="2"/>
      <w:sz w:val="18"/>
      <w:szCs w:val="18"/>
    </w:rPr>
  </w:style>
  <w:style w:type="paragraph" w:styleId="13">
    <w:name w:val="List Paragraph"/>
    <w:basedOn w:val="1"/>
    <w:autoRedefine/>
    <w:qFormat/>
    <w:uiPriority w:val="99"/>
    <w:pPr>
      <w:ind w:firstLine="420" w:firstLineChars="200"/>
    </w:pPr>
  </w:style>
  <w:style w:type="character" w:customStyle="1" w:styleId="14">
    <w:name w:val="HTML 预设格式 Char"/>
    <w:basedOn w:val="6"/>
    <w:link w:val="4"/>
    <w:autoRedefine/>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2225</Words>
  <Characters>2321</Characters>
  <Lines>16</Lines>
  <Paragraphs>4</Paragraphs>
  <TotalTime>171</TotalTime>
  <ScaleCrop>false</ScaleCrop>
  <LinksUpToDate>false</LinksUpToDate>
  <CharactersWithSpaces>2449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张逸沛</cp:lastModifiedBy>
  <cp:lastPrinted>2024-05-11T01:16:50Z</cp:lastPrinted>
  <dcterms:modified xsi:type="dcterms:W3CDTF">2024-05-11T07:02:16Z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0E976B954EC54E30B9BB8A1672504CA1_13</vt:lpwstr>
  </property>
</Properties>
</file>