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637D7" w:rsidRDefault="00000000">
      <w:pPr>
        <w:spacing w:line="288" w:lineRule="auto"/>
        <w:rPr>
          <w:rFonts w:ascii="宋体" w:eastAsia="宋体" w:hAnsi="宋体" w:cs="宋体"/>
          <w:sz w:val="24"/>
        </w:rPr>
      </w:pPr>
      <w:r>
        <w:rPr>
          <w:rFonts w:ascii="宋体" w:eastAsia="宋体" w:hAnsi="宋体" w:cs="宋体" w:hint="eastAsia"/>
          <w:sz w:val="24"/>
        </w:rPr>
        <w:t>证券代码：688146                                   证券简称：中船特气</w:t>
      </w:r>
    </w:p>
    <w:p w:rsidR="003637D7" w:rsidRDefault="00000000">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中船（邯郸）派瑞特种气体股份有限公司</w:t>
      </w:r>
    </w:p>
    <w:p w:rsidR="003637D7" w:rsidRDefault="00000000">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投资者关系活动记录表</w:t>
      </w:r>
    </w:p>
    <w:p w:rsidR="003637D7" w:rsidRDefault="00000000">
      <w:pPr>
        <w:spacing w:line="288" w:lineRule="auto"/>
        <w:jc w:val="right"/>
        <w:rPr>
          <w:rFonts w:ascii="宋体" w:eastAsia="宋体" w:hAnsi="宋体" w:cs="宋体" w:hint="eastAsia"/>
          <w:sz w:val="24"/>
        </w:rPr>
      </w:pPr>
      <w:r>
        <w:rPr>
          <w:rFonts w:ascii="宋体" w:eastAsia="宋体" w:hAnsi="宋体" w:cs="宋体"/>
          <w:sz w:val="24"/>
        </w:rPr>
        <w:t>编号：2024</w:t>
      </w:r>
      <w:r>
        <w:rPr>
          <w:rFonts w:ascii="宋体" w:eastAsia="宋体" w:hAnsi="宋体" w:cs="宋体" w:hint="eastAsia"/>
          <w:sz w:val="24"/>
        </w:rPr>
        <w:t>-</w:t>
      </w:r>
      <w:r w:rsidR="007D66CD">
        <w:rPr>
          <w:rFonts w:ascii="宋体" w:eastAsia="宋体" w:hAnsi="宋体" w:cs="宋体" w:hint="eastAsia"/>
          <w:sz w:val="24"/>
        </w:rPr>
        <w:t>003</w:t>
      </w:r>
    </w:p>
    <w:tbl>
      <w:tblPr>
        <w:tblStyle w:val="a7"/>
        <w:tblW w:w="0" w:type="auto"/>
        <w:tblLook w:val="04A0" w:firstRow="1" w:lastRow="0" w:firstColumn="1" w:lastColumn="0" w:noHBand="0" w:noVBand="1"/>
      </w:tblPr>
      <w:tblGrid>
        <w:gridCol w:w="2329"/>
        <w:gridCol w:w="5967"/>
      </w:tblGrid>
      <w:tr w:rsidR="003637D7">
        <w:trPr>
          <w:trHeight w:val="2223"/>
        </w:trPr>
        <w:tc>
          <w:tcPr>
            <w:tcW w:w="2361" w:type="dxa"/>
            <w:vAlign w:val="center"/>
          </w:tcPr>
          <w:p w:rsidR="003637D7" w:rsidRDefault="00000000">
            <w:pPr>
              <w:spacing w:line="360" w:lineRule="auto"/>
              <w:rPr>
                <w:rFonts w:ascii="宋体" w:eastAsia="宋体" w:hAnsi="宋体" w:cs="宋体"/>
                <w:b/>
                <w:bCs/>
                <w:sz w:val="24"/>
              </w:rPr>
            </w:pPr>
            <w:r>
              <w:rPr>
                <w:rFonts w:ascii="宋体" w:eastAsia="宋体" w:hAnsi="宋体" w:cs="宋体"/>
                <w:b/>
                <w:bCs/>
                <w:sz w:val="24"/>
              </w:rPr>
              <w:t>投资者关系</w:t>
            </w:r>
          </w:p>
          <w:p w:rsidR="003637D7" w:rsidRDefault="00000000">
            <w:pPr>
              <w:spacing w:line="360" w:lineRule="auto"/>
              <w:rPr>
                <w:rFonts w:ascii="宋体" w:eastAsia="宋体" w:hAnsi="宋体" w:cs="宋体"/>
                <w:sz w:val="24"/>
              </w:rPr>
            </w:pPr>
            <w:r>
              <w:rPr>
                <w:rFonts w:ascii="宋体" w:eastAsia="宋体" w:hAnsi="宋体" w:cs="宋体"/>
                <w:b/>
                <w:bCs/>
                <w:sz w:val="24"/>
              </w:rPr>
              <w:t>活动类别</w:t>
            </w:r>
          </w:p>
        </w:tc>
        <w:tc>
          <w:tcPr>
            <w:tcW w:w="6058" w:type="dxa"/>
            <w:vAlign w:val="center"/>
          </w:tcPr>
          <w:p w:rsidR="003637D7" w:rsidRDefault="00000000">
            <w:pPr>
              <w:spacing w:line="360" w:lineRule="auto"/>
              <w:rPr>
                <w:rFonts w:ascii="宋体" w:eastAsia="宋体" w:hAnsi="宋体" w:cs="宋体"/>
                <w:sz w:val="24"/>
              </w:rPr>
            </w:pPr>
            <w:r>
              <w:rPr>
                <w:rFonts w:ascii="宋体" w:eastAsia="宋体" w:hAnsi="宋体" w:cs="宋体" w:hint="eastAsia"/>
                <w:sz w:val="24"/>
              </w:rPr>
              <w:sym w:font="Wingdings 2" w:char="F052"/>
            </w:r>
            <w:r>
              <w:rPr>
                <w:rFonts w:ascii="宋体" w:eastAsia="宋体" w:hAnsi="宋体" w:cs="宋体"/>
                <w:sz w:val="24"/>
              </w:rPr>
              <w:t xml:space="preserve">特定对象调研 </w:t>
            </w:r>
            <w:r>
              <w:rPr>
                <w:rFonts w:ascii="宋体" w:eastAsia="宋体" w:hAnsi="宋体" w:cs="宋体" w:hint="eastAsia"/>
                <w:sz w:val="24"/>
              </w:rPr>
              <w:t xml:space="preserve">  □</w:t>
            </w:r>
            <w:r>
              <w:rPr>
                <w:rFonts w:ascii="宋体" w:eastAsia="宋体" w:hAnsi="宋体" w:cs="宋体"/>
                <w:sz w:val="24"/>
              </w:rPr>
              <w:t>分析师会议</w:t>
            </w:r>
          </w:p>
          <w:p w:rsidR="003637D7" w:rsidRDefault="00000000">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sz w:val="24"/>
              </w:rPr>
              <w:t xml:space="preserve">媒体采访 </w:t>
            </w:r>
            <w:r>
              <w:rPr>
                <w:rFonts w:ascii="宋体" w:eastAsia="宋体" w:hAnsi="宋体" w:cs="宋体" w:hint="eastAsia"/>
                <w:sz w:val="24"/>
              </w:rPr>
              <w:t xml:space="preserve">      </w:t>
            </w:r>
            <w:r>
              <w:rPr>
                <w:rFonts w:ascii="宋体" w:eastAsia="宋体" w:hAnsi="宋体" w:cs="宋体"/>
                <w:sz w:val="24"/>
              </w:rPr>
              <w:t>□业绩说明会</w:t>
            </w:r>
          </w:p>
          <w:p w:rsidR="003637D7" w:rsidRDefault="00000000">
            <w:pPr>
              <w:spacing w:line="360" w:lineRule="auto"/>
              <w:rPr>
                <w:rFonts w:ascii="宋体" w:eastAsia="宋体" w:hAnsi="宋体" w:cs="宋体"/>
                <w:sz w:val="24"/>
              </w:rPr>
            </w:pPr>
            <w:r>
              <w:rPr>
                <w:rFonts w:ascii="宋体" w:eastAsia="宋体" w:hAnsi="宋体" w:cs="宋体"/>
                <w:sz w:val="24"/>
              </w:rPr>
              <w:t xml:space="preserve">□新闻发布会 </w:t>
            </w:r>
            <w:r>
              <w:rPr>
                <w:rFonts w:ascii="宋体" w:eastAsia="宋体" w:hAnsi="宋体" w:cs="宋体" w:hint="eastAsia"/>
                <w:sz w:val="24"/>
              </w:rPr>
              <w:t xml:space="preserve">    □</w:t>
            </w:r>
            <w:r>
              <w:rPr>
                <w:rFonts w:ascii="宋体" w:eastAsia="宋体" w:hAnsi="宋体" w:cs="宋体"/>
                <w:sz w:val="24"/>
              </w:rPr>
              <w:t>路演活动</w:t>
            </w:r>
          </w:p>
          <w:p w:rsidR="003637D7" w:rsidRDefault="00000000">
            <w:pPr>
              <w:spacing w:line="360" w:lineRule="auto"/>
              <w:rPr>
                <w:rFonts w:ascii="宋体" w:eastAsia="宋体" w:hAnsi="宋体" w:cs="宋体"/>
                <w:sz w:val="24"/>
              </w:rPr>
            </w:pPr>
            <w:r>
              <w:rPr>
                <w:rFonts w:ascii="宋体" w:eastAsia="宋体" w:hAnsi="宋体" w:cs="宋体"/>
                <w:sz w:val="24"/>
              </w:rPr>
              <w:t>□现场参观</w:t>
            </w:r>
            <w:r w:rsidR="00C722EC">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sz w:val="24"/>
              </w:rPr>
              <w:t>电话会议</w:t>
            </w:r>
          </w:p>
          <w:p w:rsidR="003637D7" w:rsidRDefault="00000000">
            <w:pPr>
              <w:spacing w:line="360" w:lineRule="auto"/>
              <w:rPr>
                <w:rFonts w:ascii="宋体" w:eastAsia="宋体" w:hAnsi="宋体" w:cs="宋体"/>
                <w:sz w:val="24"/>
              </w:rPr>
            </w:pPr>
            <w:r>
              <w:rPr>
                <w:rFonts w:ascii="宋体" w:eastAsia="宋体" w:hAnsi="宋体" w:cs="宋体"/>
                <w:sz w:val="24"/>
              </w:rPr>
              <w:t xml:space="preserve">□其他 </w:t>
            </w:r>
          </w:p>
        </w:tc>
      </w:tr>
      <w:tr w:rsidR="003637D7">
        <w:trPr>
          <w:trHeight w:val="1132"/>
        </w:trPr>
        <w:tc>
          <w:tcPr>
            <w:tcW w:w="2361" w:type="dxa"/>
            <w:vAlign w:val="center"/>
          </w:tcPr>
          <w:p w:rsidR="003637D7" w:rsidRDefault="00000000">
            <w:pPr>
              <w:spacing w:line="360" w:lineRule="auto"/>
              <w:rPr>
                <w:rFonts w:ascii="宋体" w:eastAsia="宋体" w:hAnsi="宋体" w:cs="宋体"/>
                <w:sz w:val="24"/>
              </w:rPr>
            </w:pPr>
            <w:r>
              <w:rPr>
                <w:rFonts w:ascii="宋体" w:eastAsia="宋体" w:hAnsi="宋体" w:cs="宋体"/>
                <w:b/>
                <w:bCs/>
                <w:sz w:val="24"/>
              </w:rPr>
              <w:t>参与单位名称</w:t>
            </w:r>
            <w:r>
              <w:rPr>
                <w:rFonts w:ascii="宋体" w:eastAsia="宋体" w:hAnsi="宋体" w:cs="宋体"/>
                <w:sz w:val="24"/>
              </w:rPr>
              <w:t>：</w:t>
            </w:r>
          </w:p>
        </w:tc>
        <w:tc>
          <w:tcPr>
            <w:tcW w:w="6058" w:type="dxa"/>
            <w:vAlign w:val="center"/>
          </w:tcPr>
          <w:p w:rsidR="003637D7" w:rsidRDefault="00000000">
            <w:pPr>
              <w:spacing w:line="360" w:lineRule="auto"/>
              <w:jc w:val="left"/>
              <w:rPr>
                <w:rFonts w:ascii="宋体" w:eastAsia="仿宋_GB2312" w:hAnsi="宋体" w:cs="宋体"/>
                <w:sz w:val="24"/>
              </w:rPr>
            </w:pPr>
            <w:r>
              <w:rPr>
                <w:rFonts w:ascii="宋体" w:eastAsia="宋体" w:hAnsi="宋体" w:cs="宋体" w:hint="eastAsia"/>
                <w:sz w:val="24"/>
              </w:rPr>
              <w:t>华安基金</w:t>
            </w:r>
          </w:p>
        </w:tc>
      </w:tr>
      <w:tr w:rsidR="003637D7">
        <w:trPr>
          <w:trHeight w:val="599"/>
        </w:trPr>
        <w:tc>
          <w:tcPr>
            <w:tcW w:w="2361" w:type="dxa"/>
            <w:vAlign w:val="center"/>
          </w:tcPr>
          <w:p w:rsidR="003637D7" w:rsidRDefault="00000000">
            <w:pPr>
              <w:spacing w:line="360" w:lineRule="auto"/>
              <w:rPr>
                <w:rFonts w:ascii="宋体" w:eastAsia="宋体" w:hAnsi="宋体" w:cs="宋体"/>
                <w:b/>
                <w:bCs/>
                <w:sz w:val="24"/>
              </w:rPr>
            </w:pPr>
            <w:r>
              <w:rPr>
                <w:rFonts w:ascii="宋体" w:eastAsia="宋体" w:hAnsi="宋体" w:cs="宋体" w:hint="eastAsia"/>
                <w:b/>
                <w:bCs/>
                <w:sz w:val="24"/>
              </w:rPr>
              <w:t>时间</w:t>
            </w:r>
          </w:p>
        </w:tc>
        <w:tc>
          <w:tcPr>
            <w:tcW w:w="6058" w:type="dxa"/>
            <w:vAlign w:val="center"/>
          </w:tcPr>
          <w:p w:rsidR="003637D7" w:rsidRDefault="00000000">
            <w:pPr>
              <w:spacing w:line="360" w:lineRule="auto"/>
              <w:rPr>
                <w:rFonts w:ascii="宋体" w:eastAsia="宋体" w:hAnsi="宋体" w:cs="宋体"/>
                <w:sz w:val="24"/>
              </w:rPr>
            </w:pPr>
            <w:r>
              <w:rPr>
                <w:rFonts w:ascii="宋体" w:eastAsia="宋体" w:hAnsi="宋体" w:cs="宋体" w:hint="eastAsia"/>
                <w:sz w:val="24"/>
              </w:rPr>
              <w:t>2024年5月10日9时00分</w:t>
            </w:r>
          </w:p>
        </w:tc>
      </w:tr>
      <w:tr w:rsidR="003637D7">
        <w:trPr>
          <w:trHeight w:val="604"/>
        </w:trPr>
        <w:tc>
          <w:tcPr>
            <w:tcW w:w="2361" w:type="dxa"/>
            <w:vAlign w:val="center"/>
          </w:tcPr>
          <w:p w:rsidR="003637D7" w:rsidRDefault="00000000">
            <w:pPr>
              <w:spacing w:line="360" w:lineRule="auto"/>
              <w:rPr>
                <w:rFonts w:ascii="宋体" w:eastAsia="宋体" w:hAnsi="宋体" w:cs="宋体"/>
                <w:b/>
                <w:bCs/>
                <w:sz w:val="24"/>
              </w:rPr>
            </w:pPr>
            <w:r>
              <w:rPr>
                <w:rFonts w:ascii="宋体" w:eastAsia="宋体" w:hAnsi="宋体" w:cs="宋体" w:hint="eastAsia"/>
                <w:b/>
                <w:bCs/>
                <w:sz w:val="24"/>
              </w:rPr>
              <w:t>地点</w:t>
            </w:r>
          </w:p>
        </w:tc>
        <w:tc>
          <w:tcPr>
            <w:tcW w:w="6058" w:type="dxa"/>
            <w:vAlign w:val="center"/>
          </w:tcPr>
          <w:p w:rsidR="003637D7" w:rsidRDefault="00000000">
            <w:pPr>
              <w:spacing w:line="360" w:lineRule="auto"/>
              <w:rPr>
                <w:rFonts w:ascii="宋体" w:eastAsia="宋体" w:hAnsi="宋体" w:cs="宋体"/>
                <w:sz w:val="24"/>
              </w:rPr>
            </w:pPr>
            <w:r>
              <w:rPr>
                <w:rFonts w:ascii="宋体" w:eastAsia="宋体" w:hAnsi="宋体" w:cs="宋体" w:hint="eastAsia"/>
                <w:sz w:val="24"/>
              </w:rPr>
              <w:t>四川省成都市锦江区滨江中路9号</w:t>
            </w:r>
          </w:p>
        </w:tc>
      </w:tr>
      <w:tr w:rsidR="003637D7">
        <w:trPr>
          <w:trHeight w:val="1061"/>
        </w:trPr>
        <w:tc>
          <w:tcPr>
            <w:tcW w:w="2361" w:type="dxa"/>
            <w:vAlign w:val="center"/>
          </w:tcPr>
          <w:p w:rsidR="003637D7" w:rsidRDefault="00000000">
            <w:pPr>
              <w:spacing w:line="360" w:lineRule="auto"/>
              <w:rPr>
                <w:rFonts w:ascii="宋体" w:eastAsia="宋体" w:hAnsi="宋体" w:cs="宋体"/>
                <w:b/>
                <w:bCs/>
                <w:sz w:val="24"/>
              </w:rPr>
            </w:pPr>
            <w:r>
              <w:rPr>
                <w:rFonts w:ascii="宋体" w:eastAsia="宋体" w:hAnsi="宋体" w:cs="宋体" w:hint="eastAsia"/>
                <w:b/>
                <w:bCs/>
                <w:sz w:val="24"/>
              </w:rPr>
              <w:t>上市公司接待人员</w:t>
            </w:r>
          </w:p>
        </w:tc>
        <w:tc>
          <w:tcPr>
            <w:tcW w:w="6058" w:type="dxa"/>
            <w:vAlign w:val="center"/>
          </w:tcPr>
          <w:p w:rsidR="003637D7" w:rsidRDefault="00000000">
            <w:pPr>
              <w:spacing w:line="360" w:lineRule="auto"/>
              <w:rPr>
                <w:rFonts w:ascii="宋体" w:eastAsia="宋体" w:hAnsi="宋体" w:cs="宋体"/>
                <w:sz w:val="24"/>
              </w:rPr>
            </w:pPr>
            <w:r>
              <w:rPr>
                <w:rFonts w:ascii="宋体" w:eastAsia="宋体" w:hAnsi="宋体" w:cs="宋体" w:hint="eastAsia"/>
                <w:sz w:val="24"/>
              </w:rPr>
              <w:t>副总经理、董事会秘书  许  晖</w:t>
            </w:r>
          </w:p>
          <w:p w:rsidR="003637D7" w:rsidRDefault="00000000">
            <w:pPr>
              <w:spacing w:line="360" w:lineRule="auto"/>
              <w:rPr>
                <w:rFonts w:ascii="宋体" w:eastAsia="宋体" w:hAnsi="宋体" w:cs="宋体"/>
                <w:sz w:val="24"/>
              </w:rPr>
            </w:pPr>
            <w:r>
              <w:rPr>
                <w:rFonts w:ascii="宋体" w:eastAsia="宋体" w:hAnsi="宋体" w:cs="宋体" w:hint="eastAsia"/>
                <w:sz w:val="24"/>
              </w:rPr>
              <w:t>证券事务代表          李迎敏</w:t>
            </w:r>
          </w:p>
          <w:p w:rsidR="004E53E9" w:rsidRDefault="004E53E9">
            <w:pPr>
              <w:spacing w:line="360" w:lineRule="auto"/>
              <w:rPr>
                <w:rFonts w:ascii="宋体" w:eastAsia="宋体" w:hAnsi="宋体" w:cs="宋体" w:hint="eastAsia"/>
                <w:sz w:val="24"/>
              </w:rPr>
            </w:pPr>
            <w:r>
              <w:rPr>
                <w:rFonts w:ascii="宋体" w:eastAsia="宋体" w:hAnsi="宋体" w:cs="宋体" w:hint="eastAsia"/>
                <w:sz w:val="24"/>
              </w:rPr>
              <w:t>董事会办公室工作人员</w:t>
            </w:r>
          </w:p>
        </w:tc>
      </w:tr>
      <w:tr w:rsidR="003637D7">
        <w:trPr>
          <w:trHeight w:val="1884"/>
        </w:trPr>
        <w:tc>
          <w:tcPr>
            <w:tcW w:w="2361" w:type="dxa"/>
            <w:vAlign w:val="center"/>
          </w:tcPr>
          <w:p w:rsidR="003637D7" w:rsidRDefault="00000000">
            <w:pPr>
              <w:spacing w:line="360" w:lineRule="auto"/>
              <w:rPr>
                <w:rFonts w:ascii="宋体" w:eastAsia="宋体" w:hAnsi="宋体" w:cs="宋体"/>
                <w:b/>
                <w:bCs/>
                <w:sz w:val="24"/>
              </w:rPr>
            </w:pPr>
            <w:r>
              <w:rPr>
                <w:rFonts w:ascii="宋体" w:eastAsia="宋体" w:hAnsi="宋体" w:cs="宋体"/>
                <w:b/>
                <w:bCs/>
                <w:sz w:val="24"/>
              </w:rPr>
              <w:t>投资者关系活动</w:t>
            </w:r>
          </w:p>
          <w:p w:rsidR="003637D7" w:rsidRDefault="00000000">
            <w:pPr>
              <w:spacing w:line="360" w:lineRule="auto"/>
              <w:rPr>
                <w:rFonts w:ascii="宋体" w:eastAsia="宋体" w:hAnsi="宋体" w:cs="宋体"/>
                <w:sz w:val="24"/>
              </w:rPr>
            </w:pPr>
            <w:r>
              <w:rPr>
                <w:rFonts w:ascii="宋体" w:eastAsia="宋体" w:hAnsi="宋体" w:cs="宋体"/>
                <w:b/>
                <w:bCs/>
                <w:sz w:val="24"/>
              </w:rPr>
              <w:t>主要内容</w:t>
            </w:r>
          </w:p>
        </w:tc>
        <w:tc>
          <w:tcPr>
            <w:tcW w:w="6058" w:type="dxa"/>
            <w:vAlign w:val="center"/>
          </w:tcPr>
          <w:p w:rsidR="003637D7" w:rsidRDefault="00000000">
            <w:pPr>
              <w:numPr>
                <w:ilvl w:val="0"/>
                <w:numId w:val="1"/>
              </w:numPr>
              <w:spacing w:line="360" w:lineRule="auto"/>
              <w:ind w:firstLineChars="200" w:firstLine="482"/>
              <w:rPr>
                <w:rFonts w:ascii="宋体" w:eastAsia="宋体" w:hAnsi="宋体" w:cs="宋体"/>
                <w:b/>
                <w:bCs/>
                <w:sz w:val="24"/>
              </w:rPr>
            </w:pPr>
            <w:r>
              <w:rPr>
                <w:rFonts w:ascii="宋体" w:eastAsia="宋体" w:hAnsi="宋体" w:cs="宋体" w:hint="eastAsia"/>
                <w:b/>
                <w:bCs/>
                <w:sz w:val="24"/>
              </w:rPr>
              <w:t>请简要介绍：公司主营产品三氟化氮、六氟化钨具体应用业务领域；三氟化氮、六氟化钨两种产品的用量在半导体电子特气用量占比情况。</w:t>
            </w:r>
          </w:p>
          <w:p w:rsidR="003637D7"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答：中船特气主要从事电子特种气体及三氟甲磺酸系列产品的生产、研发和销售，主要产品包括三氟化氮、六氟化钨等电子特种气体及三氟甲磺酸系列产品。公司高纯三氟化氮主要应用于大规模集成电路和显示面板等制造领域的清洗工艺，由于其良好的蚀刻速率，并具有选择性的特点，在化学气相沉积（CVD）腔体清洗工艺中得到广泛应用；公司高纯六氟化钨主要应用于大规模集成电路化学气相沉积工艺，其沉积形成的钨导体膜用</w:t>
            </w:r>
            <w:r>
              <w:rPr>
                <w:rFonts w:ascii="宋体" w:eastAsia="宋体" w:hAnsi="宋体" w:cs="宋体" w:hint="eastAsia"/>
                <w:sz w:val="24"/>
              </w:rPr>
              <w:lastRenderedPageBreak/>
              <w:t>于通孔和接触孔，硅化钨则可以制作低电阻、高熔点的互连线。</w:t>
            </w:r>
          </w:p>
          <w:p w:rsidR="003637D7"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从电子特气细分气体来看，三氟化氮和六氟化钨的需求规模占比最大，其中，三氟化氮占比约为20%；六氟化钨占比约为8%。</w:t>
            </w:r>
          </w:p>
          <w:p w:rsidR="003637D7" w:rsidRDefault="00000000">
            <w:pPr>
              <w:spacing w:line="360" w:lineRule="auto"/>
              <w:ind w:firstLineChars="200" w:firstLine="482"/>
              <w:rPr>
                <w:rFonts w:ascii="宋体" w:eastAsia="宋体" w:hAnsi="宋体" w:cs="宋体"/>
                <w:b/>
                <w:bCs/>
                <w:sz w:val="24"/>
              </w:rPr>
            </w:pPr>
            <w:r>
              <w:rPr>
                <w:rFonts w:ascii="宋体" w:eastAsia="宋体" w:hAnsi="宋体" w:cs="宋体" w:hint="eastAsia"/>
                <w:b/>
                <w:bCs/>
                <w:sz w:val="24"/>
              </w:rPr>
              <w:t>2.电子特气产品主要运输方式是什么？公司产品交付是否存在运输半径限制。</w:t>
            </w:r>
          </w:p>
          <w:p w:rsidR="003637D7"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答：电子特种气体产品主要存储于特定包装容器内向客户交付，包装容器包括钢瓶、拖管车等，境内运输以汽运为主，境外以海运为主。运输成本占比相对较低，不存在运输半径限制。</w:t>
            </w:r>
          </w:p>
          <w:p w:rsidR="003637D7" w:rsidRDefault="00000000">
            <w:pPr>
              <w:spacing w:line="360" w:lineRule="auto"/>
              <w:ind w:firstLineChars="200" w:firstLine="482"/>
              <w:rPr>
                <w:rFonts w:ascii="宋体" w:eastAsia="宋体" w:hAnsi="宋体" w:cs="宋体"/>
                <w:b/>
                <w:sz w:val="24"/>
              </w:rPr>
            </w:pPr>
            <w:r>
              <w:rPr>
                <w:rFonts w:ascii="宋体" w:eastAsia="宋体" w:hAnsi="宋体" w:cs="宋体" w:hint="eastAsia"/>
                <w:b/>
                <w:sz w:val="24"/>
              </w:rPr>
              <w:t>3.据市场公开信息，近期部分国内公司宣布进军电子特种气体市场或建设电子特种气体产能，请问公司如何看待今后的电子特种气体竞争格局。</w:t>
            </w:r>
          </w:p>
          <w:p w:rsidR="003637D7" w:rsidRDefault="00000000">
            <w:pPr>
              <w:spacing w:line="360" w:lineRule="auto"/>
              <w:ind w:firstLineChars="200" w:firstLine="480"/>
              <w:rPr>
                <w:rFonts w:ascii="宋体" w:eastAsia="宋体" w:hAnsi="宋体"/>
                <w:sz w:val="24"/>
              </w:rPr>
            </w:pPr>
            <w:r>
              <w:rPr>
                <w:rFonts w:ascii="宋体" w:eastAsia="宋体" w:hAnsi="宋体" w:hint="eastAsia"/>
                <w:sz w:val="24"/>
              </w:rPr>
              <w:t>答：电子特种气体的研发、生产具有相对较高的技术门槛，在研发能力、资金投入、产能建设、安全环保、知识产权以及后期的市场客户认证等方面，对后入者有较高的要求，是否能够形成持续稳定的供应能力，还需要市场进一步的验证。</w:t>
            </w:r>
          </w:p>
          <w:p w:rsidR="003637D7" w:rsidRDefault="00000000">
            <w:pPr>
              <w:spacing w:line="360" w:lineRule="auto"/>
              <w:ind w:firstLineChars="200" w:firstLine="480"/>
              <w:rPr>
                <w:rFonts w:ascii="宋体" w:eastAsia="宋体" w:hAnsi="宋体"/>
                <w:sz w:val="24"/>
              </w:rPr>
            </w:pPr>
            <w:r>
              <w:rPr>
                <w:rFonts w:ascii="宋体" w:eastAsia="宋体" w:hAnsi="宋体" w:hint="eastAsia"/>
                <w:sz w:val="24"/>
              </w:rPr>
              <w:t>随着半导体产业去库存的持续推进，行业在积蓄增长动能，2024年以来，国内半导体市场复苏势头明显。中国作为全球最大的半导体消费市场，随着国家政策的推动、高新技术的发展，以及下游需求的总体增长趋势，特种气体市场规模将持续增长。目前，公司部分产品已成功进入集成电路3nm 先进制程节点供应链，未来，公司更加看重国内先进制程技术突破带来的市场增量以及境外市场的持续开拓。</w:t>
            </w:r>
          </w:p>
          <w:p w:rsidR="003637D7" w:rsidRDefault="00000000">
            <w:pPr>
              <w:spacing w:line="360" w:lineRule="auto"/>
              <w:ind w:firstLineChars="200" w:firstLine="482"/>
              <w:rPr>
                <w:rFonts w:ascii="宋体" w:eastAsia="宋体" w:hAnsi="宋体"/>
                <w:b/>
                <w:sz w:val="24"/>
              </w:rPr>
            </w:pPr>
            <w:r>
              <w:rPr>
                <w:rFonts w:ascii="宋体" w:eastAsia="宋体" w:hAnsi="宋体" w:hint="eastAsia"/>
                <w:b/>
                <w:sz w:val="24"/>
              </w:rPr>
              <w:t>4.在现阶段全球经济形势下，请问公司在境外市场开拓方面有什么计划或安排？</w:t>
            </w:r>
          </w:p>
          <w:p w:rsidR="003637D7" w:rsidRDefault="00000000">
            <w:pPr>
              <w:spacing w:line="360" w:lineRule="auto"/>
              <w:ind w:firstLineChars="200" w:firstLine="480"/>
              <w:rPr>
                <w:rFonts w:ascii="宋体" w:eastAsia="宋体" w:hAnsi="宋体"/>
                <w:sz w:val="24"/>
              </w:rPr>
            </w:pPr>
            <w:r>
              <w:rPr>
                <w:rFonts w:ascii="宋体" w:eastAsia="宋体" w:hAnsi="宋体" w:hint="eastAsia"/>
                <w:sz w:val="24"/>
              </w:rPr>
              <w:lastRenderedPageBreak/>
              <w:t>答：首先，公司具有长期境外市场开发、开拓的经验，具备了相对完善的市场开发渠道和产品供应体系。公司已实现对境外知名半导体厂商的持续稳定供应；其次，公司将进一步完善产能布局，以更多样的方式参与全球竞争。公司发展愿景是致力于成为世界电子特气的主导力量，我们希望的是未来几年境外收入增速大于境内收入增速，并实现更多新产品的境外销售。</w:t>
            </w:r>
          </w:p>
        </w:tc>
      </w:tr>
      <w:tr w:rsidR="003637D7">
        <w:trPr>
          <w:trHeight w:val="1100"/>
        </w:trPr>
        <w:tc>
          <w:tcPr>
            <w:tcW w:w="2361" w:type="dxa"/>
            <w:vAlign w:val="center"/>
          </w:tcPr>
          <w:p w:rsidR="003637D7" w:rsidRDefault="00000000">
            <w:pPr>
              <w:spacing w:line="360" w:lineRule="auto"/>
              <w:rPr>
                <w:rFonts w:ascii="宋体" w:eastAsia="宋体" w:hAnsi="宋体" w:cs="宋体"/>
                <w:sz w:val="24"/>
              </w:rPr>
            </w:pPr>
            <w:r>
              <w:rPr>
                <w:rFonts w:ascii="宋体" w:eastAsia="宋体" w:hAnsi="宋体" w:cs="宋体" w:hint="eastAsia"/>
                <w:b/>
                <w:bCs/>
                <w:sz w:val="24"/>
              </w:rPr>
              <w:lastRenderedPageBreak/>
              <w:t>附件清单</w:t>
            </w:r>
            <w:r>
              <w:rPr>
                <w:rFonts w:ascii="宋体" w:eastAsia="宋体" w:hAnsi="宋体" w:cs="宋体" w:hint="eastAsia"/>
                <w:sz w:val="24"/>
              </w:rPr>
              <w:t>（如有）</w:t>
            </w:r>
          </w:p>
        </w:tc>
        <w:tc>
          <w:tcPr>
            <w:tcW w:w="6058" w:type="dxa"/>
            <w:vAlign w:val="center"/>
          </w:tcPr>
          <w:p w:rsidR="003637D7" w:rsidRDefault="00000000">
            <w:pPr>
              <w:spacing w:line="360" w:lineRule="auto"/>
              <w:rPr>
                <w:rFonts w:ascii="宋体" w:eastAsia="宋体" w:hAnsi="宋体" w:cs="宋体"/>
                <w:sz w:val="24"/>
              </w:rPr>
            </w:pPr>
            <w:r>
              <w:rPr>
                <w:rFonts w:ascii="宋体" w:eastAsia="宋体" w:hAnsi="宋体" w:cs="宋体"/>
                <w:sz w:val="24"/>
              </w:rPr>
              <w:t>无</w:t>
            </w:r>
          </w:p>
        </w:tc>
      </w:tr>
    </w:tbl>
    <w:p w:rsidR="003637D7" w:rsidRDefault="003637D7">
      <w:pPr>
        <w:rPr>
          <w:rFonts w:ascii="宋体" w:eastAsia="宋体" w:hAnsi="宋体" w:cs="宋体"/>
          <w:sz w:val="24"/>
        </w:rPr>
      </w:pPr>
    </w:p>
    <w:sectPr w:rsidR="00363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F50B8B"/>
    <w:multiLevelType w:val="singleLevel"/>
    <w:tmpl w:val="F5F50B8B"/>
    <w:lvl w:ilvl="0">
      <w:start w:val="1"/>
      <w:numFmt w:val="decimal"/>
      <w:lvlText w:val="%1."/>
      <w:lvlJc w:val="left"/>
      <w:pPr>
        <w:tabs>
          <w:tab w:val="left" w:pos="312"/>
        </w:tabs>
      </w:pPr>
    </w:lvl>
  </w:abstractNum>
  <w:num w:numId="1" w16cid:durableId="104825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JiYzNkOWYyZjA1ZGM0ZjI0YzBkMzEwMjI5OTMxOTYifQ=="/>
  </w:docVars>
  <w:rsids>
    <w:rsidRoot w:val="00E41DD3"/>
    <w:rsid w:val="0002334C"/>
    <w:rsid w:val="000619DF"/>
    <w:rsid w:val="000C265C"/>
    <w:rsid w:val="000F0EAB"/>
    <w:rsid w:val="0011307A"/>
    <w:rsid w:val="00136CB9"/>
    <w:rsid w:val="0014011E"/>
    <w:rsid w:val="0015638D"/>
    <w:rsid w:val="00156953"/>
    <w:rsid w:val="00162EAA"/>
    <w:rsid w:val="00291E73"/>
    <w:rsid w:val="002C424F"/>
    <w:rsid w:val="00352AAB"/>
    <w:rsid w:val="00361851"/>
    <w:rsid w:val="003637D7"/>
    <w:rsid w:val="004543E6"/>
    <w:rsid w:val="004A1C8D"/>
    <w:rsid w:val="004E53E9"/>
    <w:rsid w:val="00550720"/>
    <w:rsid w:val="00596575"/>
    <w:rsid w:val="00647780"/>
    <w:rsid w:val="006B13E9"/>
    <w:rsid w:val="007504E2"/>
    <w:rsid w:val="00752A8C"/>
    <w:rsid w:val="007613FB"/>
    <w:rsid w:val="007D66CD"/>
    <w:rsid w:val="00804746"/>
    <w:rsid w:val="008C7324"/>
    <w:rsid w:val="009B101A"/>
    <w:rsid w:val="00A06C21"/>
    <w:rsid w:val="00AF1C7A"/>
    <w:rsid w:val="00AF22B9"/>
    <w:rsid w:val="00C51DCB"/>
    <w:rsid w:val="00C722EC"/>
    <w:rsid w:val="00D05D35"/>
    <w:rsid w:val="00D45C12"/>
    <w:rsid w:val="00DE2D30"/>
    <w:rsid w:val="00DF6552"/>
    <w:rsid w:val="00E30A59"/>
    <w:rsid w:val="00E41DD3"/>
    <w:rsid w:val="00EF07D4"/>
    <w:rsid w:val="00F25459"/>
    <w:rsid w:val="07E82CF3"/>
    <w:rsid w:val="0D522589"/>
    <w:rsid w:val="0E436275"/>
    <w:rsid w:val="4CBA251B"/>
    <w:rsid w:val="505F3BA0"/>
    <w:rsid w:val="5E3865C5"/>
    <w:rsid w:val="6F994FF1"/>
    <w:rsid w:val="6FBE6756"/>
    <w:rsid w:val="76B669CC"/>
    <w:rsid w:val="7773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5EAB"/>
  <w15:docId w15:val="{7AED421D-CF46-407E-A295-ACB3B8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C379-C09C-4C4E-997C-000CA526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董事会办公室</dc:creator>
  <cp:lastModifiedBy>董事会办公室</cp:lastModifiedBy>
  <cp:revision>17</cp:revision>
  <dcterms:created xsi:type="dcterms:W3CDTF">2023-09-21T04:34:00Z</dcterms:created>
  <dcterms:modified xsi:type="dcterms:W3CDTF">2024-05-13T08:47:00Z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4BA19B1F1CF54D78B5D1CBC88D48013B_13</vt:lpwstr>
  </property>
</Properties>
</file>