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468D0" w:rsidRDefault="00000000">
      <w:pPr>
        <w:spacing w:line="288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证券代码：688146                                   证券简称：中</w:t>
      </w:r>
      <w:proofErr w:type="gramStart"/>
      <w:r>
        <w:rPr>
          <w:rFonts w:ascii="宋体" w:eastAsia="宋体" w:hAnsi="宋体" w:cs="宋体" w:hint="eastAsia"/>
          <w:sz w:val="24"/>
        </w:rPr>
        <w:t>船特气</w:t>
      </w:r>
      <w:proofErr w:type="gramEnd"/>
    </w:p>
    <w:p w:rsidR="004468D0" w:rsidRDefault="00000000">
      <w:pPr>
        <w:spacing w:beforeLines="50" w:before="156" w:afterLines="50" w:after="156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中船（邯郸）派瑞特种气体股份有限公司</w:t>
      </w:r>
    </w:p>
    <w:p w:rsidR="004468D0" w:rsidRDefault="00000000">
      <w:pPr>
        <w:spacing w:beforeLines="50" w:before="156" w:afterLines="50" w:after="156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投资者关系活动记录表</w:t>
      </w:r>
    </w:p>
    <w:p w:rsidR="004468D0" w:rsidRDefault="00000000">
      <w:pPr>
        <w:spacing w:line="288" w:lineRule="auto"/>
        <w:jc w:val="righ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编号：2024</w:t>
      </w:r>
      <w:r>
        <w:rPr>
          <w:rFonts w:ascii="宋体" w:eastAsia="宋体" w:hAnsi="宋体" w:cs="宋体" w:hint="eastAsia"/>
          <w:sz w:val="24"/>
        </w:rPr>
        <w:t>-</w:t>
      </w:r>
      <w:r w:rsidR="009B1513">
        <w:rPr>
          <w:rFonts w:ascii="宋体" w:eastAsia="宋体" w:hAnsi="宋体" w:cs="宋体" w:hint="eastAsia"/>
          <w:sz w:val="24"/>
        </w:rPr>
        <w:t>004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7"/>
        <w:gridCol w:w="5969"/>
      </w:tblGrid>
      <w:tr w:rsidR="004468D0">
        <w:trPr>
          <w:trHeight w:val="2223"/>
        </w:trPr>
        <w:tc>
          <w:tcPr>
            <w:tcW w:w="2361" w:type="dxa"/>
            <w:vAlign w:val="center"/>
          </w:tcPr>
          <w:p w:rsidR="004468D0" w:rsidRDefault="00000000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</w:rPr>
              <w:t>投资者关系</w:t>
            </w:r>
          </w:p>
          <w:p w:rsidR="004468D0" w:rsidRDefault="000000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</w:rPr>
              <w:t>活动类别</w:t>
            </w:r>
          </w:p>
        </w:tc>
        <w:tc>
          <w:tcPr>
            <w:tcW w:w="6058" w:type="dxa"/>
            <w:vAlign w:val="center"/>
          </w:tcPr>
          <w:p w:rsidR="004468D0" w:rsidRDefault="000000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52"/>
            </w:r>
            <w:r>
              <w:rPr>
                <w:rFonts w:ascii="宋体" w:eastAsia="宋体" w:hAnsi="宋体" w:cs="宋体"/>
                <w:sz w:val="24"/>
              </w:rPr>
              <w:t xml:space="preserve">特定对象调研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□</w:t>
            </w:r>
            <w:r>
              <w:rPr>
                <w:rFonts w:ascii="宋体" w:eastAsia="宋体" w:hAnsi="宋体" w:cs="宋体"/>
                <w:sz w:val="24"/>
              </w:rPr>
              <w:t>分析师会议</w:t>
            </w:r>
          </w:p>
          <w:p w:rsidR="004468D0" w:rsidRDefault="000000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宋体" w:eastAsia="宋体" w:hAnsi="宋体" w:cs="宋体"/>
                <w:sz w:val="24"/>
              </w:rPr>
              <w:t xml:space="preserve">媒体采访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/>
                <w:sz w:val="24"/>
              </w:rPr>
              <w:t>□业绩说明会</w:t>
            </w:r>
          </w:p>
          <w:p w:rsidR="004468D0" w:rsidRDefault="000000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□新闻发布会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□</w:t>
            </w:r>
            <w:r>
              <w:rPr>
                <w:rFonts w:ascii="宋体" w:eastAsia="宋体" w:hAnsi="宋体" w:cs="宋体"/>
                <w:sz w:val="24"/>
              </w:rPr>
              <w:t>路演活动</w:t>
            </w:r>
          </w:p>
          <w:p w:rsidR="004468D0" w:rsidRDefault="000000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□现场参观</w:t>
            </w:r>
            <w:r w:rsidR="009B1513">
              <w:rPr>
                <w:rFonts w:ascii="宋体" w:eastAsia="宋体" w:hAnsi="宋体" w:cs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宋体" w:eastAsia="宋体" w:hAnsi="宋体" w:cs="宋体"/>
                <w:sz w:val="24"/>
              </w:rPr>
              <w:t>电话会议</w:t>
            </w:r>
          </w:p>
          <w:p w:rsidR="004468D0" w:rsidRDefault="000000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□其他 </w:t>
            </w:r>
          </w:p>
        </w:tc>
      </w:tr>
      <w:tr w:rsidR="004468D0">
        <w:trPr>
          <w:trHeight w:val="1132"/>
        </w:trPr>
        <w:tc>
          <w:tcPr>
            <w:tcW w:w="2361" w:type="dxa"/>
            <w:vAlign w:val="center"/>
          </w:tcPr>
          <w:p w:rsidR="004468D0" w:rsidRDefault="000000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</w:rPr>
              <w:t>参与单位名称</w:t>
            </w:r>
            <w:r>
              <w:rPr>
                <w:rFonts w:ascii="宋体" w:eastAsia="宋体" w:hAnsi="宋体" w:cs="宋体"/>
                <w:sz w:val="24"/>
              </w:rPr>
              <w:t>：</w:t>
            </w:r>
          </w:p>
        </w:tc>
        <w:tc>
          <w:tcPr>
            <w:tcW w:w="6058" w:type="dxa"/>
            <w:vAlign w:val="center"/>
          </w:tcPr>
          <w:p w:rsidR="004468D0" w:rsidRDefault="00000000">
            <w:pPr>
              <w:spacing w:line="360" w:lineRule="auto"/>
              <w:jc w:val="left"/>
              <w:rPr>
                <w:rFonts w:ascii="宋体" w:eastAsia="仿宋_GB2312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谢诺辰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阳、拾贝投资、长城基金、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永赢基金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、景顺长城</w:t>
            </w:r>
          </w:p>
        </w:tc>
      </w:tr>
      <w:tr w:rsidR="004468D0">
        <w:trPr>
          <w:trHeight w:val="599"/>
        </w:trPr>
        <w:tc>
          <w:tcPr>
            <w:tcW w:w="2361" w:type="dxa"/>
            <w:vAlign w:val="center"/>
          </w:tcPr>
          <w:p w:rsidR="004468D0" w:rsidRDefault="00000000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6058" w:type="dxa"/>
            <w:vAlign w:val="center"/>
          </w:tcPr>
          <w:p w:rsidR="004468D0" w:rsidRDefault="000000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2024年5月10日10时00分</w:t>
            </w:r>
          </w:p>
        </w:tc>
      </w:tr>
      <w:tr w:rsidR="004468D0">
        <w:trPr>
          <w:trHeight w:val="604"/>
        </w:trPr>
        <w:tc>
          <w:tcPr>
            <w:tcW w:w="2361" w:type="dxa"/>
            <w:vAlign w:val="center"/>
          </w:tcPr>
          <w:p w:rsidR="004468D0" w:rsidRDefault="00000000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地点</w:t>
            </w:r>
          </w:p>
        </w:tc>
        <w:tc>
          <w:tcPr>
            <w:tcW w:w="6058" w:type="dxa"/>
            <w:vAlign w:val="center"/>
          </w:tcPr>
          <w:p w:rsidR="004468D0" w:rsidRDefault="000000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四川省成都市锦江区滨江中路9号</w:t>
            </w:r>
          </w:p>
        </w:tc>
      </w:tr>
      <w:tr w:rsidR="004468D0">
        <w:trPr>
          <w:trHeight w:val="1061"/>
        </w:trPr>
        <w:tc>
          <w:tcPr>
            <w:tcW w:w="2361" w:type="dxa"/>
            <w:vAlign w:val="center"/>
          </w:tcPr>
          <w:p w:rsidR="004468D0" w:rsidRDefault="00000000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上市公司接待人员</w:t>
            </w:r>
          </w:p>
        </w:tc>
        <w:tc>
          <w:tcPr>
            <w:tcW w:w="6058" w:type="dxa"/>
            <w:vAlign w:val="center"/>
          </w:tcPr>
          <w:p w:rsidR="004468D0" w:rsidRDefault="000000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副总经理、董事会秘书  许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晖</w:t>
            </w:r>
            <w:proofErr w:type="gramEnd"/>
          </w:p>
          <w:p w:rsidR="004468D0" w:rsidRDefault="000000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证券事务代表       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李迎敏</w:t>
            </w:r>
            <w:proofErr w:type="gramEnd"/>
          </w:p>
          <w:p w:rsidR="009B1513" w:rsidRDefault="009B1513">
            <w:pPr>
              <w:spacing w:line="360" w:lineRule="auto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董事会办公室工作人员</w:t>
            </w:r>
          </w:p>
        </w:tc>
      </w:tr>
      <w:tr w:rsidR="004468D0">
        <w:trPr>
          <w:trHeight w:val="1884"/>
        </w:trPr>
        <w:tc>
          <w:tcPr>
            <w:tcW w:w="2361" w:type="dxa"/>
            <w:vAlign w:val="center"/>
          </w:tcPr>
          <w:p w:rsidR="004468D0" w:rsidRDefault="00000000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</w:rPr>
              <w:t>投资者关系活动</w:t>
            </w:r>
          </w:p>
          <w:p w:rsidR="004468D0" w:rsidRDefault="000000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</w:rPr>
              <w:t>主要内容</w:t>
            </w:r>
          </w:p>
        </w:tc>
        <w:tc>
          <w:tcPr>
            <w:tcW w:w="6058" w:type="dxa"/>
            <w:vAlign w:val="center"/>
          </w:tcPr>
          <w:p w:rsidR="004468D0" w:rsidRDefault="00000000">
            <w:pPr>
              <w:numPr>
                <w:ilvl w:val="0"/>
                <w:numId w:val="1"/>
              </w:num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请简要介绍公司主要产品2024年产能情况。</w:t>
            </w:r>
          </w:p>
          <w:p w:rsidR="004468D0" w:rsidRDefault="00000000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答：随着公司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募投项目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及其他产能建设项目的陆续达到预定可使用状态，公司现已具备三氟化氮产能12500吨/年、六氟化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产能2230吨/年、氯化氢产能2000吨/年、三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氟甲磺酸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产能660吨/年、双（三氟甲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磺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酰）亚胺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产能600吨/年。</w:t>
            </w:r>
          </w:p>
          <w:p w:rsidR="004468D0" w:rsidRDefault="00000000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2.2024年以来，公司主要产品销量和价格表现如何。</w:t>
            </w:r>
          </w:p>
          <w:p w:rsidR="004468D0" w:rsidRDefault="00000000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答：受益于下游需求增加，公司一季度实现营业收入435,273,546.9元，较上年同期增长8.42%，同理可以反映出公司一季度产品销售量的整体增长趋势，公司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预计二季度主营产品销量将保持增长态势。同时，主要产品销售价格企稳，部分产品销售价格稳中有升。具体产品来看，一季度公司三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氟甲磺酸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系列产品销售收入实现较快增长，较上年同期增长幅度近100%。</w:t>
            </w:r>
          </w:p>
          <w:p w:rsidR="004468D0" w:rsidRDefault="00000000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3.请介绍下公司收入结构中境内、境外收入占比情况；集成电路、显示面板及其他行业收入占比情况。</w:t>
            </w:r>
          </w:p>
          <w:p w:rsidR="004468D0" w:rsidRDefault="00000000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答：2023年公司营业收入中，境内收入占比在80%左右，境外收入占比20%左右。公司将持续提高境外市场服务能力水平，进一步提升境外销售收入。</w:t>
            </w:r>
          </w:p>
          <w:p w:rsidR="004468D0" w:rsidRDefault="00000000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业务领域方面，集成电路行业收入占比不低于60%，显示面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板行业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收入占比不高于30%，其他的占比10%左右。目前来看，相对于显示面板行业，集成电路行业产品供应关系和产品价格更加稳定。</w:t>
            </w:r>
          </w:p>
          <w:p w:rsidR="004468D0" w:rsidRDefault="00000000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4.公司在新产品开发方面有什么成果，未来可产生较大业务增长的新产品有哪些？</w:t>
            </w:r>
          </w:p>
          <w:p w:rsidR="004468D0" w:rsidRDefault="00000000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答：2023年，公司完成年产3250吨三氟化氮项目、年产500 吨双（三氟甲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磺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酰）亚胺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锂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项目、年产735吨高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纯电子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气体项目、年产102吨电子混合气项目、年产1500吨高纯氯化氢扩建项目验收取证工作，产品品类提升至70余种，实现新增产品10余种。未来可能对应收产生较大影响的产品包括氯化氢、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六氟丁二烯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等，具体仍需依据市场需求确定。</w:t>
            </w:r>
          </w:p>
          <w:p w:rsidR="004468D0" w:rsidRDefault="00000000">
            <w:pPr>
              <w:numPr>
                <w:ilvl w:val="0"/>
                <w:numId w:val="2"/>
              </w:num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关注到公司六氟化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</w:rPr>
              <w:t>钨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</w:rPr>
              <w:t>产品产能利用率不是很高，请问是什么原因？</w:t>
            </w:r>
          </w:p>
          <w:p w:rsidR="004468D0" w:rsidRDefault="00000000">
            <w:pPr>
              <w:spacing w:line="360" w:lineRule="auto"/>
              <w:ind w:firstLineChars="200" w:firstLine="48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答：基于看好集成电路行业发展尤其是存储芯片工艺技术提升对六氟化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钨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产品需求的增加，同时，考虑产能建设资本投入的性价比，公司于2021年新增了1500吨/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年六氟化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钨的产能，目前，公司现有六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氟化钨产能为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2230吨/年。近年来，公司六氟化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钨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产品产能利用率相</w:t>
            </w:r>
            <w:r>
              <w:rPr>
                <w:rFonts w:ascii="宋体" w:eastAsia="宋体" w:hAnsi="宋体" w:hint="eastAsia"/>
                <w:sz w:val="24"/>
              </w:rPr>
              <w:lastRenderedPageBreak/>
              <w:t>对平稳，随着集成电路行业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先进制程工艺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的持续迭代及公司境外市场的不断开拓，预计公司六氟化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钨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产品产能利用率将得到进一步提升。</w:t>
            </w:r>
          </w:p>
        </w:tc>
      </w:tr>
      <w:tr w:rsidR="004468D0">
        <w:trPr>
          <w:trHeight w:val="1100"/>
        </w:trPr>
        <w:tc>
          <w:tcPr>
            <w:tcW w:w="2361" w:type="dxa"/>
            <w:vAlign w:val="center"/>
          </w:tcPr>
          <w:p w:rsidR="004468D0" w:rsidRDefault="000000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附件清单</w:t>
            </w:r>
            <w:r>
              <w:rPr>
                <w:rFonts w:ascii="宋体" w:eastAsia="宋体" w:hAnsi="宋体" w:cs="宋体" w:hint="eastAsia"/>
                <w:sz w:val="24"/>
              </w:rPr>
              <w:t>（如有）</w:t>
            </w:r>
          </w:p>
        </w:tc>
        <w:tc>
          <w:tcPr>
            <w:tcW w:w="6058" w:type="dxa"/>
            <w:vAlign w:val="center"/>
          </w:tcPr>
          <w:p w:rsidR="004468D0" w:rsidRDefault="000000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无</w:t>
            </w:r>
          </w:p>
        </w:tc>
      </w:tr>
    </w:tbl>
    <w:p w:rsidR="004468D0" w:rsidRDefault="004468D0">
      <w:pPr>
        <w:rPr>
          <w:rFonts w:ascii="宋体" w:eastAsia="宋体" w:hAnsi="宋体" w:cs="宋体"/>
          <w:sz w:val="24"/>
        </w:rPr>
      </w:pPr>
    </w:p>
    <w:sectPr w:rsidR="00446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5F50B8B"/>
    <w:multiLevelType w:val="singleLevel"/>
    <w:tmpl w:val="F5F50B8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D5629F1"/>
    <w:multiLevelType w:val="singleLevel"/>
    <w:tmpl w:val="0D5629F1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 w16cid:durableId="320503610">
    <w:abstractNumId w:val="0"/>
  </w:num>
  <w:num w:numId="2" w16cid:durableId="2048794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JiYzNkOWYyZjA1ZGM0ZjI0YzBkMzEwMjI5OTMxOTYifQ=="/>
  </w:docVars>
  <w:rsids>
    <w:rsidRoot w:val="00E41DD3"/>
    <w:rsid w:val="0002334C"/>
    <w:rsid w:val="000619DF"/>
    <w:rsid w:val="000C265C"/>
    <w:rsid w:val="000F0EAB"/>
    <w:rsid w:val="0011307A"/>
    <w:rsid w:val="00136CB9"/>
    <w:rsid w:val="0014011E"/>
    <w:rsid w:val="0015638D"/>
    <w:rsid w:val="00156953"/>
    <w:rsid w:val="00162EAA"/>
    <w:rsid w:val="00291E73"/>
    <w:rsid w:val="002C424F"/>
    <w:rsid w:val="00352AAB"/>
    <w:rsid w:val="00361851"/>
    <w:rsid w:val="004468D0"/>
    <w:rsid w:val="004543E6"/>
    <w:rsid w:val="004A1C8D"/>
    <w:rsid w:val="00550720"/>
    <w:rsid w:val="00596575"/>
    <w:rsid w:val="00647780"/>
    <w:rsid w:val="006B13E9"/>
    <w:rsid w:val="007504E2"/>
    <w:rsid w:val="00752A8C"/>
    <w:rsid w:val="007613FB"/>
    <w:rsid w:val="00804746"/>
    <w:rsid w:val="008C7324"/>
    <w:rsid w:val="009B101A"/>
    <w:rsid w:val="009B1513"/>
    <w:rsid w:val="00A06C21"/>
    <w:rsid w:val="00AF1C7A"/>
    <w:rsid w:val="00AF22B9"/>
    <w:rsid w:val="00C51DCB"/>
    <w:rsid w:val="00D05D35"/>
    <w:rsid w:val="00D45C12"/>
    <w:rsid w:val="00DE2D30"/>
    <w:rsid w:val="00DF6552"/>
    <w:rsid w:val="00E30A59"/>
    <w:rsid w:val="00E41DD3"/>
    <w:rsid w:val="00EF07D4"/>
    <w:rsid w:val="00F25459"/>
    <w:rsid w:val="08043FB5"/>
    <w:rsid w:val="0D522589"/>
    <w:rsid w:val="0E436275"/>
    <w:rsid w:val="4CBA251B"/>
    <w:rsid w:val="505F3BA0"/>
    <w:rsid w:val="5E3865C5"/>
    <w:rsid w:val="67BF10E2"/>
    <w:rsid w:val="6F994FF1"/>
    <w:rsid w:val="6FBE6756"/>
    <w:rsid w:val="76B669CC"/>
    <w:rsid w:val="777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2B3CF"/>
  <w15:docId w15:val="{1FE93A2E-EBF9-48C2-B41B-8CEF1402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C379-C09C-4C4E-997C-000CA526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董事会办公室</dc:creator>
  <cp:lastModifiedBy>董事会办公室</cp:lastModifiedBy>
  <cp:revision>15</cp:revision>
  <dcterms:created xsi:type="dcterms:W3CDTF">2023-09-21T04:34:00Z</dcterms:created>
  <dcterms:modified xsi:type="dcterms:W3CDTF">2024-05-13T08:50:00Z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7DE0457172A3439CA0C489E644FA13A4_13</vt:lpwstr>
  </property>
</Properties>
</file>