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D9" w:rsidRDefault="007F1A84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600239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云南城投</w:t>
      </w:r>
    </w:p>
    <w:p w:rsidR="000F1FD9" w:rsidRDefault="007F1A84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云南城投置业股份有限公司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0F1FD9" w:rsidRDefault="007F1A84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0F1FD9" w:rsidRDefault="000F1FD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0F1FD9" w:rsidRDefault="007F1A84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0F1FD9" w:rsidRDefault="007F1A84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13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周一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15:00~16:40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ascii="宋体" w:hAnsi="宋体" w:hint="eastAsia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ascii="宋体" w:hAnsi="宋体" w:hint="eastAsia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ascii="宋体" w:hAnsi="宋体" w:hint="eastAsia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ascii="宋体" w:hAnsi="宋体" w:hint="eastAsia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9" w:rsidRDefault="007F1A84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1、董事会秘书李映红</w:t>
            </w:r>
          </w:p>
          <w:p w:rsidR="000F1FD9" w:rsidRDefault="007F1A84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2、党委委员肖伦</w:t>
            </w:r>
          </w:p>
          <w:p w:rsidR="000F1FD9" w:rsidRDefault="007F1A84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3、财务总监巩明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0F1FD9" w:rsidRDefault="000F1FD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beforeLines="50" w:before="156" w:line="460" w:lineRule="exact"/>
              <w:ind w:firstLineChars="249" w:firstLine="6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:rsidR="000F1FD9" w:rsidRDefault="007F1A84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:rsidR="000F1FD9" w:rsidRPr="00893F94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 w:rsidRPr="00893F94">
              <w:rPr>
                <w:rFonts w:ascii="宋体" w:hAnsi="宋体"/>
                <w:b/>
                <w:sz w:val="24"/>
                <w:szCs w:val="24"/>
              </w:rPr>
              <w:t>1、银行贷款利率持续下降，公司向大股东的借款利率是否下降。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尊敬的投资者，您好！公司向控股股东的借款利率是参考市场综合利率确定的。敬请您关注公司公告，并注意投资风险，理性投资。谢谢！</w:t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2、公司高管2024年有培训学习计划吗？比如向同地区同类型企业我爱我家学习如何增收盈利？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尊敬的投资者，您好！公司高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管积极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参加相关培训，不断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升业务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能力，促进公司发展。感谢您的关注，敬请您注意投资风险，理性投资。谢谢！</w:t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3、建议公司回购股份，将回购股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份作为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业绩完成奖励，奖励给员工及管理层，有助于提升公司价值，提升公司股价。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尊敬的投资者，您好！对于重大事项，公司将按照相关监管规则及时履行决策流程及披露义务。敬请您关注公司公告，并注意投资风险，理性投资。谢谢！</w:t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4、在刚才的回复中。归母净资产逐步回升至13.67亿元，是基于2023年财务报表的数据做出的回答？还是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基于现在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的数据做出的回答？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尊敬的投资者，您好！归母净资产13.67亿元是引用公司2023年年度报告经审计的财务报表数据。敬请您关注公司公告，并注意投资风险，理性投资。谢谢！</w:t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5、请问，贵公司有计划开展生猪养殖项目吗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尊敬的投资者，您好！公司暂无计划开展生猪养殖项目。感谢您的关注，敬请您注意投资风险，理性投资。谢谢！</w:t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6、请问前期地产导致历史遗留问题多吗？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公司将锚定“发展成为城市综合服务运营商”的长期战略定位。系统谋划产业布局，发挥国有上市公司优势，大力拓展有效资源，以轻重分离、市场运作、创新升级、保值增值为实施原则，打造以“物业服务+商业管理”为引领，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以文旅服务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、康养服务、会展服务、公共服务为侧翼的“两主四翼”产业布局。对于重大事项，公司将按照相关监管规则及时履行决策流程及披露义务。敬请您注意投资风险，理性投资。谢谢！</w:t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7、请问贵公司准备采取哪些措施开展市值管理！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尊敬的投资者，您好！公司将紧紧围绕发展战略，以物业服务、商业运营为中心，提升管理效能，做好市值管理，提高上市公司质量。具体做好以下工作：</w:t>
            </w:r>
            <w:r>
              <w:rPr>
                <w:rFonts w:ascii="宋体" w:hAnsi="宋体"/>
                <w:sz w:val="24"/>
                <w:szCs w:val="24"/>
              </w:rPr>
              <w:br/>
              <w:t>战略转型工作。制定实施公司《改革发展方案》、《“3510”行动计划任务清单》等。全力推动重大资产重组，持续优化资产结构，持续经营能力有效提升，归母净资产逐步回升至13.67亿元。物管业务完成19个项目的拓展，新增管理面积约87.53万㎡。商管业务着力稳商、保商、促商，年内销售额同比增长12%，客单价同比增长7.8%，新增商业可租赁面积约5.1万㎡。酒店业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务收入同比增长68.5%；酒店入住率同比增长60%。</w:t>
            </w:r>
            <w:r>
              <w:rPr>
                <w:rFonts w:ascii="宋体" w:hAnsi="宋体"/>
                <w:sz w:val="24"/>
                <w:szCs w:val="24"/>
              </w:rPr>
              <w:br/>
              <w:t>降本增效工作。认真开展“三减工作”，强化资金归集管理，严控成本费用支出。通过组织架构优化、部门职能合并、精简岗位编制等方式，本部部门从12个部门调整为8个，5家子公司开展了注销工作，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在册员工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减少26.85%。制定实施《云南城投置业股份有限公司关于公司战略转型薪酬体系调整方案》。</w:t>
            </w:r>
            <w:r>
              <w:rPr>
                <w:rFonts w:ascii="宋体" w:hAnsi="宋体"/>
                <w:sz w:val="24"/>
                <w:szCs w:val="24"/>
              </w:rPr>
              <w:br/>
              <w:t>风险管理工作。开展风险内控合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规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“三位一体”体系建设，成立合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规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委员会，完成174项制度的修订工作，强化法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及内控内审工作。</w:t>
            </w:r>
            <w:r>
              <w:rPr>
                <w:rFonts w:ascii="宋体" w:hAnsi="宋体"/>
                <w:sz w:val="24"/>
                <w:szCs w:val="24"/>
              </w:rPr>
              <w:br/>
              <w:t>品牌建设工作。物管业务持续完善内部体系化建设，完成住宅、商写《标准化作业指导书》的编制及培训工作，联合北京中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物智汇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启动“康旅物业品牌体系”建设，完成《品牌经营及市场研究报告》《企业文化实施建议书》《企业品成云泰PARK、“红”系列、茶马花街品牌序列。牌定义报告书》的编制和品牌宣传视频、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官微等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新媒体运营方案的制作。商管业务已逐步形</w:t>
            </w:r>
            <w:r>
              <w:rPr>
                <w:rFonts w:ascii="宋体" w:hAnsi="宋体"/>
                <w:sz w:val="24"/>
                <w:szCs w:val="24"/>
              </w:rPr>
              <w:br/>
              <w:t>人才队伍建设。严格选人用人程序。通过民主推荐、公开竞聘等方式，组织开展57个岗位竞聘。不断强化员工内部流动管理，加强教育培训管理，全层级组织开展培训730余场次，覆盖近17000人次。</w:t>
            </w:r>
            <w:r>
              <w:rPr>
                <w:rFonts w:ascii="宋体" w:hAnsi="宋体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安全维稳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工作。安全生产方面，投入安全生产经费2078.86万元，组织开展安全月、质量月、节能周等活动10余项，定期开展安全生产检查20次，组织安全教育培训16次，安全应急演练2次。</w:t>
            </w:r>
            <w:r>
              <w:rPr>
                <w:rFonts w:ascii="宋体" w:hAnsi="宋体"/>
                <w:sz w:val="24"/>
                <w:szCs w:val="24"/>
              </w:rPr>
              <w:br/>
              <w:t>2024年公司将继续围绕以上方面持续推进各项重点工作。</w:t>
            </w:r>
            <w:r>
              <w:rPr>
                <w:rFonts w:ascii="宋体" w:hAnsi="宋体"/>
                <w:sz w:val="24"/>
                <w:szCs w:val="24"/>
              </w:rPr>
              <w:br/>
              <w:t>敬请您注意投资风险，理性投资。谢谢！</w:t>
            </w:r>
            <w:r>
              <w:rPr>
                <w:rFonts w:ascii="宋体" w:hAnsi="宋体"/>
                <w:sz w:val="24"/>
                <w:szCs w:val="24"/>
              </w:rPr>
              <w:br/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8、重组后未完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成工商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股权转让的公司是否影响公司资产注入，公司下属投资项目老鹰地担保的官司进行到哪一步了。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尊敬的投资者，您好！公司将继续积极协调相关股东推动工商变更登记手续，完成后续工作。公司下属参股公司云南澄江老鹰地旅游度假村有限公司仲裁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案仲裁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院尚未做出裁决，具体内容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详见公司 2024年2月22日在上海证券交易所网站和《上海证券报》《中国证券报》《证券时报》《证券日报》上刊登的临2024-018号《云南城投置业股份有限公司关于收到线上及线下开庭通知书的公告》。</w:t>
            </w:r>
            <w:r>
              <w:rPr>
                <w:rFonts w:ascii="宋体" w:hAnsi="宋体"/>
                <w:sz w:val="24"/>
                <w:szCs w:val="24"/>
              </w:rPr>
              <w:br/>
              <w:t>敬请您关注公司公告，并注意投资风险，理性投资。</w:t>
            </w:r>
            <w:r>
              <w:rPr>
                <w:rFonts w:ascii="宋体" w:hAnsi="宋体"/>
                <w:sz w:val="24"/>
                <w:szCs w:val="24"/>
              </w:rPr>
              <w:br/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9、云南城投有没有考虑解决市直一直降低的办法，怎么规划公司远近期目标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公司将锚定“发展成为城市综合服务运营商”的长期战略定位。系统谋划产业布局，发挥国有上市公司优势，大力拓展有效资源，以轻重分离、市场运作、创新升级、保值增值为实施原则，打造以“物业服务+商业管理”为引领，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以文旅服务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、康养服务、会展服务、公共服务为侧翼的“两主四翼”产业布局。敬请您注意投资风险，理性投资。谢谢！</w:t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10、请问公司连续亏损五年，股价接连新低，管理层能否出台政策提振股价，比如增持，回购，管理层降薪。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尊敬的投资者，您好！对于重大事项，公司将按照相关监管规则及时履行决策流程及披露义务。敬请您关注公司公告，并注意投资风险，理性投资。谢谢！</w:t>
            </w:r>
            <w:r>
              <w:rPr>
                <w:rFonts w:ascii="宋体" w:hAnsi="宋体"/>
                <w:sz w:val="24"/>
                <w:szCs w:val="24"/>
              </w:rPr>
              <w:br/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11、公司在维护股价方面有何措施？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尊敬的投资者，您好！公司将紧紧围绕发展战略，以物业服务、商业运营为中心，提升管理效能，做好市值管理，提高上市公司质量。具体做好以下工作：</w:t>
            </w:r>
            <w:r>
              <w:rPr>
                <w:rFonts w:ascii="宋体" w:hAnsi="宋体"/>
                <w:sz w:val="24"/>
                <w:szCs w:val="24"/>
              </w:rPr>
              <w:br/>
              <w:t>战略转型工作。制定实施公司《改革发展方案》、《“3510”行动计划任务清单》等。全力推动重大资产重组，持续优化资产结构，持续经营能力有效提升，归母净资产逐步回升至13.67亿元。物管业务完成19个项目的拓展，新增管理面积约87.53万㎡。商管业务着力稳商、保商、促商，年内销售额同比增长12%，客单价同比增长7.8%，新增商业可租赁面积约5.1万㎡。酒店业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务收入同比增长68.5%；酒店入住率同比增长60%。</w:t>
            </w:r>
            <w:r>
              <w:rPr>
                <w:rFonts w:ascii="宋体" w:hAnsi="宋体"/>
                <w:sz w:val="24"/>
                <w:szCs w:val="24"/>
              </w:rPr>
              <w:br/>
              <w:t>降本增效工作。认真开展“三减工作”，强化资金归集管理，严控成本费用支出。通过组织架构优化、部门职能合并、精简岗位编制等方式，本部部门从12个部门调整为8个，5家子公司开展了注销工作，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在册员工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减少26.85%。制定实施《云南城投置业股份有限公司关于公司战略转型薪酬体系调整方案》。</w:t>
            </w:r>
            <w:r>
              <w:rPr>
                <w:rFonts w:ascii="宋体" w:hAnsi="宋体"/>
                <w:sz w:val="24"/>
                <w:szCs w:val="24"/>
              </w:rPr>
              <w:br/>
              <w:t>风险管理工作。开展风险内控合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规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“三位一体”体系建设，成立合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规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委员会，完成174项制度的修订工作，强化法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及内控内审工作。</w:t>
            </w:r>
            <w:r>
              <w:rPr>
                <w:rFonts w:ascii="宋体" w:hAnsi="宋体"/>
                <w:sz w:val="24"/>
                <w:szCs w:val="24"/>
              </w:rPr>
              <w:br/>
              <w:t>品牌建设工作。物管业务持续完善内部体系化建设，完成住宅、商写《标准化作业指导书》的编制及培训工作，联合北京中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物智汇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启动“康旅物业品牌体系”建设，完成《品牌经营及市场研究报告》《企业文化实施建议书》《企业品牌定义报告书》的编制和品牌宣传视频、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官微等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新媒体运营方案的制作。商管业务已逐步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形成云泰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PARK、“红”系列、茶马花街品牌序列。</w:t>
            </w:r>
            <w:r>
              <w:rPr>
                <w:rFonts w:ascii="宋体" w:hAnsi="宋体"/>
                <w:sz w:val="24"/>
                <w:szCs w:val="24"/>
              </w:rPr>
              <w:br/>
              <w:t>人才队伍建设。严格选人用人程序。通过民主推荐、公开竞聘等方式，组织开展57个岗位竞聘。不断强化员工内部流动管理，加强教育培训管理，全层级组织开展培训730余场次，覆盖近17000人次。</w:t>
            </w:r>
            <w:r>
              <w:rPr>
                <w:rFonts w:ascii="宋体" w:hAnsi="宋体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安全维稳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工作。安全生产方面，投入安全生产经费2078.86万元，组织开展安全月、质量月、节能周等活动10余项，定期开展安全生产检查20次，组织安全教育培训16次，安全应急演练2次。</w:t>
            </w:r>
            <w:r>
              <w:rPr>
                <w:rFonts w:ascii="宋体" w:hAnsi="宋体"/>
                <w:sz w:val="24"/>
                <w:szCs w:val="24"/>
              </w:rPr>
              <w:br/>
              <w:t>2024年公司将继续围绕以上方面持续推进各项重点工作。</w:t>
            </w:r>
            <w:r>
              <w:rPr>
                <w:rFonts w:ascii="宋体" w:hAnsi="宋体"/>
                <w:sz w:val="24"/>
                <w:szCs w:val="24"/>
              </w:rPr>
              <w:br/>
              <w:t>敬请您注意投资风险，理性投资。谢谢！</w:t>
            </w:r>
            <w:r>
              <w:rPr>
                <w:rFonts w:ascii="宋体" w:hAnsi="宋体"/>
                <w:sz w:val="24"/>
                <w:szCs w:val="24"/>
              </w:rPr>
              <w:br/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12、重组进展怎么样，集团资产什么时间无偿注入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尊敬的投资者，您好！关于公司重大资产重组进展情况的事宜详见公司 2024年4月17日在上海证券交易所网站和《上海证券报》《中国证券报》《证券时报》《证券日报》上刊登的临2024-029号《云南城投置业股份有限公司关于重大资产重组的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进展公告》、临2024-030号《云南城投置业股份有限公司关于公司重大资产重组（2022年）的进展公告》。</w:t>
            </w:r>
            <w:r>
              <w:rPr>
                <w:rFonts w:ascii="宋体" w:hAnsi="宋体"/>
                <w:sz w:val="24"/>
                <w:szCs w:val="24"/>
              </w:rPr>
              <w:br/>
              <w:t>对于重大事项，公司将按照相关监管规则及时履行决策流程及披露义务。</w:t>
            </w:r>
            <w:r>
              <w:rPr>
                <w:rFonts w:ascii="宋体" w:hAnsi="宋体"/>
                <w:sz w:val="24"/>
                <w:szCs w:val="24"/>
              </w:rPr>
              <w:br/>
              <w:t>敬请您关注公司公告，并注意投资风险，理性投资。谢谢！</w:t>
            </w:r>
            <w:r>
              <w:rPr>
                <w:rFonts w:ascii="宋体" w:hAnsi="宋体"/>
                <w:sz w:val="24"/>
                <w:szCs w:val="24"/>
              </w:rPr>
              <w:br/>
            </w:r>
          </w:p>
          <w:p w:rsidR="000F1FD9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13、公司股价一直在跌  高管有增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持计划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吗</w:t>
            </w:r>
          </w:p>
          <w:p w:rsidR="000F1FD9" w:rsidRDefault="007F1A84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尊敬的投资者，您好！对于重大事项，公司将按照相关监管规则及时履行决策流程及披露义务。敬请您关注公司公告，并注意投资风险，理性投资。谢谢！</w:t>
            </w:r>
            <w:bookmarkStart w:id="0" w:name="_GoBack"/>
            <w:bookmarkEnd w:id="0"/>
          </w:p>
          <w:p w:rsidR="000F1FD9" w:rsidRDefault="000F1FD9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</w:p>
          <w:p w:rsidR="000F1FD9" w:rsidRDefault="000F1FD9">
            <w:pPr>
              <w:pStyle w:val="Style6"/>
              <w:spacing w:line="460" w:lineRule="exact"/>
              <w:ind w:firstLineChars="50" w:firstLine="120"/>
              <w:rPr>
                <w:rFonts w:ascii="宋体" w:hAnsi="宋体"/>
                <w:sz w:val="24"/>
                <w:szCs w:val="24"/>
              </w:rPr>
            </w:pPr>
          </w:p>
          <w:p w:rsidR="000F1FD9" w:rsidRDefault="000F1FD9"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0F1FD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AD5D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0E" w:rsidRDefault="00AD5D0E">
            <w:pPr>
              <w:spacing w:line="420" w:lineRule="exact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是否涉及应当披露的重大信息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0E" w:rsidRDefault="00AD5D0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否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2024-05-13 17:21:09</w:t>
            </w:r>
          </w:p>
        </w:tc>
      </w:tr>
    </w:tbl>
    <w:p w:rsidR="000F1FD9" w:rsidRDefault="000F1FD9"/>
    <w:sectPr w:rsidR="000F1FD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0A" w:rsidRDefault="00A1310A">
      <w:r>
        <w:separator/>
      </w:r>
    </w:p>
  </w:endnote>
  <w:endnote w:type="continuationSeparator" w:id="0">
    <w:p w:rsidR="00A1310A" w:rsidRDefault="00A1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D9" w:rsidRDefault="007F1A84">
    <w:pPr>
      <w:pStyle w:val="a3"/>
      <w:jc w:val="right"/>
    </w:pPr>
    <w:r>
      <w:rPr>
        <w:rFonts w:ascii="仿宋" w:eastAsia="仿宋" w:hAnsi="仿宋" w:hint="eastAsia"/>
        <w:sz w:val="24"/>
        <w:szCs w:val="24"/>
        <w:lang w:eastAsia="zh-Hans"/>
      </w:rPr>
      <w:t>深圳市全景网络有限公司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0A" w:rsidRDefault="00A1310A">
      <w:r>
        <w:separator/>
      </w:r>
    </w:p>
  </w:footnote>
  <w:footnote w:type="continuationSeparator" w:id="0">
    <w:p w:rsidR="00A1310A" w:rsidRDefault="00A1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D9" w:rsidRDefault="007F1A84">
    <w:pPr>
      <w:pStyle w:val="a4"/>
      <w:pBdr>
        <w:bottom w:val="none" w:sz="0" w:space="0" w:color="auto"/>
      </w:pBdr>
      <w:jc w:val="left"/>
    </w:pPr>
    <w:r>
      <w:rPr>
        <w:noProof/>
      </w:rP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0F1FD9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7F1A84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93F94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477CC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10A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AD5D0E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178D9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9477C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477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9477C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477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592</Words>
  <Characters>3381</Characters>
  <Application>Microsoft Office Word</Application>
  <DocSecurity>0</DocSecurity>
  <Lines>28</Lines>
  <Paragraphs>7</Paragraphs>
  <ScaleCrop>false</ScaleCrop>
  <Company>微软中国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朱睿</cp:lastModifiedBy>
  <cp:revision>4</cp:revision>
  <cp:lastPrinted>2014-02-21T05:34:00Z</cp:lastPrinted>
  <dcterms:created xsi:type="dcterms:W3CDTF">2024-05-13T09:22:00Z</dcterms:created>
  <dcterms:modified xsi:type="dcterms:W3CDTF">2024-05-13T11:46:00Z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