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b/>
          <w:bCs w:val="0"/>
          <w:iCs/>
          <w:color w:val="000000"/>
          <w:sz w:val="24"/>
          <w:szCs w:val="24"/>
          <w:lang w:val="en-US" w:eastAsia="zh-CN"/>
        </w:rPr>
      </w:pPr>
      <w:r>
        <w:rPr>
          <w:rFonts w:hint="eastAsia" w:ascii="Times New Roman" w:hAnsi="Times New Roman" w:eastAsia="宋体" w:cs="Times New Roman"/>
          <w:b/>
          <w:bCs w:val="0"/>
          <w:iCs/>
          <w:color w:val="000000"/>
          <w:sz w:val="24"/>
          <w:szCs w:val="24"/>
        </w:rPr>
        <w:t>证券代码：</w:t>
      </w:r>
      <w:r>
        <w:rPr>
          <w:rFonts w:hint="eastAsia" w:ascii="Times New Roman" w:hAnsi="Times New Roman" w:eastAsia="宋体" w:cs="Times New Roman"/>
          <w:b/>
          <w:bCs w:val="0"/>
          <w:iCs/>
          <w:color w:val="000000"/>
          <w:sz w:val="24"/>
          <w:szCs w:val="24"/>
          <w:lang w:val="en-US" w:eastAsia="zh-CN"/>
        </w:rPr>
        <w:t>688307</w:t>
      </w:r>
      <w:r>
        <w:rPr>
          <w:rFonts w:hint="eastAsia" w:ascii="Times New Roman" w:hAnsi="Times New Roman" w:eastAsia="宋体" w:cs="Times New Roman"/>
          <w:b/>
          <w:bCs w:val="0"/>
          <w:iCs/>
          <w:color w:val="000000"/>
          <w:sz w:val="24"/>
          <w:szCs w:val="24"/>
        </w:rPr>
        <w:t xml:space="preserve">                             </w:t>
      </w:r>
      <w:r>
        <w:rPr>
          <w:rFonts w:hint="eastAsia" w:ascii="Times New Roman" w:hAnsi="Times New Roman" w:eastAsia="宋体" w:cs="Times New Roman"/>
          <w:b/>
          <w:bCs w:val="0"/>
          <w:iCs/>
          <w:color w:val="000000"/>
          <w:sz w:val="24"/>
          <w:szCs w:val="24"/>
          <w:lang w:val="en-US" w:eastAsia="zh-CN"/>
        </w:rPr>
        <w:t xml:space="preserve">    </w:t>
      </w:r>
      <w:r>
        <w:rPr>
          <w:rFonts w:hint="eastAsia" w:ascii="Times New Roman" w:hAnsi="Times New Roman" w:eastAsia="宋体" w:cs="Times New Roman"/>
          <w:b/>
          <w:bCs w:val="0"/>
          <w:iCs/>
          <w:color w:val="000000"/>
          <w:sz w:val="24"/>
          <w:szCs w:val="24"/>
        </w:rPr>
        <w:t xml:space="preserve">  证券简称：</w:t>
      </w:r>
      <w:r>
        <w:rPr>
          <w:rFonts w:hint="eastAsia" w:ascii="Times New Roman" w:hAnsi="Times New Roman" w:eastAsia="宋体" w:cs="Times New Roman"/>
          <w:b/>
          <w:bCs w:val="0"/>
          <w:iCs/>
          <w:color w:val="000000"/>
          <w:sz w:val="24"/>
          <w:szCs w:val="24"/>
          <w:lang w:val="en-US" w:eastAsia="zh-CN"/>
        </w:rPr>
        <w:t>中润光学</w:t>
      </w:r>
    </w:p>
    <w:p>
      <w:pPr>
        <w:spacing w:before="156" w:beforeLines="50" w:after="156" w:afterLines="50" w:line="400" w:lineRule="exact"/>
        <w:jc w:val="center"/>
        <w:rPr>
          <w:rFonts w:hint="eastAsia" w:ascii="Times New Roman" w:hAnsi="Times New Roman" w:eastAsia="宋体" w:cs="Times New Roman"/>
          <w:b/>
          <w:bCs/>
          <w:iCs/>
          <w:color w:val="000000"/>
          <w:sz w:val="32"/>
          <w:szCs w:val="32"/>
          <w:lang w:val="en-US" w:eastAsia="zh-CN"/>
        </w:rPr>
      </w:pPr>
    </w:p>
    <w:p>
      <w:pPr>
        <w:spacing w:before="156" w:beforeLines="50" w:after="156" w:afterLines="50" w:line="400" w:lineRule="exact"/>
        <w:jc w:val="center"/>
        <w:rPr>
          <w:rFonts w:hint="eastAsia" w:ascii="Times New Roman" w:hAnsi="Times New Roman" w:eastAsia="宋体" w:cs="Times New Roman"/>
          <w:b/>
          <w:bCs/>
          <w:iCs/>
          <w:color w:val="000000"/>
          <w:sz w:val="32"/>
          <w:szCs w:val="32"/>
          <w:lang w:val="en-US" w:eastAsia="zh-CN"/>
        </w:rPr>
      </w:pPr>
      <w:r>
        <w:rPr>
          <w:rFonts w:hint="eastAsia" w:ascii="Times New Roman" w:hAnsi="Times New Roman" w:eastAsia="宋体" w:cs="Times New Roman"/>
          <w:b/>
          <w:bCs/>
          <w:iCs/>
          <w:color w:val="000000"/>
          <w:sz w:val="32"/>
          <w:szCs w:val="32"/>
          <w:lang w:val="en-US" w:eastAsia="zh-CN"/>
        </w:rPr>
        <w:t>嘉兴中润光学科技股份有限公司</w:t>
      </w:r>
    </w:p>
    <w:p>
      <w:pPr>
        <w:spacing w:before="156" w:beforeLines="50" w:after="156" w:afterLines="50" w:line="400" w:lineRule="exact"/>
        <w:jc w:val="center"/>
        <w:rPr>
          <w:rFonts w:ascii="Times New Roman" w:hAnsi="Times New Roman" w:eastAsia="宋体" w:cs="Times New Roman"/>
          <w:b/>
          <w:bCs/>
          <w:iCs/>
          <w:color w:val="000000"/>
          <w:sz w:val="32"/>
          <w:szCs w:val="32"/>
        </w:rPr>
      </w:pPr>
      <w:r>
        <w:rPr>
          <w:rFonts w:hint="eastAsia" w:ascii="Times New Roman" w:hAnsi="Times New Roman" w:eastAsia="宋体" w:cs="Times New Roman"/>
          <w:b/>
          <w:bCs/>
          <w:iCs/>
          <w:color w:val="000000"/>
          <w:sz w:val="32"/>
          <w:szCs w:val="32"/>
        </w:rPr>
        <w:t>投资者关系活动记录表</w:t>
      </w:r>
    </w:p>
    <w:p>
      <w:pPr>
        <w:spacing w:line="400" w:lineRule="exact"/>
        <w:rPr>
          <w:rFonts w:hint="default" w:ascii="Times New Roman" w:hAnsi="Times New Roman" w:eastAsia="宋体" w:cstheme="minorEastAsia"/>
          <w:bCs/>
          <w:iCs/>
          <w:color w:val="000000"/>
          <w:sz w:val="24"/>
          <w:szCs w:val="24"/>
          <w:lang w:val="en-US" w:eastAsia="zh-CN"/>
        </w:rPr>
      </w:pPr>
      <w:r>
        <w:rPr>
          <w:rFonts w:hint="eastAsia" w:ascii="Times New Roman" w:hAnsi="Times New Roman" w:eastAsia="宋体" w:cs="Times New Roman"/>
          <w:bCs/>
          <w:iCs/>
          <w:color w:val="000000"/>
          <w:sz w:val="24"/>
          <w:szCs w:val="24"/>
        </w:rPr>
        <w:t xml:space="preserve">     </w:t>
      </w:r>
      <w:r>
        <w:rPr>
          <w:rFonts w:hint="eastAsia" w:ascii="Times New Roman" w:hAnsi="Times New Roman" w:eastAsia="宋体" w:cstheme="minorEastAsia"/>
          <w:bCs/>
          <w:iCs/>
          <w:color w:val="000000"/>
          <w:sz w:val="21"/>
          <w:szCs w:val="21"/>
        </w:rPr>
        <w:t xml:space="preserve">                                                </w:t>
      </w:r>
      <w:r>
        <w:rPr>
          <w:rFonts w:hint="eastAsia" w:ascii="Times New Roman" w:hAnsi="Times New Roman" w:eastAsia="宋体" w:cstheme="minorEastAsia"/>
          <w:bCs/>
          <w:iCs/>
          <w:color w:val="000000"/>
          <w:sz w:val="21"/>
          <w:szCs w:val="21"/>
          <w:lang w:val="en-US" w:eastAsia="zh-CN"/>
        </w:rPr>
        <w:t xml:space="preserve">          </w:t>
      </w:r>
      <w:r>
        <w:rPr>
          <w:rFonts w:hint="eastAsia" w:ascii="Times New Roman" w:hAnsi="Times New Roman" w:eastAsia="宋体" w:cstheme="minorEastAsia"/>
          <w:bCs/>
          <w:iCs/>
          <w:color w:val="000000"/>
          <w:sz w:val="24"/>
          <w:szCs w:val="24"/>
        </w:rPr>
        <w:t>编号：</w:t>
      </w:r>
      <w:r>
        <w:rPr>
          <w:rFonts w:hint="eastAsia" w:ascii="Times New Roman" w:hAnsi="Times New Roman" w:eastAsia="宋体" w:cstheme="minorEastAsia"/>
          <w:bCs/>
          <w:iCs/>
          <w:color w:val="000000"/>
          <w:sz w:val="24"/>
          <w:szCs w:val="24"/>
          <w:lang w:val="en-US" w:eastAsia="zh-CN"/>
        </w:rPr>
        <w:t>2024-002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投资者关系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活动类别</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 xml:space="preserve">特定对象调研        </w:t>
            </w:r>
            <w:r>
              <w:rPr>
                <w:rFonts w:hint="eastAsia" w:ascii="Times New Roman" w:hAnsi="Times New Roman" w:eastAsia="宋体" w:cstheme="minorEastAsia"/>
                <w:bCs/>
                <w:iCs/>
                <w:color w:val="000000"/>
                <w:kern w:val="0"/>
                <w:sz w:val="21"/>
                <w:szCs w:val="21"/>
                <w:lang w:eastAsia="zh-CN"/>
              </w:rPr>
              <w:t>□</w:t>
            </w:r>
            <w:r>
              <w:rPr>
                <w:rFonts w:hint="eastAsia" w:ascii="Times New Roman" w:hAnsi="Times New Roman" w:eastAsia="宋体" w:cstheme="minorEastAsia"/>
                <w:kern w:val="0"/>
                <w:sz w:val="21"/>
                <w:szCs w:val="21"/>
              </w:rPr>
              <w:t>分析师会议</w:t>
            </w:r>
          </w:p>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w:t>
            </w:r>
            <w:r>
              <w:rPr>
                <w:rFonts w:hint="eastAsia" w:ascii="Times New Roman" w:hAnsi="Times New Roman" w:eastAsia="宋体" w:cstheme="minorEastAsia"/>
                <w:kern w:val="0"/>
                <w:sz w:val="21"/>
                <w:szCs w:val="21"/>
              </w:rPr>
              <w:t xml:space="preserve">媒体采访            </w:t>
            </w:r>
            <w:r>
              <w:rPr>
                <w:rFonts w:hint="eastAsia" w:ascii="Times New Roman" w:hAnsi="Times New Roman" w:eastAsia="宋体" w:cstheme="minorEastAsia"/>
                <w:bCs/>
                <w:iCs/>
                <w:color w:val="000000"/>
                <w:kern w:val="0"/>
                <w:sz w:val="21"/>
                <w:szCs w:val="21"/>
                <w:lang w:eastAsia="zh-CN"/>
              </w:rPr>
              <w:t>☑</w:t>
            </w:r>
            <w:r>
              <w:rPr>
                <w:rFonts w:hint="eastAsia" w:ascii="Times New Roman" w:hAnsi="Times New Roman" w:eastAsia="宋体" w:cstheme="minorEastAsia"/>
                <w:kern w:val="0"/>
                <w:sz w:val="21"/>
                <w:szCs w:val="21"/>
              </w:rPr>
              <w:t>业绩说明会</w:t>
            </w:r>
          </w:p>
          <w:p>
            <w:pPr>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w:t>
            </w:r>
            <w:r>
              <w:rPr>
                <w:rFonts w:hint="eastAsia" w:ascii="Times New Roman" w:hAnsi="Times New Roman" w:eastAsia="宋体" w:cstheme="minorEastAsia"/>
                <w:kern w:val="0"/>
                <w:sz w:val="21"/>
                <w:szCs w:val="21"/>
              </w:rPr>
              <w:t xml:space="preserve">新闻发布会          </w:t>
            </w:r>
            <w:r>
              <w:rPr>
                <w:rFonts w:hint="eastAsia" w:ascii="Times New Roman" w:hAnsi="Times New Roman" w:eastAsia="宋体" w:cstheme="minorEastAsia"/>
                <w:bCs/>
                <w:iCs/>
                <w:color w:val="000000"/>
                <w:kern w:val="0"/>
                <w:sz w:val="21"/>
                <w:szCs w:val="21"/>
                <w:lang w:eastAsia="zh-CN"/>
              </w:rPr>
              <w:t>□</w:t>
            </w:r>
            <w:r>
              <w:rPr>
                <w:rFonts w:hint="eastAsia" w:ascii="Times New Roman" w:hAnsi="Times New Roman" w:eastAsia="宋体" w:cstheme="minorEastAsia"/>
                <w:kern w:val="0"/>
                <w:sz w:val="21"/>
                <w:szCs w:val="21"/>
              </w:rPr>
              <w:t>路演活动</w:t>
            </w:r>
          </w:p>
          <w:p>
            <w:pPr>
              <w:tabs>
                <w:tab w:val="left" w:pos="3045"/>
                <w:tab w:val="center" w:pos="3199"/>
              </w:tabs>
              <w:spacing w:line="480" w:lineRule="atLeast"/>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现场参观</w:t>
            </w:r>
            <w:r>
              <w:rPr>
                <w:rFonts w:hint="eastAsia" w:ascii="Times New Roman" w:hAnsi="Times New Roman" w:eastAsia="宋体" w:cstheme="minorEastAsia"/>
                <w:bCs/>
                <w:iCs/>
                <w:color w:val="000000"/>
                <w:kern w:val="0"/>
                <w:sz w:val="21"/>
                <w:szCs w:val="21"/>
              </w:rPr>
              <w:tab/>
            </w:r>
          </w:p>
          <w:p>
            <w:pPr>
              <w:tabs>
                <w:tab w:val="center" w:pos="3199"/>
              </w:tabs>
              <w:spacing w:line="480" w:lineRule="atLeast"/>
              <w:rPr>
                <w:rFonts w:hint="eastAsia" w:ascii="Times New Roman" w:hAnsi="Times New Roman" w:eastAsia="宋体" w:cstheme="minorEastAsia"/>
                <w:bCs/>
                <w:iCs/>
                <w:color w:val="000000"/>
                <w:kern w:val="0"/>
                <w:sz w:val="21"/>
                <w:szCs w:val="21"/>
                <w:lang w:eastAsia="zh-CN"/>
              </w:rPr>
            </w:pPr>
            <w:r>
              <w:rPr>
                <w:rFonts w:hint="eastAsia" w:ascii="Times New Roman" w:hAnsi="Times New Roman" w:eastAsia="宋体" w:cstheme="minorEastAsia"/>
                <w:bCs/>
                <w:iCs/>
                <w:color w:val="000000"/>
                <w:kern w:val="0"/>
                <w:sz w:val="21"/>
                <w:szCs w:val="21"/>
              </w:rPr>
              <w:sym w:font="Wingdings 2" w:char="00A3"/>
            </w:r>
            <w:r>
              <w:rPr>
                <w:rFonts w:hint="eastAsia" w:ascii="Times New Roman" w:hAnsi="Times New Roman" w:eastAsia="宋体" w:cstheme="minorEastAsia"/>
                <w:kern w:val="0"/>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参与单位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名称</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全体通过上证路演中心网络互动平台参与公司2023年度暨2024年第一季度业绩说明会的投资者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时间</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2024年5月14日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地点</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上证路演中心（网址：http://roadshow.sseinfo.com/）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上市公司接待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人员姓名</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董事长、总经理张平华先生</w:t>
            </w:r>
          </w:p>
          <w:p>
            <w:pPr>
              <w:spacing w:line="360" w:lineRule="auto"/>
              <w:rPr>
                <w:rFonts w:hint="eastAsia"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董事会秘书、副总经理张杰先生</w:t>
            </w:r>
          </w:p>
          <w:p>
            <w:pPr>
              <w:spacing w:line="360" w:lineRule="auto"/>
              <w:rPr>
                <w:rFonts w:hint="eastAsia"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财务负责人曾素莹女士</w:t>
            </w:r>
          </w:p>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独立董事刘向东先生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投资者关系活动主要内容介绍</w:t>
            </w:r>
          </w:p>
          <w:p>
            <w:pPr>
              <w:spacing w:line="480" w:lineRule="atLeast"/>
              <w:rPr>
                <w:rFonts w:hint="eastAsia" w:ascii="Times New Roman" w:hAnsi="Times New Roman" w:eastAsia="宋体"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80" w:lineRule="atLeast"/>
              <w:textAlignment w:val="auto"/>
              <w:rPr>
                <w:rFonts w:hint="eastAsia" w:ascii="Times New Roman" w:hAnsi="Times New Roman" w:eastAsia="宋体" w:cstheme="minorEastAsia"/>
                <w:b/>
                <w:bCs w:val="0"/>
                <w:iCs/>
                <w:color w:val="000000"/>
                <w:kern w:val="0"/>
                <w:sz w:val="21"/>
                <w:szCs w:val="21"/>
                <w:lang w:eastAsia="zh-CN"/>
              </w:rPr>
            </w:pPr>
            <w:r>
              <w:rPr>
                <w:rFonts w:hint="eastAsia" w:ascii="Times New Roman" w:hAnsi="Times New Roman" w:eastAsia="宋体" w:cstheme="minorEastAsia"/>
                <w:b/>
                <w:bCs w:val="0"/>
                <w:iCs/>
                <w:color w:val="000000"/>
                <w:kern w:val="0"/>
                <w:sz w:val="21"/>
                <w:szCs w:val="21"/>
                <w:lang w:val="en-US" w:eastAsia="zh-CN"/>
              </w:rPr>
              <w:t>一、互动交流问答</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1、请问公司未来研发投入主要的方向？</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 xml:space="preserve">答：您好！公司在精密光学镜头的研发设计、生产制造及精密检测方面积累了多项核心技术，研发设计和制造的精密光学镜头产品在实现高速精准变焦、超高清、超低照度、红外共焦、自动聚焦等性能的同时仍具有小型轻量化、高可靠性、抗振动等特点，受到了客户的广泛认可并有力推动了下游领域的技术变革。未来，公司将继续抓住下游新兴行业不断增长的需求，凭借自身技术实力，从高难度及高附加值市场开始渗透，不断开发出具有较强市场竞争力的新兴产品。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2、请问公司主营业务是什么？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答：您好！公司是一家以视觉为核心的精密光学镜头产品和技术开发服务提供商，已经在智慧监控及感知、智能检测及识别、视频通讯及交互、高清拍摄及显示等多个领域形成了系列化产品及核心技术积累。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3、请您能否介绍下2023年整体业绩的情况？您对2024年的业绩展望乐观吗？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您好！2023年度，受宏观经济及下游需求短期波动影响，公司实现营业收入37,885.03万元，同比下降6.23%，但公司进一步加大了新领域市场开拓力度，智能检测及识别领域、视频通讯及交互领域主营业务收入均持续保持较好增长，其中智能检测及识别领域实现主营业务收入2,785.44万元，同比增长16.10%；视频通讯及交互领域实现主营业务收入2,408.45万元，同比增长8.99%。</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从2024年第一季度业绩看，随着宏观经济企稳回升，数字安防领域下游客户需求逐步恢复，智慧监控及感知领域业务有望恢复增长。同时智能检测及识别、视频通讯及交互、高清拍摄及显示等领域，随着产品线的不断丰富、客户群的不断开拓，各领域营业收入也有望继续保持增长。同时随着产品结构的进一步优化，整体毛利率也有望进一步提升；且公司进一步加强了各项费用的管理，以提升公司盈利能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2024年公司将继续专注主营业务的发展，努力抓住智慧监控及感知领域行业复苏的机遇，开拓智能检测及识别、高清拍摄及显示和视频通讯及交互等领域机会，并加强海外客户和市场的开拓，提高公司经营业绩。</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4、请问公司前五大客户的销售金额占营业收入比重的变化情况及原因？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答：您好！2023年度公司前五大客户销售金额占营业收入的比例为52.20%，较上年同期减少7.50个百分点，主要是公司不断开拓新兴领域市场，优化了客户结构，大客户依赖程度降低，客户集中度风险下降。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5、请问公司核心竞争力有哪些？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eastAsia" w:ascii="Times New Roman" w:hAnsi="Times New Roman" w:eastAsia="宋体" w:cstheme="minorEastAsia"/>
                <w:b w:val="0"/>
                <w:bCs/>
                <w:iCs/>
                <w:color w:val="000000"/>
                <w:kern w:val="0"/>
                <w:sz w:val="21"/>
                <w:szCs w:val="21"/>
                <w:lang w:val="en-US" w:eastAsia="zh-CN"/>
              </w:rPr>
            </w:pPr>
            <w:r>
              <w:rPr>
                <w:rFonts w:hint="eastAsia" w:ascii="Times New Roman" w:hAnsi="Times New Roman" w:eastAsia="宋体" w:cstheme="minorEastAsia"/>
                <w:b w:val="0"/>
                <w:bCs/>
                <w:iCs/>
                <w:color w:val="000000"/>
                <w:kern w:val="0"/>
                <w:sz w:val="21"/>
                <w:szCs w:val="21"/>
                <w:lang w:val="en-US" w:eastAsia="zh-CN"/>
              </w:rPr>
              <w:t>答：您好！经过多年的发展和积累，公司已经在高性能镜头设计、评价、装调、品控等各个方面形成了自身的核心技术，并在多个领域实现了应用，形成了系列化产品，能够满足客户对产品性能、开发周期、技术迭代、客户服务等方面的要求，具有较强的核心竞争力。且随着募投项目的逐步实施，公司在核心零部件自主生产、产能提升等方面不断完善，进一步加强了公司的核心竞争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cstheme="minorEastAsia"/>
                <w:b/>
                <w:bCs w:val="0"/>
                <w:iCs/>
                <w:color w:val="000000"/>
                <w:kern w:val="0"/>
                <w:sz w:val="21"/>
                <w:szCs w:val="21"/>
                <w:lang w:val="en-US" w:eastAsia="zh-CN"/>
              </w:rPr>
            </w:pPr>
            <w:r>
              <w:rPr>
                <w:rFonts w:hint="eastAsia" w:ascii="Times New Roman" w:hAnsi="Times New Roman" w:eastAsia="宋体" w:cstheme="minorEastAsia"/>
                <w:b/>
                <w:bCs w:val="0"/>
                <w:iCs/>
                <w:color w:val="000000"/>
                <w:kern w:val="0"/>
                <w:sz w:val="21"/>
                <w:szCs w:val="21"/>
                <w:lang w:val="en-US" w:eastAsia="zh-CN"/>
              </w:rPr>
              <w:t>6、请问公司2024年是否有分红计划和派息政策？</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b w:val="0"/>
                <w:bCs/>
                <w:lang w:val="en-US" w:eastAsia="zh-CN"/>
              </w:rPr>
            </w:pPr>
            <w:r>
              <w:rPr>
                <w:rFonts w:hint="default" w:ascii="Times New Roman" w:hAnsi="Times New Roman" w:eastAsia="宋体"/>
                <w:b w:val="0"/>
                <w:bCs/>
                <w:lang w:val="en-US" w:eastAsia="zh-CN"/>
              </w:rPr>
              <w:t>答 ：公司高度重视投资者和股东回报，根据公司实际经营业绩及未来发展规划，结合相关利润分配政策，积极进行现金分红，切实让投资者分享公司的发展成果。公司自2020年以来每年度均实施了现金分红，2020年-2022年3年累计现金分红约4,400.00万元（含税）占合并报表公司2020年-2022年累计归属于母公司所有者净利润的42.42%。公司第二届董事会第二次会议已经审议通过《关于2023年度利润分配方案的议案》（尚需提交股东大会审议），公司2023年拟实施现金分红2,640.00万元（含税），占2023年合并报表实现归属于母公司股东净利润的比例为72.67%。</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jc w:val="both"/>
              <w:textAlignment w:val="auto"/>
              <w:rPr>
                <w:rFonts w:hint="default" w:ascii="Times New Roman" w:hAnsi="Times New Roman" w:eastAsia="宋体"/>
                <w:b w:val="0"/>
                <w:bCs/>
                <w:lang w:val="en-US" w:eastAsia="zh-CN"/>
              </w:rPr>
            </w:pPr>
            <w:r>
              <w:rPr>
                <w:rFonts w:hint="default" w:ascii="Times New Roman" w:hAnsi="Times New Roman" w:eastAsia="宋体"/>
                <w:b w:val="0"/>
                <w:bCs/>
                <w:lang w:val="en-US" w:eastAsia="zh-CN"/>
              </w:rPr>
              <w:t>2024年度，公司将继续统筹好公司发展、业绩增长与股东回报的动态平衡，进一步完善公司利润分配策略，在符合相关法律法规及公司章程的前提下，兼顾股东的即期利益和长远利益，为股东提供持续、稳定、合理的投资回报，确保公司股东特别是中小股东的利益得到切实保障。</w:t>
            </w:r>
          </w:p>
          <w:p>
            <w:pPr>
              <w:widowControl w:val="0"/>
              <w:numPr>
                <w:ilvl w:val="0"/>
                <w:numId w:val="0"/>
              </w:numPr>
              <w:jc w:val="both"/>
              <w:rPr>
                <w:rFonts w:hint="default" w:ascii="Times New Roman" w:hAnsi="Times New Roman" w:eastAsia="宋体"/>
                <w:lang w:val="en-US" w:eastAsia="zh-CN"/>
              </w:rPr>
            </w:pPr>
          </w:p>
          <w:p>
            <w:pPr>
              <w:widowControl w:val="0"/>
              <w:numPr>
                <w:ilvl w:val="0"/>
                <w:numId w:val="0"/>
              </w:numPr>
              <w:jc w:val="both"/>
              <w:rPr>
                <w:rFonts w:hint="default" w:ascii="Times New Roman" w:hAnsi="Times New Roman"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附件清单（如有）</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宋体" w:cstheme="minorEastAsia"/>
                <w:bCs/>
                <w:iCs/>
                <w:color w:val="000000"/>
                <w:kern w:val="0"/>
                <w:sz w:val="21"/>
                <w:szCs w:val="21"/>
              </w:rPr>
            </w:pPr>
            <w:r>
              <w:rPr>
                <w:rFonts w:hint="eastAsia" w:ascii="Times New Roman" w:hAnsi="Times New Roman" w:eastAsia="宋体" w:cstheme="minorEastAsia"/>
                <w:bCs/>
                <w:iCs/>
                <w:color w:val="000000"/>
                <w:kern w:val="0"/>
                <w:sz w:val="21"/>
                <w:szCs w:val="21"/>
              </w:rPr>
              <w:t>日期</w:t>
            </w:r>
          </w:p>
        </w:tc>
        <w:tc>
          <w:tcPr>
            <w:tcW w:w="68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宋体" w:cstheme="minorEastAsia"/>
                <w:bCs/>
                <w:iCs/>
                <w:color w:val="000000"/>
                <w:kern w:val="0"/>
                <w:sz w:val="21"/>
                <w:szCs w:val="21"/>
                <w:lang w:val="en-US" w:eastAsia="zh-CN"/>
              </w:rPr>
            </w:pPr>
            <w:r>
              <w:rPr>
                <w:rFonts w:hint="eastAsia" w:ascii="Times New Roman" w:hAnsi="Times New Roman" w:eastAsia="宋体" w:cstheme="minorEastAsia"/>
                <w:bCs/>
                <w:iCs/>
                <w:color w:val="000000"/>
                <w:kern w:val="0"/>
                <w:sz w:val="21"/>
                <w:szCs w:val="21"/>
                <w:lang w:val="en-US" w:eastAsia="zh-CN"/>
              </w:rPr>
              <w:t>2024年5月14日</w:t>
            </w:r>
          </w:p>
        </w:tc>
      </w:tr>
    </w:tbl>
    <w:p>
      <w:pPr>
        <w:rPr>
          <w:rFonts w:ascii="Times New Roman" w:hAnsi="Times New Roman"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TI3YTVmN2Q3ZTdlZTdjYzU3NTE5M2M2ZWIxZTgifQ=="/>
  </w:docVars>
  <w:rsids>
    <w:rsidRoot w:val="006339EA"/>
    <w:rsid w:val="004E2611"/>
    <w:rsid w:val="006339EA"/>
    <w:rsid w:val="006431E3"/>
    <w:rsid w:val="006C4B57"/>
    <w:rsid w:val="00B82C8A"/>
    <w:rsid w:val="030952DB"/>
    <w:rsid w:val="03C3303C"/>
    <w:rsid w:val="065378F8"/>
    <w:rsid w:val="0B144023"/>
    <w:rsid w:val="0B991A59"/>
    <w:rsid w:val="0E2608EE"/>
    <w:rsid w:val="117D11A6"/>
    <w:rsid w:val="15A53339"/>
    <w:rsid w:val="1F9B4988"/>
    <w:rsid w:val="2F6556A4"/>
    <w:rsid w:val="325726FF"/>
    <w:rsid w:val="34360283"/>
    <w:rsid w:val="431552FD"/>
    <w:rsid w:val="43545F3B"/>
    <w:rsid w:val="46AD4193"/>
    <w:rsid w:val="52B13DB7"/>
    <w:rsid w:val="5A0472F0"/>
    <w:rsid w:val="5ACA2448"/>
    <w:rsid w:val="5FDD4344"/>
    <w:rsid w:val="61DC706D"/>
    <w:rsid w:val="64A92310"/>
    <w:rsid w:val="689653A1"/>
    <w:rsid w:val="6AEE70A1"/>
    <w:rsid w:val="72444989"/>
    <w:rsid w:val="75F008FD"/>
    <w:rsid w:val="7C9F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9"/>
    <w:pPr>
      <w:keepNext/>
      <w:keepLines/>
      <w:spacing w:before="260" w:after="260"/>
      <w:outlineLvl w:val="1"/>
    </w:pPr>
    <w:rPr>
      <w:rFonts w:ascii="Cambria" w:hAnsi="Cambria"/>
      <w:b/>
      <w:bCs/>
      <w:kern w:val="0"/>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2935</Words>
  <Characters>3000</Characters>
  <Lines>20</Lines>
  <Paragraphs>5</Paragraphs>
  <TotalTime>27</TotalTime>
  <ScaleCrop>false</ScaleCrop>
  <LinksUpToDate>false</LinksUpToDate>
  <CharactersWithSpaces>3131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2016-05-16T09:19:00Z</dcterms:created>
  <dc:creator>yun</dc:creator>
  <cp:lastModifiedBy>sly</cp:lastModifiedBy>
  <cp:lastPrinted>2023-05-30T03:18:00Z</cp:lastPrinted>
  <dcterms:modified xsi:type="dcterms:W3CDTF">2024-05-14T09:14:41Z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1552736DD8E242BCA9AF042F7ED713C4_13</vt:lpwstr>
  </property>
</Properties>
</file>