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413690" w14:textId="77777777" w:rsidR="00E638C8" w:rsidRDefault="007D0BF4">
      <w:pPr>
        <w:spacing w:before="41"/>
        <w:ind w:left="220"/>
        <w:rPr>
          <w:b/>
          <w:sz w:val="24"/>
        </w:rPr>
      </w:pPr>
      <w:r>
        <w:rPr>
          <w:b/>
          <w:sz w:val="24"/>
        </w:rPr>
        <w:t>附件一：投资者关系活动记录表格式</w:t>
      </w:r>
    </w:p>
    <w:p w14:paraId="21D71080" w14:textId="77777777" w:rsidR="00E638C8" w:rsidRDefault="00E638C8">
      <w:pPr>
        <w:pStyle w:val="a3"/>
        <w:ind w:left="0"/>
        <w:rPr>
          <w:b/>
        </w:rPr>
      </w:pPr>
    </w:p>
    <w:p w14:paraId="52A0BE57" w14:textId="77777777" w:rsidR="00E638C8" w:rsidRDefault="00E638C8">
      <w:pPr>
        <w:pStyle w:val="a3"/>
        <w:spacing w:before="1"/>
        <w:ind w:left="0"/>
        <w:rPr>
          <w:b/>
          <w:sz w:val="19"/>
        </w:rPr>
      </w:pPr>
    </w:p>
    <w:p w14:paraId="7BB2E026" w14:textId="77777777" w:rsidR="00E638C8" w:rsidRDefault="007D0BF4">
      <w:pPr>
        <w:pStyle w:val="a3"/>
        <w:tabs>
          <w:tab w:val="left" w:pos="5741"/>
        </w:tabs>
      </w:pPr>
      <w:r>
        <w:t>证券代码：</w:t>
      </w:r>
      <w:r w:rsidR="002E22FC">
        <w:t>688060</w:t>
      </w:r>
      <w:r>
        <w:tab/>
        <w:t>证券简称：</w:t>
      </w:r>
      <w:r w:rsidR="002E22FC">
        <w:rPr>
          <w:rFonts w:hint="eastAsia"/>
        </w:rPr>
        <w:t>云涌科技</w:t>
      </w:r>
    </w:p>
    <w:p w14:paraId="184E1C20" w14:textId="77777777" w:rsidR="00E638C8" w:rsidRDefault="00F275BC">
      <w:pPr>
        <w:pStyle w:val="1"/>
        <w:spacing w:before="170"/>
      </w:pPr>
      <w:r>
        <w:rPr>
          <w:rFonts w:hint="eastAsia"/>
        </w:rPr>
        <w:t>江苏云涌电子</w:t>
      </w:r>
      <w:r w:rsidR="007D0BF4">
        <w:t>科技股份有限公司投资者关系活动记录表</w:t>
      </w:r>
    </w:p>
    <w:p w14:paraId="0799B718" w14:textId="77777777" w:rsidR="00E638C8" w:rsidRDefault="007D0BF4">
      <w:pPr>
        <w:pStyle w:val="a3"/>
        <w:spacing w:before="224" w:after="15"/>
        <w:ind w:left="0" w:right="983"/>
        <w:jc w:val="right"/>
      </w:pPr>
      <w:r>
        <w:t>编号：</w:t>
      </w: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08"/>
        <w:gridCol w:w="6616"/>
      </w:tblGrid>
      <w:tr w:rsidR="00E638C8" w14:paraId="0624503D" w14:textId="77777777">
        <w:trPr>
          <w:trHeight w:val="2400"/>
        </w:trPr>
        <w:tc>
          <w:tcPr>
            <w:tcW w:w="1908" w:type="dxa"/>
          </w:tcPr>
          <w:p w14:paraId="2F11C16D" w14:textId="77777777" w:rsidR="00E638C8" w:rsidRDefault="007D0BF4">
            <w:pPr>
              <w:pStyle w:val="TableParagraph"/>
              <w:spacing w:before="170" w:line="374" w:lineRule="auto"/>
              <w:ind w:right="91"/>
              <w:rPr>
                <w:sz w:val="24"/>
              </w:rPr>
            </w:pPr>
            <w:r>
              <w:rPr>
                <w:sz w:val="24"/>
              </w:rPr>
              <w:t>投资者关系活动类别</w:t>
            </w:r>
          </w:p>
        </w:tc>
        <w:tc>
          <w:tcPr>
            <w:tcW w:w="6616" w:type="dxa"/>
          </w:tcPr>
          <w:p w14:paraId="573644CB" w14:textId="1DFA95E7" w:rsidR="00E638C8" w:rsidRDefault="003604FC">
            <w:pPr>
              <w:pStyle w:val="TableParagraph"/>
              <w:tabs>
                <w:tab w:val="left" w:pos="2748"/>
              </w:tabs>
              <w:spacing w:before="170"/>
              <w:rPr>
                <w:sz w:val="24"/>
              </w:rPr>
            </w:pPr>
            <w:r>
              <w:rPr>
                <w:sz w:val="24"/>
              </w:rPr>
              <w:t>□</w:t>
            </w:r>
            <w:r w:rsidR="007D0BF4">
              <w:rPr>
                <w:sz w:val="24"/>
              </w:rPr>
              <w:t>特定对象调研</w:t>
            </w:r>
            <w:r w:rsidR="007D0BF4">
              <w:rPr>
                <w:sz w:val="24"/>
              </w:rPr>
              <w:tab/>
              <w:t>□分析师会议</w:t>
            </w:r>
          </w:p>
          <w:p w14:paraId="57FA038D" w14:textId="41D07348" w:rsidR="00E638C8" w:rsidRDefault="007D0BF4">
            <w:pPr>
              <w:pStyle w:val="TableParagraph"/>
              <w:tabs>
                <w:tab w:val="left" w:pos="2748"/>
              </w:tabs>
              <w:spacing w:before="172"/>
              <w:rPr>
                <w:sz w:val="24"/>
              </w:rPr>
            </w:pPr>
            <w:r>
              <w:rPr>
                <w:sz w:val="24"/>
              </w:rPr>
              <w:t>□媒体采访</w:t>
            </w:r>
            <w:r>
              <w:rPr>
                <w:sz w:val="24"/>
              </w:rPr>
              <w:tab/>
            </w:r>
            <w:r w:rsidR="003604FC">
              <w:rPr>
                <w:rFonts w:hint="eastAsia"/>
                <w:sz w:val="24"/>
              </w:rPr>
              <w:t>√</w:t>
            </w:r>
            <w:r>
              <w:rPr>
                <w:sz w:val="24"/>
              </w:rPr>
              <w:t>业绩说明会</w:t>
            </w:r>
          </w:p>
          <w:p w14:paraId="2D670FF7" w14:textId="77777777" w:rsidR="00E638C8" w:rsidRDefault="007D0BF4">
            <w:pPr>
              <w:pStyle w:val="TableParagraph"/>
              <w:tabs>
                <w:tab w:val="left" w:pos="2748"/>
              </w:tabs>
              <w:spacing w:before="173"/>
              <w:rPr>
                <w:sz w:val="24"/>
              </w:rPr>
            </w:pPr>
            <w:r>
              <w:rPr>
                <w:sz w:val="24"/>
              </w:rPr>
              <w:t>□新闻发布会</w:t>
            </w:r>
            <w:r>
              <w:rPr>
                <w:sz w:val="24"/>
              </w:rPr>
              <w:tab/>
              <w:t>□路演活动</w:t>
            </w:r>
          </w:p>
          <w:p w14:paraId="65DC451A" w14:textId="55B1CEE8" w:rsidR="00E638C8" w:rsidRDefault="00380582">
            <w:pPr>
              <w:pStyle w:val="TableParagraph"/>
              <w:spacing w:before="173"/>
              <w:rPr>
                <w:sz w:val="24"/>
              </w:rPr>
            </w:pPr>
            <w:r>
              <w:rPr>
                <w:sz w:val="24"/>
              </w:rPr>
              <w:t>□</w:t>
            </w:r>
            <w:r w:rsidR="007D0BF4">
              <w:rPr>
                <w:sz w:val="24"/>
              </w:rPr>
              <w:t>现场参观</w:t>
            </w:r>
          </w:p>
          <w:p w14:paraId="4E53F67F" w14:textId="3155723F" w:rsidR="00E638C8" w:rsidRDefault="007D0BF4" w:rsidP="003604FC">
            <w:pPr>
              <w:pStyle w:val="TableParagraph"/>
              <w:spacing w:before="172" w:line="289" w:lineRule="exact"/>
              <w:rPr>
                <w:sz w:val="24"/>
              </w:rPr>
            </w:pPr>
            <w:r>
              <w:rPr>
                <w:sz w:val="24"/>
              </w:rPr>
              <w:t xml:space="preserve">□其他 </w:t>
            </w:r>
          </w:p>
        </w:tc>
      </w:tr>
      <w:tr w:rsidR="00E638C8" w14:paraId="059BC77D" w14:textId="77777777" w:rsidTr="007E321D">
        <w:trPr>
          <w:trHeight w:val="959"/>
        </w:trPr>
        <w:tc>
          <w:tcPr>
            <w:tcW w:w="1908" w:type="dxa"/>
          </w:tcPr>
          <w:p w14:paraId="3A26EF6E" w14:textId="77777777" w:rsidR="00E638C8" w:rsidRDefault="007D0BF4">
            <w:pPr>
              <w:pStyle w:val="TableParagraph"/>
              <w:spacing w:line="480" w:lineRule="exact"/>
              <w:ind w:right="91"/>
              <w:rPr>
                <w:sz w:val="24"/>
              </w:rPr>
            </w:pPr>
            <w:r>
              <w:rPr>
                <w:sz w:val="24"/>
              </w:rPr>
              <w:t>参与单位名称及人员姓名</w:t>
            </w:r>
          </w:p>
        </w:tc>
        <w:tc>
          <w:tcPr>
            <w:tcW w:w="6616" w:type="dxa"/>
            <w:vAlign w:val="center"/>
          </w:tcPr>
          <w:p w14:paraId="02BC1C71" w14:textId="485BA1B8" w:rsidR="00E638C8" w:rsidRPr="004F4CDD" w:rsidRDefault="003604FC" w:rsidP="003604FC">
            <w:pPr>
              <w:pStyle w:val="TableParagraph"/>
              <w:rPr>
                <w:rFonts w:ascii="Times New Roman"/>
                <w:sz w:val="24"/>
                <w:szCs w:val="24"/>
              </w:rPr>
            </w:pPr>
            <w:r w:rsidRPr="003604FC">
              <w:rPr>
                <w:rFonts w:ascii="Times New Roman" w:hint="eastAsia"/>
                <w:sz w:val="24"/>
                <w:szCs w:val="24"/>
              </w:rPr>
              <w:t>线</w:t>
            </w:r>
            <w:bookmarkStart w:id="0" w:name="_GoBack"/>
            <w:bookmarkEnd w:id="0"/>
            <w:r w:rsidRPr="003604FC">
              <w:rPr>
                <w:rFonts w:ascii="Times New Roman" w:hint="eastAsia"/>
                <w:sz w:val="24"/>
                <w:szCs w:val="24"/>
              </w:rPr>
              <w:t>上参与公司</w:t>
            </w:r>
            <w:r w:rsidRPr="003604FC">
              <w:rPr>
                <w:rFonts w:ascii="Times New Roman"/>
                <w:sz w:val="24"/>
                <w:szCs w:val="24"/>
              </w:rPr>
              <w:t>2023</w:t>
            </w:r>
            <w:r w:rsidRPr="003604FC">
              <w:rPr>
                <w:rFonts w:ascii="Times New Roman"/>
                <w:sz w:val="24"/>
                <w:szCs w:val="24"/>
              </w:rPr>
              <w:t>年度</w:t>
            </w:r>
            <w:r>
              <w:rPr>
                <w:rFonts w:ascii="Times New Roman" w:hint="eastAsia"/>
                <w:sz w:val="24"/>
                <w:szCs w:val="24"/>
              </w:rPr>
              <w:t>软件</w:t>
            </w:r>
            <w:r w:rsidRPr="003604FC">
              <w:rPr>
                <w:rFonts w:ascii="Times New Roman"/>
                <w:sz w:val="24"/>
                <w:szCs w:val="24"/>
              </w:rPr>
              <w:t>专场集体业绩说明会暨</w:t>
            </w:r>
            <w:r w:rsidRPr="003604FC">
              <w:rPr>
                <w:rFonts w:ascii="Times New Roman"/>
                <w:sz w:val="24"/>
                <w:szCs w:val="24"/>
              </w:rPr>
              <w:t>2024</w:t>
            </w:r>
            <w:r w:rsidRPr="003604FC">
              <w:rPr>
                <w:rFonts w:ascii="Times New Roman"/>
                <w:sz w:val="24"/>
                <w:szCs w:val="24"/>
              </w:rPr>
              <w:t>年第一季度业绩说明会的全体投资者</w:t>
            </w:r>
          </w:p>
        </w:tc>
      </w:tr>
      <w:tr w:rsidR="00E638C8" w14:paraId="06436577" w14:textId="77777777" w:rsidTr="007E321D">
        <w:trPr>
          <w:trHeight w:val="479"/>
        </w:trPr>
        <w:tc>
          <w:tcPr>
            <w:tcW w:w="1908" w:type="dxa"/>
          </w:tcPr>
          <w:p w14:paraId="4440AEE0" w14:textId="77777777" w:rsidR="00E638C8" w:rsidRDefault="007D0BF4">
            <w:pPr>
              <w:pStyle w:val="TableParagraph"/>
              <w:spacing w:before="170" w:line="289" w:lineRule="exact"/>
              <w:rPr>
                <w:sz w:val="24"/>
              </w:rPr>
            </w:pPr>
            <w:r>
              <w:rPr>
                <w:sz w:val="24"/>
              </w:rPr>
              <w:t>时间</w:t>
            </w:r>
          </w:p>
        </w:tc>
        <w:tc>
          <w:tcPr>
            <w:tcW w:w="6616" w:type="dxa"/>
            <w:vAlign w:val="center"/>
          </w:tcPr>
          <w:p w14:paraId="00819525" w14:textId="0DA060D9" w:rsidR="00E638C8" w:rsidRDefault="007E321D" w:rsidP="003604FC">
            <w:pPr>
              <w:pStyle w:val="TableParagraph"/>
              <w:ind w:left="0"/>
              <w:rPr>
                <w:rFonts w:ascii="Times New Roman"/>
                <w:sz w:val="24"/>
              </w:rPr>
            </w:pPr>
            <w:r>
              <w:rPr>
                <w:rFonts w:ascii="Times New Roman" w:hint="eastAsia"/>
                <w:sz w:val="24"/>
              </w:rPr>
              <w:t>2</w:t>
            </w:r>
            <w:r>
              <w:rPr>
                <w:rFonts w:ascii="Times New Roman"/>
                <w:sz w:val="24"/>
              </w:rPr>
              <w:t>02</w:t>
            </w:r>
            <w:r w:rsidR="00AD05CB">
              <w:rPr>
                <w:rFonts w:ascii="Times New Roman" w:hint="eastAsia"/>
                <w:sz w:val="24"/>
              </w:rPr>
              <w:t>4</w:t>
            </w:r>
            <w:r>
              <w:rPr>
                <w:rFonts w:ascii="Times New Roman" w:hint="eastAsia"/>
                <w:sz w:val="24"/>
              </w:rPr>
              <w:t>年</w:t>
            </w:r>
            <w:r w:rsidR="003604FC">
              <w:rPr>
                <w:rFonts w:ascii="Times New Roman"/>
                <w:sz w:val="24"/>
              </w:rPr>
              <w:t>5</w:t>
            </w:r>
            <w:r>
              <w:rPr>
                <w:rFonts w:ascii="Times New Roman" w:hint="eastAsia"/>
                <w:sz w:val="24"/>
              </w:rPr>
              <w:t>月</w:t>
            </w:r>
            <w:r w:rsidR="003604FC">
              <w:rPr>
                <w:rFonts w:ascii="Times New Roman"/>
                <w:sz w:val="24"/>
              </w:rPr>
              <w:t>14</w:t>
            </w:r>
            <w:r>
              <w:rPr>
                <w:rFonts w:ascii="Times New Roman" w:hint="eastAsia"/>
                <w:sz w:val="24"/>
              </w:rPr>
              <w:t>日</w:t>
            </w:r>
            <w:r>
              <w:rPr>
                <w:rFonts w:ascii="Times New Roman" w:hint="eastAsia"/>
                <w:sz w:val="24"/>
              </w:rPr>
              <w:t xml:space="preserve"> </w:t>
            </w:r>
            <w:r w:rsidR="00AD05CB">
              <w:rPr>
                <w:rFonts w:ascii="Times New Roman" w:hint="eastAsia"/>
                <w:sz w:val="24"/>
              </w:rPr>
              <w:t>15</w:t>
            </w:r>
            <w:r w:rsidR="00147A29">
              <w:rPr>
                <w:rFonts w:ascii="Times New Roman"/>
                <w:sz w:val="24"/>
              </w:rPr>
              <w:t>:</w:t>
            </w:r>
            <w:r w:rsidR="002F31CB">
              <w:rPr>
                <w:rFonts w:ascii="Times New Roman"/>
                <w:sz w:val="24"/>
              </w:rPr>
              <w:t>00</w:t>
            </w:r>
            <w:r>
              <w:rPr>
                <w:rFonts w:ascii="Times New Roman"/>
                <w:sz w:val="24"/>
              </w:rPr>
              <w:t>-1</w:t>
            </w:r>
            <w:r w:rsidR="003604FC">
              <w:rPr>
                <w:rFonts w:ascii="Times New Roman"/>
                <w:sz w:val="24"/>
              </w:rPr>
              <w:t>7</w:t>
            </w:r>
            <w:r>
              <w:rPr>
                <w:rFonts w:ascii="Times New Roman"/>
                <w:sz w:val="24"/>
              </w:rPr>
              <w:t>:</w:t>
            </w:r>
            <w:r w:rsidR="002F31CB">
              <w:rPr>
                <w:rFonts w:ascii="Times New Roman"/>
                <w:sz w:val="24"/>
              </w:rPr>
              <w:t>00</w:t>
            </w:r>
            <w:r w:rsidR="009E57D9">
              <w:rPr>
                <w:rFonts w:ascii="Times New Roman"/>
                <w:sz w:val="24"/>
              </w:rPr>
              <w:t xml:space="preserve"> </w:t>
            </w:r>
          </w:p>
        </w:tc>
      </w:tr>
      <w:tr w:rsidR="00E638C8" w14:paraId="20E6F060" w14:textId="77777777" w:rsidTr="007E321D">
        <w:trPr>
          <w:trHeight w:val="482"/>
        </w:trPr>
        <w:tc>
          <w:tcPr>
            <w:tcW w:w="1908" w:type="dxa"/>
          </w:tcPr>
          <w:p w14:paraId="62984279" w14:textId="77777777" w:rsidR="00E638C8" w:rsidRDefault="007D0BF4">
            <w:pPr>
              <w:pStyle w:val="TableParagraph"/>
              <w:spacing w:before="172" w:line="289" w:lineRule="exact"/>
              <w:rPr>
                <w:sz w:val="24"/>
              </w:rPr>
            </w:pPr>
            <w:r>
              <w:rPr>
                <w:sz w:val="24"/>
              </w:rPr>
              <w:t>地点</w:t>
            </w:r>
          </w:p>
        </w:tc>
        <w:tc>
          <w:tcPr>
            <w:tcW w:w="6616" w:type="dxa"/>
            <w:vAlign w:val="center"/>
          </w:tcPr>
          <w:p w14:paraId="063B02CC" w14:textId="07E1FBDF" w:rsidR="00E638C8" w:rsidRDefault="007E321D" w:rsidP="007E321D">
            <w:pPr>
              <w:pStyle w:val="TableParagraph"/>
              <w:ind w:left="0"/>
              <w:rPr>
                <w:rFonts w:ascii="Times New Roman"/>
                <w:sz w:val="24"/>
              </w:rPr>
            </w:pPr>
            <w:r w:rsidRPr="007E321D">
              <w:rPr>
                <w:rFonts w:ascii="Times New Roman"/>
                <w:sz w:val="24"/>
              </w:rPr>
              <w:t>云涌科技会议室</w:t>
            </w:r>
          </w:p>
        </w:tc>
      </w:tr>
      <w:tr w:rsidR="00E638C8" w14:paraId="057BD05F" w14:textId="77777777" w:rsidTr="007E321D">
        <w:trPr>
          <w:trHeight w:val="960"/>
        </w:trPr>
        <w:tc>
          <w:tcPr>
            <w:tcW w:w="1908" w:type="dxa"/>
          </w:tcPr>
          <w:p w14:paraId="56A0696B" w14:textId="77777777" w:rsidR="00E638C8" w:rsidRDefault="007D0BF4">
            <w:pPr>
              <w:pStyle w:val="TableParagraph"/>
              <w:spacing w:line="480" w:lineRule="exact"/>
              <w:ind w:right="91"/>
              <w:rPr>
                <w:sz w:val="24"/>
              </w:rPr>
            </w:pPr>
            <w:r>
              <w:rPr>
                <w:sz w:val="24"/>
              </w:rPr>
              <w:t>上市公司接待人员姓名</w:t>
            </w:r>
          </w:p>
        </w:tc>
        <w:tc>
          <w:tcPr>
            <w:tcW w:w="6616" w:type="dxa"/>
            <w:vAlign w:val="center"/>
          </w:tcPr>
          <w:p w14:paraId="6C228F0A" w14:textId="41C14564" w:rsidR="003604FC" w:rsidRDefault="003604FC" w:rsidP="007E321D">
            <w:pPr>
              <w:pStyle w:val="TableParagraph"/>
              <w:ind w:left="0"/>
              <w:rPr>
                <w:rFonts w:ascii="Times New Roman"/>
                <w:sz w:val="24"/>
              </w:rPr>
            </w:pPr>
            <w:r>
              <w:rPr>
                <w:rFonts w:ascii="Times New Roman" w:hint="eastAsia"/>
                <w:sz w:val="24"/>
              </w:rPr>
              <w:t>董事长、总经理：高南</w:t>
            </w:r>
          </w:p>
          <w:p w14:paraId="2E8FDC88" w14:textId="6B2D1E9F" w:rsidR="003604FC" w:rsidRDefault="003604FC" w:rsidP="007E321D">
            <w:pPr>
              <w:pStyle w:val="TableParagraph"/>
              <w:ind w:left="0"/>
              <w:rPr>
                <w:rFonts w:ascii="Times New Roman"/>
                <w:sz w:val="24"/>
              </w:rPr>
            </w:pPr>
            <w:r>
              <w:rPr>
                <w:rFonts w:ascii="Times New Roman" w:hint="eastAsia"/>
                <w:sz w:val="24"/>
              </w:rPr>
              <w:t>独立董事：刘跃露</w:t>
            </w:r>
          </w:p>
          <w:p w14:paraId="5B4117CD" w14:textId="51E7E29E" w:rsidR="003604FC" w:rsidRDefault="003604FC" w:rsidP="007E321D">
            <w:pPr>
              <w:pStyle w:val="TableParagraph"/>
              <w:ind w:left="0"/>
              <w:rPr>
                <w:rFonts w:ascii="Times New Roman" w:hint="eastAsia"/>
                <w:sz w:val="24"/>
              </w:rPr>
            </w:pPr>
            <w:r>
              <w:rPr>
                <w:rFonts w:ascii="Times New Roman" w:hint="eastAsia"/>
                <w:sz w:val="24"/>
              </w:rPr>
              <w:t>董事、技术总监：高渊</w:t>
            </w:r>
          </w:p>
          <w:p w14:paraId="0F8319CE" w14:textId="77777777" w:rsidR="00E638C8" w:rsidRDefault="007E321D" w:rsidP="007E321D">
            <w:pPr>
              <w:pStyle w:val="TableParagraph"/>
              <w:ind w:left="0"/>
              <w:rPr>
                <w:rFonts w:ascii="Times New Roman"/>
                <w:sz w:val="24"/>
              </w:rPr>
            </w:pPr>
            <w:r w:rsidRPr="007E321D">
              <w:rPr>
                <w:rFonts w:ascii="Times New Roman"/>
                <w:sz w:val="24"/>
              </w:rPr>
              <w:t>董事会秘书</w:t>
            </w:r>
            <w:r w:rsidR="003604FC">
              <w:rPr>
                <w:rFonts w:ascii="Times New Roman" w:hint="eastAsia"/>
                <w:sz w:val="24"/>
              </w:rPr>
              <w:t>：</w:t>
            </w:r>
            <w:r w:rsidRPr="007E321D">
              <w:rPr>
                <w:rFonts w:ascii="Times New Roman"/>
                <w:sz w:val="24"/>
              </w:rPr>
              <w:t>姜金良</w:t>
            </w:r>
          </w:p>
          <w:p w14:paraId="62F8FFD7" w14:textId="1154CB0B" w:rsidR="003604FC" w:rsidRDefault="003604FC" w:rsidP="007E321D">
            <w:pPr>
              <w:pStyle w:val="TableParagraph"/>
              <w:ind w:left="0"/>
              <w:rPr>
                <w:rFonts w:ascii="Times New Roman" w:hint="eastAsia"/>
                <w:sz w:val="24"/>
              </w:rPr>
            </w:pPr>
            <w:r>
              <w:rPr>
                <w:rFonts w:ascii="Times New Roman" w:hint="eastAsia"/>
                <w:sz w:val="24"/>
              </w:rPr>
              <w:t>财务总监：张艳荣</w:t>
            </w:r>
          </w:p>
        </w:tc>
      </w:tr>
      <w:tr w:rsidR="00E638C8" w14:paraId="28BA42B2" w14:textId="77777777" w:rsidTr="007E321D">
        <w:trPr>
          <w:trHeight w:val="2399"/>
        </w:trPr>
        <w:tc>
          <w:tcPr>
            <w:tcW w:w="1908" w:type="dxa"/>
          </w:tcPr>
          <w:p w14:paraId="79F58A40" w14:textId="77777777" w:rsidR="00E638C8" w:rsidRDefault="00E638C8">
            <w:pPr>
              <w:pStyle w:val="TableParagraph"/>
              <w:ind w:left="0"/>
              <w:rPr>
                <w:sz w:val="24"/>
              </w:rPr>
            </w:pPr>
          </w:p>
          <w:p w14:paraId="5BC5ACDD" w14:textId="77777777" w:rsidR="00E638C8" w:rsidRDefault="00E638C8">
            <w:pPr>
              <w:pStyle w:val="TableParagraph"/>
              <w:spacing w:before="9"/>
              <w:ind w:left="0"/>
              <w:rPr>
                <w:sz w:val="26"/>
              </w:rPr>
            </w:pPr>
          </w:p>
          <w:p w14:paraId="49857E9D" w14:textId="77777777" w:rsidR="00E638C8" w:rsidRDefault="007D0BF4">
            <w:pPr>
              <w:pStyle w:val="TableParagraph"/>
              <w:spacing w:line="374" w:lineRule="auto"/>
              <w:ind w:right="91"/>
              <w:rPr>
                <w:sz w:val="24"/>
              </w:rPr>
            </w:pPr>
            <w:r>
              <w:rPr>
                <w:sz w:val="24"/>
              </w:rPr>
              <w:t>投资者关系活动主要内容介绍</w:t>
            </w:r>
          </w:p>
        </w:tc>
        <w:tc>
          <w:tcPr>
            <w:tcW w:w="6616" w:type="dxa"/>
          </w:tcPr>
          <w:p w14:paraId="4EDD98ED" w14:textId="7487A1A0" w:rsidR="00AE6836" w:rsidRPr="004F4CDD" w:rsidRDefault="00AE6836" w:rsidP="0072689B">
            <w:pPr>
              <w:pStyle w:val="TableParagraph"/>
              <w:ind w:left="0"/>
              <w:rPr>
                <w:color w:val="FF0000"/>
                <w:sz w:val="24"/>
                <w:szCs w:val="24"/>
              </w:rPr>
            </w:pPr>
            <w:r w:rsidRPr="004F4CDD">
              <w:rPr>
                <w:rFonts w:hint="eastAsia"/>
                <w:color w:val="FF0000"/>
                <w:sz w:val="24"/>
                <w:szCs w:val="24"/>
              </w:rPr>
              <w:t>Q：</w:t>
            </w:r>
            <w:r w:rsidR="003604FC" w:rsidRPr="003604FC">
              <w:rPr>
                <w:rFonts w:hint="eastAsia"/>
                <w:color w:val="FF0000"/>
                <w:sz w:val="24"/>
                <w:szCs w:val="24"/>
              </w:rPr>
              <w:t>公司</w:t>
            </w:r>
            <w:r w:rsidR="003604FC" w:rsidRPr="003604FC">
              <w:rPr>
                <w:color w:val="FF0000"/>
                <w:sz w:val="24"/>
                <w:szCs w:val="24"/>
              </w:rPr>
              <w:t>2024年第1季度的ESG评分较低，华证的ESG总评分为BB，社会分项也还有较大改进空间。想请问公司如何看待社会责任在公司运营中的重要性？未来如何改进ESG评分？</w:t>
            </w:r>
          </w:p>
          <w:p w14:paraId="6C4F8933" w14:textId="7A8760BF" w:rsidR="00585D99" w:rsidRPr="004F4CDD" w:rsidRDefault="00AE6836" w:rsidP="00AE6836">
            <w:pPr>
              <w:rPr>
                <w:sz w:val="24"/>
                <w:szCs w:val="24"/>
              </w:rPr>
            </w:pPr>
            <w:r w:rsidRPr="004F4CDD">
              <w:rPr>
                <w:rFonts w:hint="eastAsia"/>
                <w:sz w:val="24"/>
                <w:szCs w:val="24"/>
              </w:rPr>
              <w:t>A：</w:t>
            </w:r>
            <w:r w:rsidR="003604FC" w:rsidRPr="003604FC">
              <w:rPr>
                <w:rFonts w:hint="eastAsia"/>
                <w:sz w:val="24"/>
                <w:szCs w:val="24"/>
              </w:rPr>
              <w:t>尊敬的投资者您好，公司高度重视</w:t>
            </w:r>
            <w:r w:rsidR="003604FC" w:rsidRPr="003604FC">
              <w:rPr>
                <w:sz w:val="24"/>
                <w:szCs w:val="24"/>
              </w:rPr>
              <w:t>ESG相关工作，始终践行可持续发展理念，切实遵守环保安全规定，努力完善公司治理结构，坚持技术创新。公司严格按照ISO9001质量管理体系、ISO14001环境管理体系和ISO45001职业健康安全管理体系认证标准建立并贯彻质量控制体系，保障产品质量的同时关注生产环境以及员工健康安全。公司成立云涌科技工会，设立职工监事代表，参与公司重要事项监督管理，保障员工权益。公司拥有健全的对外沟通流程及通道，维持与客户及供应商良好沟通环境。公司通过策略会、业绩说明会、e互动、邮件、电话等形式</w:t>
            </w:r>
            <w:r w:rsidR="003604FC" w:rsidRPr="003604FC">
              <w:rPr>
                <w:rFonts w:hint="eastAsia"/>
                <w:sz w:val="24"/>
                <w:szCs w:val="24"/>
              </w:rPr>
              <w:t>与投资者交流沟通，高度重视中小投资者意见，保障投资者权益。未来公司将积极参与慈善公益、社区服务、帮弱扶贫等社会活动，努力加强与政府及高校的合作。相信在公司的积极努力下，</w:t>
            </w:r>
            <w:r w:rsidR="003604FC" w:rsidRPr="003604FC">
              <w:rPr>
                <w:sz w:val="24"/>
                <w:szCs w:val="24"/>
              </w:rPr>
              <w:t>ESG评级会逐步改善。谢谢！</w:t>
            </w:r>
          </w:p>
          <w:p w14:paraId="30721657" w14:textId="77777777" w:rsidR="000A227A" w:rsidRPr="00585D99" w:rsidRDefault="000A227A" w:rsidP="007E321D">
            <w:pPr>
              <w:pStyle w:val="TableParagraph"/>
              <w:ind w:left="0"/>
              <w:rPr>
                <w:sz w:val="24"/>
                <w:szCs w:val="24"/>
              </w:rPr>
            </w:pPr>
          </w:p>
          <w:p w14:paraId="00327CE2" w14:textId="7EB10E46" w:rsidR="002C000C" w:rsidRPr="004F4CDD" w:rsidRDefault="002C000C" w:rsidP="00796DEB">
            <w:pPr>
              <w:pStyle w:val="TableParagraph"/>
              <w:ind w:left="0"/>
              <w:rPr>
                <w:color w:val="FF0000"/>
                <w:sz w:val="24"/>
                <w:szCs w:val="24"/>
              </w:rPr>
            </w:pPr>
            <w:r w:rsidRPr="004F4CDD">
              <w:rPr>
                <w:color w:val="FF0000"/>
                <w:sz w:val="24"/>
                <w:szCs w:val="24"/>
              </w:rPr>
              <w:t>Q：</w:t>
            </w:r>
            <w:r w:rsidR="003604FC" w:rsidRPr="003604FC">
              <w:rPr>
                <w:rFonts w:hint="eastAsia"/>
                <w:color w:val="FF0000"/>
                <w:sz w:val="24"/>
                <w:szCs w:val="24"/>
              </w:rPr>
              <w:t>公司收入增速缓慢，且利润水平存在大幅度下滑，具体原因是什么？</w:t>
            </w:r>
          </w:p>
          <w:p w14:paraId="3E2F159A" w14:textId="77777777" w:rsidR="003604FC" w:rsidRPr="003604FC" w:rsidRDefault="002C000C" w:rsidP="003604FC">
            <w:pPr>
              <w:rPr>
                <w:sz w:val="24"/>
                <w:szCs w:val="24"/>
              </w:rPr>
            </w:pPr>
            <w:r w:rsidRPr="004F4CDD">
              <w:rPr>
                <w:rFonts w:hint="eastAsia"/>
                <w:sz w:val="24"/>
                <w:szCs w:val="24"/>
              </w:rPr>
              <w:t>A：</w:t>
            </w:r>
            <w:r w:rsidR="003604FC" w:rsidRPr="003604FC">
              <w:rPr>
                <w:rFonts w:hint="eastAsia"/>
                <w:sz w:val="24"/>
                <w:szCs w:val="24"/>
              </w:rPr>
              <w:t>尊敬的投资者您好，</w:t>
            </w:r>
            <w:r w:rsidR="003604FC" w:rsidRPr="003604FC">
              <w:rPr>
                <w:sz w:val="24"/>
                <w:szCs w:val="24"/>
              </w:rPr>
              <w:t>2023年公司着力加大市场拓展力度，新增产品分类国产化平台通用产品实现业绩收入2,479.41万元，</w:t>
            </w:r>
            <w:r w:rsidR="003604FC" w:rsidRPr="003604FC">
              <w:rPr>
                <w:sz w:val="24"/>
                <w:szCs w:val="24"/>
              </w:rPr>
              <w:lastRenderedPageBreak/>
              <w:t>智能档案柜及控制类产品伴随业务拓展实现营业收入4,705.74万元，较上年同期增长27.81%，2023年公司整体营业收入较上年增长6.22%，2024年第一季度营业收入较上年同期增长17.33%，业务拓展初见成效。</w:t>
            </w:r>
          </w:p>
          <w:p w14:paraId="48312AD3" w14:textId="2F5C99A6" w:rsidR="00042598" w:rsidRPr="004F4CDD" w:rsidRDefault="003604FC" w:rsidP="003604FC">
            <w:pPr>
              <w:rPr>
                <w:sz w:val="24"/>
                <w:szCs w:val="24"/>
              </w:rPr>
            </w:pPr>
            <w:r w:rsidRPr="003604FC">
              <w:rPr>
                <w:rFonts w:hint="eastAsia"/>
                <w:sz w:val="24"/>
                <w:szCs w:val="24"/>
              </w:rPr>
              <w:t>与此同时，公司面向国产化替代、微网能源管理等新业务方向，以及电力信息安全新场景需求，持续加大业务拓展力度，加强底层及前瞻技术研发，扩充并优化公司人员架构，销售、研发、管理费用持续增长，同时报告期内公司基于对国产化平台通用产品及其他业务产能需求增量的合理预期，扩充产能，直接人工及制造费用较上年同期增长</w:t>
            </w:r>
            <w:r w:rsidRPr="003604FC">
              <w:rPr>
                <w:sz w:val="24"/>
                <w:szCs w:val="24"/>
              </w:rPr>
              <w:t>35.96%，对公司净利润产生较大影响。公司管理层相信伴随后续项目推进及市场拓展将为公司带来良好的业绩收入，弥补前期投入。</w:t>
            </w:r>
          </w:p>
          <w:p w14:paraId="298E6EC1" w14:textId="77777777" w:rsidR="00042598" w:rsidRPr="004F4CDD" w:rsidRDefault="00042598" w:rsidP="00042598">
            <w:pPr>
              <w:pStyle w:val="TableParagraph"/>
              <w:ind w:left="0" w:firstLineChars="200" w:firstLine="480"/>
              <w:rPr>
                <w:sz w:val="24"/>
                <w:szCs w:val="24"/>
              </w:rPr>
            </w:pPr>
          </w:p>
          <w:p w14:paraId="4A6563B7" w14:textId="36543226" w:rsidR="00AE6836" w:rsidRPr="004F4CDD" w:rsidRDefault="00AE6836" w:rsidP="00AE6836">
            <w:pPr>
              <w:pStyle w:val="TableParagraph"/>
              <w:ind w:left="0"/>
              <w:rPr>
                <w:sz w:val="24"/>
                <w:szCs w:val="24"/>
              </w:rPr>
            </w:pPr>
            <w:r w:rsidRPr="004F4CDD">
              <w:rPr>
                <w:rFonts w:hint="eastAsia"/>
                <w:color w:val="FF0000"/>
                <w:sz w:val="24"/>
                <w:szCs w:val="24"/>
              </w:rPr>
              <w:t>Q：</w:t>
            </w:r>
            <w:r w:rsidR="003604FC" w:rsidRPr="003604FC">
              <w:rPr>
                <w:rFonts w:hint="eastAsia"/>
                <w:color w:val="FF0000"/>
                <w:sz w:val="24"/>
                <w:szCs w:val="24"/>
              </w:rPr>
              <w:t>公司短期内能迎来业绩拐点吗？</w:t>
            </w:r>
          </w:p>
          <w:p w14:paraId="453438F3" w14:textId="4E13920E" w:rsidR="00BF1AC8" w:rsidRPr="00BF1AC8" w:rsidRDefault="00AE6836" w:rsidP="003604FC">
            <w:pPr>
              <w:rPr>
                <w:rFonts w:hint="eastAsia"/>
                <w:sz w:val="24"/>
                <w:szCs w:val="24"/>
              </w:rPr>
            </w:pPr>
            <w:r w:rsidRPr="004F4CDD">
              <w:rPr>
                <w:sz w:val="24"/>
                <w:szCs w:val="24"/>
              </w:rPr>
              <w:t>A：</w:t>
            </w:r>
            <w:r w:rsidR="003604FC" w:rsidRPr="003604FC">
              <w:rPr>
                <w:rFonts w:hint="eastAsia"/>
                <w:sz w:val="24"/>
                <w:szCs w:val="24"/>
              </w:rPr>
              <w:t>尊敬的投资者您好，像刚才姜总描述的，伴随公司市场拓展以及长期技术积累，公司已实现部分业务方向的突破，后续公司将在国产化替代、微网能源管理等方向加大投入力度，实现业绩开源。同时，公司也在着力改善内部经营环境及财务状况，</w:t>
            </w:r>
            <w:r w:rsidR="003604FC" w:rsidRPr="003604FC">
              <w:rPr>
                <w:sz w:val="24"/>
                <w:szCs w:val="24"/>
              </w:rPr>
              <w:t>2023年加强对产品需求及行业发展的研判，合理管控研发项目投入及研发团队配置，研发费用增速由2022年20.48%放缓为2023年6.09%；积极改善经营性现金流状况，加强客户及供应商管理，2023年公司经营活动现金流由上年度-11,660.38万元收窄至当期-3,943.97万元，2024年第</w:t>
            </w:r>
            <w:r w:rsidR="003604FC" w:rsidRPr="003604FC">
              <w:rPr>
                <w:rFonts w:hint="eastAsia"/>
                <w:sz w:val="24"/>
                <w:szCs w:val="24"/>
              </w:rPr>
              <w:t>一季度公司经营活动现金流由上年同期</w:t>
            </w:r>
            <w:r w:rsidR="003604FC" w:rsidRPr="003604FC">
              <w:rPr>
                <w:sz w:val="24"/>
                <w:szCs w:val="24"/>
              </w:rPr>
              <w:t>-3,245.24万元收窄至当期-37.66万元，为公司持续稳定发展创造良好的资金条件。</w:t>
            </w:r>
          </w:p>
          <w:p w14:paraId="21572F32" w14:textId="5493C556" w:rsidR="00BF1AC8" w:rsidRPr="00BF1AC8" w:rsidRDefault="00BF1AC8" w:rsidP="00BB100F">
            <w:pPr>
              <w:pStyle w:val="TableParagraph"/>
              <w:ind w:left="0"/>
              <w:rPr>
                <w:color w:val="000000" w:themeColor="text1"/>
                <w:sz w:val="24"/>
                <w:szCs w:val="24"/>
              </w:rPr>
            </w:pPr>
          </w:p>
        </w:tc>
      </w:tr>
      <w:tr w:rsidR="00E638C8" w14:paraId="14DC8D89" w14:textId="77777777">
        <w:trPr>
          <w:trHeight w:val="479"/>
        </w:trPr>
        <w:tc>
          <w:tcPr>
            <w:tcW w:w="1908" w:type="dxa"/>
          </w:tcPr>
          <w:p w14:paraId="0C9D5C9E" w14:textId="77777777" w:rsidR="00E638C8" w:rsidRDefault="007D0BF4">
            <w:pPr>
              <w:pStyle w:val="TableParagraph"/>
              <w:spacing w:before="170" w:line="289" w:lineRule="exact"/>
              <w:ind w:right="-29"/>
              <w:rPr>
                <w:sz w:val="24"/>
              </w:rPr>
            </w:pPr>
            <w:r>
              <w:rPr>
                <w:spacing w:val="-27"/>
                <w:sz w:val="24"/>
              </w:rPr>
              <w:lastRenderedPageBreak/>
              <w:t>附件清单</w:t>
            </w:r>
            <w:r>
              <w:rPr>
                <w:sz w:val="24"/>
              </w:rPr>
              <w:t>（如有</w:t>
            </w:r>
            <w:r>
              <w:rPr>
                <w:spacing w:val="-12"/>
                <w:sz w:val="24"/>
              </w:rPr>
              <w:t>）</w:t>
            </w:r>
          </w:p>
        </w:tc>
        <w:tc>
          <w:tcPr>
            <w:tcW w:w="6616" w:type="dxa"/>
          </w:tcPr>
          <w:p w14:paraId="0BF6C47C" w14:textId="77777777" w:rsidR="00E638C8" w:rsidRDefault="00E638C8">
            <w:pPr>
              <w:pStyle w:val="TableParagraph"/>
              <w:ind w:left="0"/>
              <w:rPr>
                <w:rFonts w:ascii="Times New Roman"/>
                <w:sz w:val="24"/>
              </w:rPr>
            </w:pPr>
          </w:p>
        </w:tc>
      </w:tr>
      <w:tr w:rsidR="00E638C8" w14:paraId="56E1783F" w14:textId="77777777">
        <w:trPr>
          <w:trHeight w:val="479"/>
        </w:trPr>
        <w:tc>
          <w:tcPr>
            <w:tcW w:w="1908" w:type="dxa"/>
          </w:tcPr>
          <w:p w14:paraId="6C2E74FE" w14:textId="77777777" w:rsidR="00E638C8" w:rsidRDefault="007D0BF4">
            <w:pPr>
              <w:pStyle w:val="TableParagraph"/>
              <w:spacing w:before="170" w:line="289" w:lineRule="exact"/>
              <w:rPr>
                <w:sz w:val="24"/>
              </w:rPr>
            </w:pPr>
            <w:r>
              <w:rPr>
                <w:sz w:val="24"/>
              </w:rPr>
              <w:t>日期</w:t>
            </w:r>
          </w:p>
        </w:tc>
        <w:tc>
          <w:tcPr>
            <w:tcW w:w="6616" w:type="dxa"/>
          </w:tcPr>
          <w:p w14:paraId="4D4B2544" w14:textId="34BF64C0" w:rsidR="00E638C8" w:rsidRDefault="002A6EBC" w:rsidP="003604FC">
            <w:pPr>
              <w:pStyle w:val="TableParagraph"/>
              <w:ind w:left="0"/>
              <w:rPr>
                <w:rFonts w:ascii="Times New Roman"/>
                <w:sz w:val="24"/>
              </w:rPr>
            </w:pPr>
            <w:r>
              <w:rPr>
                <w:rFonts w:ascii="Times New Roman" w:hint="eastAsia"/>
                <w:sz w:val="24"/>
              </w:rPr>
              <w:t>2</w:t>
            </w:r>
            <w:r>
              <w:rPr>
                <w:rFonts w:ascii="Times New Roman"/>
                <w:sz w:val="24"/>
              </w:rPr>
              <w:t>02</w:t>
            </w:r>
            <w:r w:rsidR="001A0C04">
              <w:rPr>
                <w:rFonts w:ascii="Times New Roman" w:hint="eastAsia"/>
                <w:sz w:val="24"/>
              </w:rPr>
              <w:t>4</w:t>
            </w:r>
            <w:r>
              <w:rPr>
                <w:rFonts w:ascii="Times New Roman" w:hint="eastAsia"/>
                <w:sz w:val="24"/>
              </w:rPr>
              <w:t>年</w:t>
            </w:r>
            <w:r w:rsidR="003604FC">
              <w:rPr>
                <w:rFonts w:ascii="Times New Roman"/>
                <w:sz w:val="24"/>
              </w:rPr>
              <w:t>5</w:t>
            </w:r>
            <w:r>
              <w:rPr>
                <w:rFonts w:ascii="Times New Roman" w:hint="eastAsia"/>
                <w:sz w:val="24"/>
              </w:rPr>
              <w:t>月</w:t>
            </w:r>
            <w:r w:rsidR="003604FC">
              <w:rPr>
                <w:rFonts w:ascii="Times New Roman"/>
                <w:sz w:val="24"/>
              </w:rPr>
              <w:t>14</w:t>
            </w:r>
            <w:r>
              <w:rPr>
                <w:rFonts w:ascii="Times New Roman" w:hint="eastAsia"/>
                <w:sz w:val="24"/>
              </w:rPr>
              <w:t>日</w:t>
            </w:r>
          </w:p>
        </w:tc>
      </w:tr>
    </w:tbl>
    <w:p w14:paraId="2E3B63AE" w14:textId="764141E8" w:rsidR="00E638C8" w:rsidRDefault="00E638C8" w:rsidP="002D3077">
      <w:pPr>
        <w:pStyle w:val="a3"/>
        <w:tabs>
          <w:tab w:val="left" w:pos="6641"/>
        </w:tabs>
        <w:spacing w:before="209" w:line="400" w:lineRule="auto"/>
        <w:ind w:left="0" w:right="1163"/>
      </w:pPr>
    </w:p>
    <w:sectPr w:rsidR="00E638C8">
      <w:pgSz w:w="11910" w:h="16840"/>
      <w:pgMar w:top="1580" w:right="1560" w:bottom="280" w:left="158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3D8DD9" w14:textId="77777777" w:rsidR="006F6EC0" w:rsidRDefault="006F6EC0" w:rsidP="002E22FC">
      <w:r>
        <w:separator/>
      </w:r>
    </w:p>
  </w:endnote>
  <w:endnote w:type="continuationSeparator" w:id="0">
    <w:p w14:paraId="73C3E40A" w14:textId="77777777" w:rsidR="006F6EC0" w:rsidRDefault="006F6EC0" w:rsidP="002E2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69413F" w14:textId="77777777" w:rsidR="006F6EC0" w:rsidRDefault="006F6EC0" w:rsidP="002E22FC">
      <w:r>
        <w:separator/>
      </w:r>
    </w:p>
  </w:footnote>
  <w:footnote w:type="continuationSeparator" w:id="0">
    <w:p w14:paraId="1F18C7B3" w14:textId="77777777" w:rsidR="006F6EC0" w:rsidRDefault="006F6EC0" w:rsidP="002E22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8C8"/>
    <w:rsid w:val="000171DA"/>
    <w:rsid w:val="00017433"/>
    <w:rsid w:val="00031EEF"/>
    <w:rsid w:val="00042598"/>
    <w:rsid w:val="00055A00"/>
    <w:rsid w:val="00076202"/>
    <w:rsid w:val="0007773E"/>
    <w:rsid w:val="000A1D14"/>
    <w:rsid w:val="000A227A"/>
    <w:rsid w:val="000A5C34"/>
    <w:rsid w:val="000C052E"/>
    <w:rsid w:val="00107841"/>
    <w:rsid w:val="001163B9"/>
    <w:rsid w:val="00147A29"/>
    <w:rsid w:val="0016066B"/>
    <w:rsid w:val="0017196A"/>
    <w:rsid w:val="001A0C04"/>
    <w:rsid w:val="001C5921"/>
    <w:rsid w:val="002005D3"/>
    <w:rsid w:val="00246048"/>
    <w:rsid w:val="0025604B"/>
    <w:rsid w:val="00261B67"/>
    <w:rsid w:val="00272810"/>
    <w:rsid w:val="00292B0C"/>
    <w:rsid w:val="002A14DD"/>
    <w:rsid w:val="002A6EBC"/>
    <w:rsid w:val="002C000C"/>
    <w:rsid w:val="002D3077"/>
    <w:rsid w:val="002E22FC"/>
    <w:rsid w:val="002F31CB"/>
    <w:rsid w:val="003604FC"/>
    <w:rsid w:val="00380582"/>
    <w:rsid w:val="00382FB7"/>
    <w:rsid w:val="00397EA4"/>
    <w:rsid w:val="003A4D32"/>
    <w:rsid w:val="003A7B2A"/>
    <w:rsid w:val="003B213A"/>
    <w:rsid w:val="003C0376"/>
    <w:rsid w:val="003C2445"/>
    <w:rsid w:val="003D2B29"/>
    <w:rsid w:val="003E25AE"/>
    <w:rsid w:val="003F1F53"/>
    <w:rsid w:val="00431A65"/>
    <w:rsid w:val="00477551"/>
    <w:rsid w:val="004B0352"/>
    <w:rsid w:val="004B117F"/>
    <w:rsid w:val="004C240E"/>
    <w:rsid w:val="004F005B"/>
    <w:rsid w:val="004F4CDD"/>
    <w:rsid w:val="004F71DE"/>
    <w:rsid w:val="00513492"/>
    <w:rsid w:val="005317F7"/>
    <w:rsid w:val="00544CED"/>
    <w:rsid w:val="00553C39"/>
    <w:rsid w:val="00585D99"/>
    <w:rsid w:val="005B20DF"/>
    <w:rsid w:val="005F739E"/>
    <w:rsid w:val="00605AC3"/>
    <w:rsid w:val="00617EE8"/>
    <w:rsid w:val="00624CDF"/>
    <w:rsid w:val="006431C2"/>
    <w:rsid w:val="00685164"/>
    <w:rsid w:val="00687C8C"/>
    <w:rsid w:val="00692500"/>
    <w:rsid w:val="00695163"/>
    <w:rsid w:val="006A3AD6"/>
    <w:rsid w:val="006A65C1"/>
    <w:rsid w:val="006F6EC0"/>
    <w:rsid w:val="00705E9C"/>
    <w:rsid w:val="0072689B"/>
    <w:rsid w:val="00730AF7"/>
    <w:rsid w:val="00792FBA"/>
    <w:rsid w:val="00796DEB"/>
    <w:rsid w:val="007C30F8"/>
    <w:rsid w:val="007D0BF4"/>
    <w:rsid w:val="007E321D"/>
    <w:rsid w:val="0080388D"/>
    <w:rsid w:val="008939D0"/>
    <w:rsid w:val="00893CA6"/>
    <w:rsid w:val="00894F59"/>
    <w:rsid w:val="008A0110"/>
    <w:rsid w:val="008B33A1"/>
    <w:rsid w:val="008C4096"/>
    <w:rsid w:val="008F4ED5"/>
    <w:rsid w:val="009B1233"/>
    <w:rsid w:val="009B7F05"/>
    <w:rsid w:val="009D61C1"/>
    <w:rsid w:val="009E57D9"/>
    <w:rsid w:val="00A13EE3"/>
    <w:rsid w:val="00A2565F"/>
    <w:rsid w:val="00A40518"/>
    <w:rsid w:val="00A441E8"/>
    <w:rsid w:val="00A91954"/>
    <w:rsid w:val="00AA2E03"/>
    <w:rsid w:val="00AB43FC"/>
    <w:rsid w:val="00AD05CB"/>
    <w:rsid w:val="00AE6836"/>
    <w:rsid w:val="00B2686D"/>
    <w:rsid w:val="00B3753D"/>
    <w:rsid w:val="00B4680D"/>
    <w:rsid w:val="00B66F42"/>
    <w:rsid w:val="00B775CC"/>
    <w:rsid w:val="00B96097"/>
    <w:rsid w:val="00BA6BBC"/>
    <w:rsid w:val="00BB100F"/>
    <w:rsid w:val="00BE6999"/>
    <w:rsid w:val="00BF1AC8"/>
    <w:rsid w:val="00C06901"/>
    <w:rsid w:val="00C406BF"/>
    <w:rsid w:val="00C516CA"/>
    <w:rsid w:val="00C54166"/>
    <w:rsid w:val="00C54DCE"/>
    <w:rsid w:val="00C667F4"/>
    <w:rsid w:val="00C670A8"/>
    <w:rsid w:val="00CA5945"/>
    <w:rsid w:val="00CA5FD2"/>
    <w:rsid w:val="00CF021E"/>
    <w:rsid w:val="00D05CDB"/>
    <w:rsid w:val="00D77ADC"/>
    <w:rsid w:val="00E24BF8"/>
    <w:rsid w:val="00E26DB2"/>
    <w:rsid w:val="00E638C8"/>
    <w:rsid w:val="00E7577B"/>
    <w:rsid w:val="00E76612"/>
    <w:rsid w:val="00E967E1"/>
    <w:rsid w:val="00ED590E"/>
    <w:rsid w:val="00F17948"/>
    <w:rsid w:val="00F275BC"/>
    <w:rsid w:val="00FB40BF"/>
    <w:rsid w:val="00FE21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0EBABB"/>
  <w15:docId w15:val="{557D698D-35BE-4079-92A8-7685D6303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BF1AC8"/>
    <w:rPr>
      <w:rFonts w:ascii="宋体" w:eastAsia="宋体" w:hAnsi="宋体" w:cs="宋体"/>
      <w:lang w:eastAsia="zh-CN"/>
    </w:rPr>
  </w:style>
  <w:style w:type="paragraph" w:styleId="1">
    <w:name w:val="heading 1"/>
    <w:basedOn w:val="a"/>
    <w:uiPriority w:val="1"/>
    <w:qFormat/>
    <w:pPr>
      <w:ind w:left="220"/>
      <w:outlineLvl w:val="0"/>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20"/>
    </w:pPr>
    <w:rPr>
      <w:sz w:val="24"/>
      <w:szCs w:val="24"/>
    </w:rPr>
  </w:style>
  <w:style w:type="paragraph" w:styleId="a4">
    <w:name w:val="List Paragraph"/>
    <w:basedOn w:val="a"/>
    <w:uiPriority w:val="1"/>
    <w:qFormat/>
  </w:style>
  <w:style w:type="paragraph" w:customStyle="1" w:styleId="TableParagraph">
    <w:name w:val="Table Paragraph"/>
    <w:basedOn w:val="a"/>
    <w:uiPriority w:val="1"/>
    <w:qFormat/>
    <w:pPr>
      <w:ind w:left="107"/>
    </w:pPr>
  </w:style>
  <w:style w:type="paragraph" w:styleId="a5">
    <w:name w:val="header"/>
    <w:basedOn w:val="a"/>
    <w:link w:val="a6"/>
    <w:uiPriority w:val="99"/>
    <w:unhideWhenUsed/>
    <w:rsid w:val="002E22FC"/>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2E22FC"/>
    <w:rPr>
      <w:rFonts w:ascii="宋体" w:eastAsia="宋体" w:hAnsi="宋体" w:cs="宋体"/>
      <w:sz w:val="18"/>
      <w:szCs w:val="18"/>
      <w:lang w:eastAsia="zh-CN"/>
    </w:rPr>
  </w:style>
  <w:style w:type="paragraph" w:styleId="a7">
    <w:name w:val="footer"/>
    <w:basedOn w:val="a"/>
    <w:link w:val="a8"/>
    <w:uiPriority w:val="99"/>
    <w:unhideWhenUsed/>
    <w:rsid w:val="002E22FC"/>
    <w:pPr>
      <w:tabs>
        <w:tab w:val="center" w:pos="4153"/>
        <w:tab w:val="right" w:pos="8306"/>
      </w:tabs>
      <w:snapToGrid w:val="0"/>
    </w:pPr>
    <w:rPr>
      <w:sz w:val="18"/>
      <w:szCs w:val="18"/>
    </w:rPr>
  </w:style>
  <w:style w:type="character" w:customStyle="1" w:styleId="a8">
    <w:name w:val="页脚 字符"/>
    <w:basedOn w:val="a0"/>
    <w:link w:val="a7"/>
    <w:uiPriority w:val="99"/>
    <w:rsid w:val="002E22FC"/>
    <w:rPr>
      <w:rFonts w:ascii="宋体" w:eastAsia="宋体" w:hAnsi="宋体" w:cs="宋体"/>
      <w:sz w:val="18"/>
      <w:szCs w:val="18"/>
      <w:lang w:eastAsia="zh-CN"/>
    </w:rPr>
  </w:style>
  <w:style w:type="paragraph" w:styleId="HTML">
    <w:name w:val="HTML Preformatted"/>
    <w:basedOn w:val="a"/>
    <w:link w:val="HTML0"/>
    <w:uiPriority w:val="99"/>
    <w:unhideWhenUsed/>
    <w:rsid w:val="004B11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sz w:val="24"/>
      <w:szCs w:val="24"/>
    </w:rPr>
  </w:style>
  <w:style w:type="character" w:customStyle="1" w:styleId="HTML0">
    <w:name w:val="HTML 预设格式 字符"/>
    <w:basedOn w:val="a0"/>
    <w:link w:val="HTML"/>
    <w:uiPriority w:val="99"/>
    <w:rsid w:val="004B117F"/>
    <w:rPr>
      <w:rFonts w:ascii="宋体" w:eastAsia="宋体" w:hAnsi="宋体" w:cs="宋体"/>
      <w:sz w:val="24"/>
      <w:szCs w:val="24"/>
      <w:lang w:eastAsia="zh-CN"/>
    </w:rPr>
  </w:style>
  <w:style w:type="paragraph" w:styleId="a9">
    <w:name w:val="Normal (Web)"/>
    <w:basedOn w:val="a"/>
    <w:uiPriority w:val="99"/>
    <w:unhideWhenUsed/>
    <w:rsid w:val="00042598"/>
    <w:pPr>
      <w:widowControl/>
      <w:autoSpaceDE/>
      <w:autoSpaceDN/>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290470">
      <w:bodyDiv w:val="1"/>
      <w:marLeft w:val="0"/>
      <w:marRight w:val="0"/>
      <w:marTop w:val="0"/>
      <w:marBottom w:val="0"/>
      <w:divBdr>
        <w:top w:val="none" w:sz="0" w:space="0" w:color="auto"/>
        <w:left w:val="none" w:sz="0" w:space="0" w:color="auto"/>
        <w:bottom w:val="none" w:sz="0" w:space="0" w:color="auto"/>
        <w:right w:val="none" w:sz="0" w:space="0" w:color="auto"/>
      </w:divBdr>
    </w:div>
    <w:div w:id="285352864">
      <w:bodyDiv w:val="1"/>
      <w:marLeft w:val="0"/>
      <w:marRight w:val="0"/>
      <w:marTop w:val="0"/>
      <w:marBottom w:val="0"/>
      <w:divBdr>
        <w:top w:val="none" w:sz="0" w:space="0" w:color="auto"/>
        <w:left w:val="none" w:sz="0" w:space="0" w:color="auto"/>
        <w:bottom w:val="none" w:sz="0" w:space="0" w:color="auto"/>
        <w:right w:val="none" w:sz="0" w:space="0" w:color="auto"/>
      </w:divBdr>
    </w:div>
    <w:div w:id="372273775">
      <w:bodyDiv w:val="1"/>
      <w:marLeft w:val="0"/>
      <w:marRight w:val="0"/>
      <w:marTop w:val="0"/>
      <w:marBottom w:val="0"/>
      <w:divBdr>
        <w:top w:val="none" w:sz="0" w:space="0" w:color="auto"/>
        <w:left w:val="none" w:sz="0" w:space="0" w:color="auto"/>
        <w:bottom w:val="none" w:sz="0" w:space="0" w:color="auto"/>
        <w:right w:val="none" w:sz="0" w:space="0" w:color="auto"/>
      </w:divBdr>
    </w:div>
    <w:div w:id="415513378">
      <w:bodyDiv w:val="1"/>
      <w:marLeft w:val="0"/>
      <w:marRight w:val="0"/>
      <w:marTop w:val="0"/>
      <w:marBottom w:val="0"/>
      <w:divBdr>
        <w:top w:val="none" w:sz="0" w:space="0" w:color="auto"/>
        <w:left w:val="none" w:sz="0" w:space="0" w:color="auto"/>
        <w:bottom w:val="none" w:sz="0" w:space="0" w:color="auto"/>
        <w:right w:val="none" w:sz="0" w:space="0" w:color="auto"/>
      </w:divBdr>
    </w:div>
    <w:div w:id="519247925">
      <w:bodyDiv w:val="1"/>
      <w:marLeft w:val="0"/>
      <w:marRight w:val="0"/>
      <w:marTop w:val="0"/>
      <w:marBottom w:val="0"/>
      <w:divBdr>
        <w:top w:val="none" w:sz="0" w:space="0" w:color="auto"/>
        <w:left w:val="none" w:sz="0" w:space="0" w:color="auto"/>
        <w:bottom w:val="none" w:sz="0" w:space="0" w:color="auto"/>
        <w:right w:val="none" w:sz="0" w:space="0" w:color="auto"/>
      </w:divBdr>
    </w:div>
    <w:div w:id="544752290">
      <w:bodyDiv w:val="1"/>
      <w:marLeft w:val="0"/>
      <w:marRight w:val="0"/>
      <w:marTop w:val="0"/>
      <w:marBottom w:val="0"/>
      <w:divBdr>
        <w:top w:val="none" w:sz="0" w:space="0" w:color="auto"/>
        <w:left w:val="none" w:sz="0" w:space="0" w:color="auto"/>
        <w:bottom w:val="none" w:sz="0" w:space="0" w:color="auto"/>
        <w:right w:val="none" w:sz="0" w:space="0" w:color="auto"/>
      </w:divBdr>
    </w:div>
    <w:div w:id="839393709">
      <w:bodyDiv w:val="1"/>
      <w:marLeft w:val="0"/>
      <w:marRight w:val="0"/>
      <w:marTop w:val="0"/>
      <w:marBottom w:val="0"/>
      <w:divBdr>
        <w:top w:val="none" w:sz="0" w:space="0" w:color="auto"/>
        <w:left w:val="none" w:sz="0" w:space="0" w:color="auto"/>
        <w:bottom w:val="none" w:sz="0" w:space="0" w:color="auto"/>
        <w:right w:val="none" w:sz="0" w:space="0" w:color="auto"/>
      </w:divBdr>
    </w:div>
    <w:div w:id="847519958">
      <w:bodyDiv w:val="1"/>
      <w:marLeft w:val="0"/>
      <w:marRight w:val="0"/>
      <w:marTop w:val="0"/>
      <w:marBottom w:val="0"/>
      <w:divBdr>
        <w:top w:val="none" w:sz="0" w:space="0" w:color="auto"/>
        <w:left w:val="none" w:sz="0" w:space="0" w:color="auto"/>
        <w:bottom w:val="none" w:sz="0" w:space="0" w:color="auto"/>
        <w:right w:val="none" w:sz="0" w:space="0" w:color="auto"/>
      </w:divBdr>
    </w:div>
    <w:div w:id="1199396266">
      <w:bodyDiv w:val="1"/>
      <w:marLeft w:val="0"/>
      <w:marRight w:val="0"/>
      <w:marTop w:val="0"/>
      <w:marBottom w:val="0"/>
      <w:divBdr>
        <w:top w:val="none" w:sz="0" w:space="0" w:color="auto"/>
        <w:left w:val="none" w:sz="0" w:space="0" w:color="auto"/>
        <w:bottom w:val="none" w:sz="0" w:space="0" w:color="auto"/>
        <w:right w:val="none" w:sz="0" w:space="0" w:color="auto"/>
      </w:divBdr>
    </w:div>
    <w:div w:id="1243488021">
      <w:bodyDiv w:val="1"/>
      <w:marLeft w:val="0"/>
      <w:marRight w:val="0"/>
      <w:marTop w:val="0"/>
      <w:marBottom w:val="0"/>
      <w:divBdr>
        <w:top w:val="none" w:sz="0" w:space="0" w:color="auto"/>
        <w:left w:val="none" w:sz="0" w:space="0" w:color="auto"/>
        <w:bottom w:val="none" w:sz="0" w:space="0" w:color="auto"/>
        <w:right w:val="none" w:sz="0" w:space="0" w:color="auto"/>
      </w:divBdr>
    </w:div>
    <w:div w:id="1362439162">
      <w:bodyDiv w:val="1"/>
      <w:marLeft w:val="0"/>
      <w:marRight w:val="0"/>
      <w:marTop w:val="0"/>
      <w:marBottom w:val="0"/>
      <w:divBdr>
        <w:top w:val="none" w:sz="0" w:space="0" w:color="auto"/>
        <w:left w:val="none" w:sz="0" w:space="0" w:color="auto"/>
        <w:bottom w:val="none" w:sz="0" w:space="0" w:color="auto"/>
        <w:right w:val="none" w:sz="0" w:space="0" w:color="auto"/>
      </w:divBdr>
    </w:div>
    <w:div w:id="1665205054">
      <w:bodyDiv w:val="1"/>
      <w:marLeft w:val="0"/>
      <w:marRight w:val="0"/>
      <w:marTop w:val="0"/>
      <w:marBottom w:val="0"/>
      <w:divBdr>
        <w:top w:val="none" w:sz="0" w:space="0" w:color="auto"/>
        <w:left w:val="none" w:sz="0" w:space="0" w:color="auto"/>
        <w:bottom w:val="none" w:sz="0" w:space="0" w:color="auto"/>
        <w:right w:val="none" w:sz="0" w:space="0" w:color="auto"/>
      </w:divBdr>
    </w:div>
    <w:div w:id="1935244227">
      <w:bodyDiv w:val="1"/>
      <w:marLeft w:val="0"/>
      <w:marRight w:val="0"/>
      <w:marTop w:val="0"/>
      <w:marBottom w:val="0"/>
      <w:divBdr>
        <w:top w:val="none" w:sz="0" w:space="0" w:color="auto"/>
        <w:left w:val="none" w:sz="0" w:space="0" w:color="auto"/>
        <w:bottom w:val="none" w:sz="0" w:space="0" w:color="auto"/>
        <w:right w:val="none" w:sz="0" w:space="0" w:color="auto"/>
      </w:divBdr>
    </w:div>
    <w:div w:id="20276331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421</TotalTime>
  <Pages>2</Pages>
  <Words>229</Words>
  <Characters>1306</Characters>
  <Application>Microsoft Office Word</Application>
  <DocSecurity>0</DocSecurity>
  <Lines>10</Lines>
  <Paragraphs>3</Paragraphs>
  <ScaleCrop>false</ScaleCrop>
  <Company/>
  <LinksUpToDate>false</LinksUpToDate>
  <CharactersWithSpaces>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袁</cp:lastModifiedBy>
  <cp:revision>46</cp:revision>
  <dcterms:created xsi:type="dcterms:W3CDTF">2024-04-28T03:11:00Z</dcterms:created>
  <dcterms:modified xsi:type="dcterms:W3CDTF">2024-05-14T09:11:00Z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2020-12-31T00:00:00Z</vt:filetime>
  </property>
  <property fmtid="{D5CDD505-2E9C-101B-9397-08002B2CF9AE}" pid="3" name="Creator">
    <vt:lpwstr>Microsoft® Office Word 2007</vt:lpwstr>
  </property>
  <property fmtid="{D5CDD505-2E9C-101B-9397-08002B2CF9AE}" pid="4" name="LastSaved">
    <vt:filetime>2020-12-31T00:00:00Z</vt:filetime>
  </property>
</Properties>
</file>