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0B" w:rsidRPr="007C3A87" w:rsidRDefault="00DC1F0B" w:rsidP="00DC1F0B">
      <w:pPr>
        <w:spacing w:beforeLines="50" w:before="120" w:afterLines="50" w:after="120" w:line="300" w:lineRule="auto"/>
        <w:ind w:firstLineChars="150" w:firstLine="360"/>
        <w:rPr>
          <w:rFonts w:ascii="Times New Roman" w:hAnsi="Times New Roman"/>
          <w:bCs/>
          <w:iCs/>
          <w:sz w:val="24"/>
        </w:rPr>
      </w:pPr>
      <w:r w:rsidRPr="007C3A87">
        <w:rPr>
          <w:rFonts w:ascii="Times New Roman" w:hAnsi="Times New Roman" w:hint="eastAsia"/>
          <w:bCs/>
          <w:iCs/>
          <w:sz w:val="24"/>
        </w:rPr>
        <w:t>证券代码：</w:t>
      </w:r>
      <w:r w:rsidR="00401CEB" w:rsidRPr="007C3A87">
        <w:rPr>
          <w:rFonts w:ascii="Times New Roman" w:hAnsi="Times New Roman" w:hint="eastAsia"/>
          <w:bCs/>
          <w:iCs/>
          <w:sz w:val="24"/>
        </w:rPr>
        <w:t>688350</w:t>
      </w:r>
      <w:r w:rsidRPr="007C3A87">
        <w:rPr>
          <w:rFonts w:ascii="Times New Roman" w:hAnsi="Times New Roman"/>
          <w:bCs/>
          <w:iCs/>
          <w:sz w:val="24"/>
        </w:rPr>
        <w:t xml:space="preserve">                        </w:t>
      </w:r>
      <w:r w:rsidRPr="007C3A87">
        <w:rPr>
          <w:rFonts w:ascii="Times New Roman" w:hAnsi="Times New Roman" w:hint="eastAsia"/>
          <w:bCs/>
          <w:iCs/>
          <w:sz w:val="24"/>
        </w:rPr>
        <w:t>证券简称：</w:t>
      </w:r>
      <w:r w:rsidR="00401CEB" w:rsidRPr="007C3A87">
        <w:rPr>
          <w:rFonts w:ascii="Times New Roman" w:hAnsi="Times New Roman" w:hint="eastAsia"/>
          <w:bCs/>
          <w:iCs/>
          <w:sz w:val="24"/>
        </w:rPr>
        <w:t>富淼科技</w:t>
      </w:r>
    </w:p>
    <w:p w:rsidR="00DC1F0B" w:rsidRPr="007C3A87" w:rsidRDefault="00DC1F0B" w:rsidP="00DC1F0B">
      <w:pPr>
        <w:spacing w:before="50" w:after="50" w:line="300" w:lineRule="auto"/>
        <w:ind w:firstLineChars="200" w:firstLine="480"/>
        <w:rPr>
          <w:rFonts w:ascii="Times New Roman" w:hAnsi="Times New Roman"/>
          <w:sz w:val="24"/>
          <w:szCs w:val="24"/>
        </w:rPr>
      </w:pPr>
    </w:p>
    <w:p w:rsidR="00DC1F0B" w:rsidRPr="007C3A87" w:rsidRDefault="00DC1F0B" w:rsidP="00DC1F0B">
      <w:pPr>
        <w:widowControl/>
        <w:spacing w:before="50" w:after="50" w:line="300" w:lineRule="auto"/>
        <w:jc w:val="center"/>
        <w:rPr>
          <w:rFonts w:ascii="Times New Roman" w:eastAsia="黑体" w:hAnsi="Times New Roman"/>
          <w:sz w:val="30"/>
          <w:szCs w:val="30"/>
        </w:rPr>
      </w:pPr>
      <w:r w:rsidRPr="007C3A87">
        <w:rPr>
          <w:rFonts w:ascii="Times New Roman" w:eastAsia="黑体" w:hAnsi="Times New Roman" w:hint="eastAsia"/>
          <w:sz w:val="30"/>
          <w:szCs w:val="30"/>
        </w:rPr>
        <w:t>江苏富淼科技股份有限公司</w:t>
      </w:r>
    </w:p>
    <w:p w:rsidR="00DC1F0B" w:rsidRPr="007C3A87" w:rsidRDefault="00DC1F0B" w:rsidP="00DC1F0B">
      <w:pPr>
        <w:widowControl/>
        <w:spacing w:before="50" w:after="50" w:line="300" w:lineRule="auto"/>
        <w:jc w:val="center"/>
        <w:rPr>
          <w:rFonts w:ascii="Times New Roman" w:eastAsia="黑体" w:hAnsi="Times New Roman"/>
          <w:sz w:val="30"/>
          <w:szCs w:val="30"/>
        </w:rPr>
      </w:pPr>
      <w:r w:rsidRPr="007C3A87">
        <w:rPr>
          <w:rFonts w:ascii="Times New Roman" w:eastAsia="黑体" w:hAnsi="Times New Roman" w:hint="eastAsia"/>
          <w:sz w:val="30"/>
          <w:szCs w:val="30"/>
        </w:rPr>
        <w:t>投资者关系活动记录表</w:t>
      </w:r>
    </w:p>
    <w:p w:rsidR="00DC1F0B" w:rsidRPr="007C3A87" w:rsidRDefault="00DC1F0B" w:rsidP="00DC1F0B">
      <w:pPr>
        <w:spacing w:before="50" w:after="50" w:line="300" w:lineRule="auto"/>
        <w:rPr>
          <w:rFonts w:ascii="Times New Roman" w:hAnsi="Times New Roman"/>
          <w:bCs/>
          <w:iCs/>
          <w:sz w:val="24"/>
        </w:rPr>
      </w:pPr>
      <w:r w:rsidRPr="007C3A87">
        <w:rPr>
          <w:rFonts w:ascii="Times New Roman" w:hAnsi="Times New Roman"/>
          <w:bCs/>
          <w:iCs/>
          <w:sz w:val="24"/>
        </w:rPr>
        <w:t xml:space="preserve">                                                   </w:t>
      </w:r>
      <w:r w:rsidRPr="007C3A87">
        <w:rPr>
          <w:rFonts w:ascii="Times New Roman" w:hAnsi="Times New Roman" w:hint="eastAsia"/>
          <w:bCs/>
          <w:iCs/>
          <w:sz w:val="24"/>
        </w:rPr>
        <w:t>编号：</w:t>
      </w:r>
      <w:r w:rsidR="00401CEB" w:rsidRPr="007C3A87">
        <w:rPr>
          <w:rFonts w:ascii="Times New Roman" w:hAnsi="Times New Roman" w:hint="eastAsia"/>
          <w:bCs/>
          <w:iCs/>
          <w:sz w:val="24"/>
        </w:rPr>
        <w:t>202</w:t>
      </w:r>
      <w:r w:rsidR="00243E72">
        <w:rPr>
          <w:rFonts w:ascii="Times New Roman" w:hAnsi="Times New Roman" w:hint="eastAsia"/>
          <w:bCs/>
          <w:iCs/>
          <w:sz w:val="24"/>
        </w:rPr>
        <w:t>4</w:t>
      </w:r>
      <w:r w:rsidR="00401CEB" w:rsidRPr="007C3A87">
        <w:rPr>
          <w:rFonts w:ascii="Times New Roman" w:hAnsi="Times New Roman" w:hint="eastAsia"/>
          <w:bCs/>
          <w:iCs/>
          <w:sz w:val="24"/>
        </w:rPr>
        <w:t>-</w:t>
      </w:r>
      <w:r w:rsidR="000E1E65">
        <w:rPr>
          <w:rFonts w:ascii="Times New Roman" w:hAnsi="Times New Roman"/>
          <w:bCs/>
          <w:iCs/>
          <w:sz w:val="24"/>
        </w:rPr>
        <w:t>00</w:t>
      </w:r>
      <w:r w:rsidR="00286F2C">
        <w:rPr>
          <w:rFonts w:ascii="Times New Roman" w:hAnsi="Times New Roman" w:hint="eastAsia"/>
          <w:bCs/>
          <w:iCs/>
          <w:sz w:val="24"/>
        </w:rPr>
        <w:t>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378"/>
      </w:tblGrid>
      <w:tr w:rsidR="00DC1F0B" w:rsidRPr="007C3A87" w:rsidTr="002033C0">
        <w:trPr>
          <w:trHeight w:val="2533"/>
        </w:trPr>
        <w:tc>
          <w:tcPr>
            <w:tcW w:w="2235" w:type="dxa"/>
          </w:tcPr>
          <w:p w:rsidR="00DC1F0B" w:rsidRPr="007C3A87" w:rsidRDefault="00DC1F0B" w:rsidP="00923F20">
            <w:pPr>
              <w:spacing w:before="50" w:after="50" w:line="300" w:lineRule="auto"/>
              <w:rPr>
                <w:rFonts w:ascii="Times New Roman" w:hAnsi="Times New Roman"/>
                <w:b/>
                <w:bCs/>
                <w:iCs/>
                <w:kern w:val="0"/>
                <w:sz w:val="24"/>
              </w:rPr>
            </w:pPr>
          </w:p>
          <w:p w:rsidR="00DC1F0B" w:rsidRPr="007C3A87" w:rsidRDefault="00DC1F0B" w:rsidP="00923F20">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投资者关系活动类别</w:t>
            </w:r>
          </w:p>
          <w:p w:rsidR="00DC1F0B" w:rsidRPr="007C3A87" w:rsidRDefault="00DC1F0B" w:rsidP="00923F20">
            <w:pPr>
              <w:spacing w:before="50" w:after="50" w:line="300" w:lineRule="auto"/>
              <w:rPr>
                <w:rFonts w:ascii="Times New Roman" w:hAnsi="Times New Roman"/>
                <w:b/>
                <w:bCs/>
                <w:iCs/>
                <w:kern w:val="0"/>
                <w:sz w:val="24"/>
              </w:rPr>
            </w:pPr>
          </w:p>
        </w:tc>
        <w:tc>
          <w:tcPr>
            <w:tcW w:w="6378" w:type="dxa"/>
            <w:vAlign w:val="center"/>
          </w:tcPr>
          <w:p w:rsidR="00DC1F0B" w:rsidRPr="007C3A87" w:rsidRDefault="00CE76E0" w:rsidP="002033C0">
            <w:pPr>
              <w:spacing w:before="50" w:after="50" w:line="300" w:lineRule="auto"/>
              <w:ind w:firstLineChars="50" w:firstLine="110"/>
              <w:rPr>
                <w:rFonts w:ascii="Times New Roman" w:hAnsi="Times New Roman"/>
                <w:bCs/>
                <w:iCs/>
                <w:kern w:val="0"/>
                <w:sz w:val="22"/>
              </w:rPr>
            </w:pPr>
            <w:r w:rsidRPr="007C3A87">
              <w:rPr>
                <w:rFonts w:ascii="Times New Roman" w:hAnsi="Times New Roman" w:hint="eastAsia"/>
                <w:bCs/>
                <w:iCs/>
                <w:kern w:val="0"/>
                <w:sz w:val="22"/>
              </w:rPr>
              <w:sym w:font="Wingdings" w:char="F0FE"/>
            </w:r>
            <w:r w:rsidR="00DC1F0B" w:rsidRPr="007C3A87">
              <w:rPr>
                <w:rFonts w:ascii="Times New Roman" w:hAnsi="Times New Roman" w:hint="eastAsia"/>
                <w:kern w:val="0"/>
                <w:sz w:val="22"/>
              </w:rPr>
              <w:t>特定对象调研</w:t>
            </w:r>
            <w:r w:rsidR="00DC1F0B" w:rsidRPr="007C3A87">
              <w:rPr>
                <w:rFonts w:ascii="Times New Roman" w:hAnsi="Times New Roman"/>
                <w:kern w:val="0"/>
                <w:sz w:val="22"/>
              </w:rPr>
              <w:t xml:space="preserve">        </w:t>
            </w:r>
            <w:r w:rsidR="00DC1F0B" w:rsidRPr="007C3A87">
              <w:rPr>
                <w:rFonts w:ascii="Times New Roman" w:hAnsi="Times New Roman" w:hint="eastAsia"/>
                <w:bCs/>
                <w:iCs/>
                <w:kern w:val="0"/>
                <w:sz w:val="22"/>
              </w:rPr>
              <w:t>□</w:t>
            </w:r>
            <w:r w:rsidR="00DC1F0B" w:rsidRPr="007C3A87">
              <w:rPr>
                <w:rFonts w:ascii="Times New Roman" w:hAnsi="Times New Roman" w:hint="eastAsia"/>
                <w:kern w:val="0"/>
                <w:sz w:val="22"/>
              </w:rPr>
              <w:t>分析师会议</w:t>
            </w:r>
          </w:p>
          <w:p w:rsidR="00DC1F0B" w:rsidRPr="007C3A87" w:rsidRDefault="00DC1F0B" w:rsidP="002033C0">
            <w:pPr>
              <w:spacing w:before="50" w:after="50" w:line="300" w:lineRule="auto"/>
              <w:ind w:firstLineChars="50" w:firstLine="110"/>
              <w:rPr>
                <w:rFonts w:ascii="Times New Roman" w:hAnsi="Times New Roman"/>
                <w:bCs/>
                <w:iCs/>
                <w:kern w:val="0"/>
                <w:sz w:val="22"/>
              </w:rPr>
            </w:pPr>
            <w:r w:rsidRPr="007C3A87">
              <w:rPr>
                <w:rFonts w:ascii="Times New Roman" w:hAnsi="Times New Roman" w:hint="eastAsia"/>
                <w:bCs/>
                <w:iCs/>
                <w:kern w:val="0"/>
                <w:sz w:val="22"/>
              </w:rPr>
              <w:t>□</w:t>
            </w:r>
            <w:r w:rsidRPr="007C3A87">
              <w:rPr>
                <w:rFonts w:ascii="Times New Roman" w:hAnsi="Times New Roman" w:hint="eastAsia"/>
                <w:kern w:val="0"/>
                <w:sz w:val="22"/>
              </w:rPr>
              <w:t>媒体采访</w:t>
            </w:r>
            <w:r w:rsidRPr="007C3A87">
              <w:rPr>
                <w:rFonts w:ascii="Times New Roman" w:hAnsi="Times New Roman"/>
                <w:kern w:val="0"/>
                <w:sz w:val="22"/>
              </w:rPr>
              <w:t xml:space="preserve">            </w:t>
            </w:r>
            <w:r w:rsidRPr="007C3A87">
              <w:rPr>
                <w:rFonts w:ascii="Times New Roman" w:hAnsi="Times New Roman" w:hint="eastAsia"/>
                <w:bCs/>
                <w:iCs/>
                <w:kern w:val="0"/>
                <w:sz w:val="22"/>
              </w:rPr>
              <w:t>□</w:t>
            </w:r>
            <w:r w:rsidRPr="007C3A87">
              <w:rPr>
                <w:rFonts w:ascii="Times New Roman" w:hAnsi="Times New Roman" w:hint="eastAsia"/>
                <w:kern w:val="0"/>
                <w:sz w:val="22"/>
              </w:rPr>
              <w:t>业绩说明会</w:t>
            </w:r>
          </w:p>
          <w:p w:rsidR="00DC1F0B" w:rsidRPr="007C3A87" w:rsidRDefault="00DC1F0B" w:rsidP="002033C0">
            <w:pPr>
              <w:spacing w:before="50" w:after="50" w:line="300" w:lineRule="auto"/>
              <w:ind w:firstLineChars="50" w:firstLine="110"/>
              <w:rPr>
                <w:rFonts w:ascii="Times New Roman" w:hAnsi="Times New Roman"/>
                <w:bCs/>
                <w:iCs/>
                <w:kern w:val="0"/>
                <w:sz w:val="22"/>
              </w:rPr>
            </w:pPr>
            <w:r w:rsidRPr="007C3A87">
              <w:rPr>
                <w:rFonts w:ascii="Times New Roman" w:hAnsi="Times New Roman" w:hint="eastAsia"/>
                <w:bCs/>
                <w:iCs/>
                <w:kern w:val="0"/>
                <w:sz w:val="22"/>
              </w:rPr>
              <w:t>□</w:t>
            </w:r>
            <w:r w:rsidRPr="007C3A87">
              <w:rPr>
                <w:rFonts w:ascii="Times New Roman" w:hAnsi="Times New Roman" w:hint="eastAsia"/>
                <w:kern w:val="0"/>
                <w:sz w:val="22"/>
              </w:rPr>
              <w:t>新闻发布会</w:t>
            </w:r>
            <w:r w:rsidRPr="007C3A87">
              <w:rPr>
                <w:rFonts w:ascii="Times New Roman" w:hAnsi="Times New Roman"/>
                <w:kern w:val="0"/>
                <w:sz w:val="22"/>
              </w:rPr>
              <w:t xml:space="preserve">          </w:t>
            </w:r>
            <w:r w:rsidRPr="007C3A87">
              <w:rPr>
                <w:rFonts w:ascii="Times New Roman" w:hAnsi="Times New Roman" w:hint="eastAsia"/>
                <w:bCs/>
                <w:iCs/>
                <w:kern w:val="0"/>
                <w:sz w:val="22"/>
              </w:rPr>
              <w:t>□</w:t>
            </w:r>
            <w:r w:rsidRPr="007C3A87">
              <w:rPr>
                <w:rFonts w:ascii="Times New Roman" w:hAnsi="Times New Roman" w:hint="eastAsia"/>
                <w:kern w:val="0"/>
                <w:sz w:val="22"/>
              </w:rPr>
              <w:t>路演活动</w:t>
            </w:r>
          </w:p>
          <w:p w:rsidR="00DC1F0B" w:rsidRPr="007C3A87" w:rsidRDefault="00DC1F0B" w:rsidP="002033C0">
            <w:pPr>
              <w:tabs>
                <w:tab w:val="left" w:pos="3045"/>
                <w:tab w:val="center" w:pos="3199"/>
              </w:tabs>
              <w:spacing w:before="50" w:after="50" w:line="300" w:lineRule="auto"/>
              <w:ind w:firstLineChars="50" w:firstLine="110"/>
              <w:rPr>
                <w:rFonts w:ascii="Times New Roman" w:hAnsi="Times New Roman"/>
                <w:bCs/>
                <w:iCs/>
                <w:kern w:val="0"/>
                <w:sz w:val="22"/>
              </w:rPr>
            </w:pPr>
            <w:r w:rsidRPr="007C3A87">
              <w:rPr>
                <w:rFonts w:ascii="Times New Roman" w:hAnsi="Times New Roman" w:hint="eastAsia"/>
                <w:bCs/>
                <w:iCs/>
                <w:kern w:val="0"/>
                <w:sz w:val="22"/>
              </w:rPr>
              <w:t>□</w:t>
            </w:r>
            <w:r w:rsidRPr="007C3A87">
              <w:rPr>
                <w:rFonts w:ascii="Times New Roman" w:hAnsi="Times New Roman" w:hint="eastAsia"/>
                <w:kern w:val="0"/>
                <w:sz w:val="22"/>
              </w:rPr>
              <w:t>现场参观</w:t>
            </w:r>
            <w:r w:rsidRPr="007C3A87">
              <w:rPr>
                <w:rFonts w:ascii="Times New Roman" w:hAnsi="Times New Roman"/>
                <w:bCs/>
                <w:iCs/>
                <w:kern w:val="0"/>
                <w:sz w:val="22"/>
              </w:rPr>
              <w:tab/>
            </w:r>
          </w:p>
          <w:tbl>
            <w:tblPr>
              <w:tblW w:w="5323" w:type="dxa"/>
              <w:tblLook w:val="04A0" w:firstRow="1" w:lastRow="0" w:firstColumn="1" w:lastColumn="0" w:noHBand="0" w:noVBand="1"/>
            </w:tblPr>
            <w:tblGrid>
              <w:gridCol w:w="5323"/>
            </w:tblGrid>
            <w:tr w:rsidR="00DC1F0B" w:rsidRPr="007C3A87" w:rsidTr="00401CEB">
              <w:trPr>
                <w:trHeight w:val="296"/>
              </w:trPr>
              <w:tc>
                <w:tcPr>
                  <w:tcW w:w="5323" w:type="dxa"/>
                </w:tcPr>
                <w:p w:rsidR="00DC1F0B" w:rsidRPr="007C3A87" w:rsidRDefault="00DC1F0B" w:rsidP="002033C0">
                  <w:pPr>
                    <w:tabs>
                      <w:tab w:val="left" w:pos="3045"/>
                      <w:tab w:val="center" w:pos="3199"/>
                    </w:tabs>
                    <w:spacing w:before="50" w:after="50" w:line="300" w:lineRule="auto"/>
                    <w:ind w:leftChars="-14" w:left="-29"/>
                    <w:rPr>
                      <w:rFonts w:ascii="Times New Roman" w:hAnsi="Times New Roman"/>
                      <w:sz w:val="22"/>
                    </w:rPr>
                  </w:pPr>
                  <w:r w:rsidRPr="007C3A87">
                    <w:rPr>
                      <w:rFonts w:ascii="Times New Roman" w:hAnsi="Times New Roman" w:hint="eastAsia"/>
                      <w:bCs/>
                      <w:iCs/>
                      <w:kern w:val="0"/>
                      <w:sz w:val="22"/>
                    </w:rPr>
                    <w:t>□</w:t>
                  </w:r>
                  <w:r w:rsidRPr="007C3A87">
                    <w:rPr>
                      <w:rFonts w:ascii="Times New Roman" w:hAnsi="Times New Roman" w:hint="eastAsia"/>
                      <w:kern w:val="0"/>
                      <w:sz w:val="22"/>
                    </w:rPr>
                    <w:t>其他</w:t>
                  </w:r>
                  <w:r w:rsidRPr="007C3A87">
                    <w:rPr>
                      <w:rFonts w:ascii="Times New Roman" w:hAnsi="Times New Roman"/>
                      <w:kern w:val="0"/>
                      <w:sz w:val="22"/>
                    </w:rPr>
                    <w:t xml:space="preserve"> </w:t>
                  </w:r>
                  <w:r w:rsidRPr="007C3A87">
                    <w:rPr>
                      <w:rFonts w:ascii="Times New Roman" w:hAnsi="Times New Roman" w:hint="eastAsia"/>
                      <w:kern w:val="0"/>
                      <w:sz w:val="22"/>
                      <w:u w:val="single"/>
                    </w:rPr>
                    <w:t>（</w:t>
                  </w:r>
                  <w:proofErr w:type="gramStart"/>
                  <w:r w:rsidRPr="007C3A87">
                    <w:rPr>
                      <w:rFonts w:ascii="Times New Roman" w:hAnsi="Times New Roman" w:hint="eastAsia"/>
                      <w:kern w:val="0"/>
                      <w:sz w:val="22"/>
                      <w:u w:val="single"/>
                    </w:rPr>
                    <w:t>请文字</w:t>
                  </w:r>
                  <w:proofErr w:type="gramEnd"/>
                  <w:r w:rsidRPr="007C3A87">
                    <w:rPr>
                      <w:rFonts w:ascii="Times New Roman" w:hAnsi="Times New Roman" w:hint="eastAsia"/>
                      <w:kern w:val="0"/>
                      <w:sz w:val="22"/>
                      <w:u w:val="single"/>
                    </w:rPr>
                    <w:t>说明其他活动内容）</w:t>
                  </w:r>
                </w:p>
              </w:tc>
            </w:tr>
          </w:tbl>
          <w:p w:rsidR="00DC1F0B" w:rsidRPr="007C3A87" w:rsidRDefault="00DC1F0B" w:rsidP="002033C0">
            <w:pPr>
              <w:tabs>
                <w:tab w:val="center" w:pos="3199"/>
              </w:tabs>
              <w:spacing w:before="50" w:after="50" w:line="300" w:lineRule="auto"/>
              <w:rPr>
                <w:rFonts w:ascii="Times New Roman" w:hAnsi="Times New Roman"/>
                <w:bCs/>
                <w:iCs/>
                <w:kern w:val="0"/>
                <w:sz w:val="22"/>
                <w:u w:val="single"/>
              </w:rPr>
            </w:pPr>
          </w:p>
        </w:tc>
      </w:tr>
      <w:tr w:rsidR="00DC1F0B" w:rsidRPr="007C3A87" w:rsidTr="00A271E5">
        <w:trPr>
          <w:trHeight w:val="1138"/>
        </w:trPr>
        <w:tc>
          <w:tcPr>
            <w:tcW w:w="2235" w:type="dxa"/>
            <w:vAlign w:val="center"/>
          </w:tcPr>
          <w:p w:rsidR="00DC1F0B" w:rsidRPr="007C3A87" w:rsidRDefault="00DC1F0B" w:rsidP="00783FF3">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参与单位名称及人员姓名</w:t>
            </w:r>
          </w:p>
        </w:tc>
        <w:tc>
          <w:tcPr>
            <w:tcW w:w="6378" w:type="dxa"/>
            <w:vAlign w:val="center"/>
          </w:tcPr>
          <w:p w:rsidR="00156A2D" w:rsidRDefault="00286F2C" w:rsidP="00156A2D">
            <w:pPr>
              <w:widowControl/>
              <w:tabs>
                <w:tab w:val="left" w:pos="1475"/>
              </w:tabs>
              <w:spacing w:before="50" w:after="50" w:line="300" w:lineRule="auto"/>
              <w:rPr>
                <w:rFonts w:asciiTheme="minorEastAsia" w:eastAsiaTheme="minorEastAsia" w:hAnsiTheme="minorEastAsia"/>
                <w:kern w:val="0"/>
                <w:sz w:val="22"/>
              </w:rPr>
            </w:pPr>
            <w:proofErr w:type="gramStart"/>
            <w:r>
              <w:rPr>
                <w:rFonts w:asciiTheme="minorEastAsia" w:eastAsiaTheme="minorEastAsia" w:hAnsiTheme="minorEastAsia" w:hint="eastAsia"/>
                <w:kern w:val="0"/>
                <w:sz w:val="22"/>
              </w:rPr>
              <w:t>浙商</w:t>
            </w:r>
            <w:r w:rsidR="00243E72">
              <w:rPr>
                <w:rFonts w:asciiTheme="minorEastAsia" w:eastAsiaTheme="minorEastAsia" w:hAnsiTheme="minorEastAsia" w:hint="eastAsia"/>
                <w:kern w:val="0"/>
                <w:sz w:val="22"/>
              </w:rPr>
              <w:t>证券</w:t>
            </w:r>
            <w:proofErr w:type="gramEnd"/>
            <w:r w:rsidR="00243E72">
              <w:rPr>
                <w:rFonts w:asciiTheme="minorEastAsia" w:eastAsiaTheme="minorEastAsia" w:hAnsiTheme="minorEastAsia" w:hint="eastAsia"/>
                <w:kern w:val="0"/>
                <w:sz w:val="22"/>
              </w:rPr>
              <w:t xml:space="preserve"> </w:t>
            </w:r>
            <w:r>
              <w:rPr>
                <w:rFonts w:asciiTheme="minorEastAsia" w:eastAsiaTheme="minorEastAsia" w:hAnsiTheme="minorEastAsia" w:hint="eastAsia"/>
                <w:kern w:val="0"/>
                <w:sz w:val="22"/>
              </w:rPr>
              <w:t>陈婷婷</w:t>
            </w:r>
          </w:p>
          <w:p w:rsidR="00243E72" w:rsidRDefault="00286F2C" w:rsidP="00156A2D">
            <w:pPr>
              <w:widowControl/>
              <w:tabs>
                <w:tab w:val="left" w:pos="1475"/>
              </w:tabs>
              <w:spacing w:before="50" w:after="50" w:line="300" w:lineRule="auto"/>
              <w:rPr>
                <w:rFonts w:asciiTheme="minorEastAsia" w:eastAsiaTheme="minorEastAsia" w:hAnsiTheme="minorEastAsia"/>
                <w:kern w:val="0"/>
                <w:sz w:val="22"/>
              </w:rPr>
            </w:pPr>
            <w:proofErr w:type="gramStart"/>
            <w:r w:rsidRPr="004B657B">
              <w:rPr>
                <w:rFonts w:asciiTheme="minorEastAsia" w:eastAsiaTheme="minorEastAsia" w:hAnsiTheme="minorEastAsia" w:hint="eastAsia"/>
                <w:kern w:val="0"/>
                <w:sz w:val="22"/>
              </w:rPr>
              <w:t>远希</w:t>
            </w:r>
            <w:r w:rsidR="000A3CF7" w:rsidRPr="004B657B">
              <w:rPr>
                <w:rFonts w:asciiTheme="minorEastAsia" w:eastAsiaTheme="minorEastAsia" w:hAnsiTheme="minorEastAsia"/>
                <w:kern w:val="0"/>
                <w:sz w:val="22"/>
              </w:rPr>
              <w:t>基金</w:t>
            </w:r>
            <w:proofErr w:type="gramEnd"/>
            <w:r w:rsidR="000A3CF7" w:rsidRPr="004B657B">
              <w:rPr>
                <w:rFonts w:asciiTheme="minorEastAsia" w:eastAsiaTheme="minorEastAsia" w:hAnsiTheme="minorEastAsia" w:hint="eastAsia"/>
                <w:kern w:val="0"/>
                <w:sz w:val="22"/>
              </w:rPr>
              <w:t xml:space="preserve"> </w:t>
            </w:r>
            <w:r>
              <w:rPr>
                <w:rFonts w:asciiTheme="minorEastAsia" w:eastAsiaTheme="minorEastAsia" w:hAnsiTheme="minorEastAsia" w:hint="eastAsia"/>
                <w:kern w:val="0"/>
                <w:sz w:val="22"/>
              </w:rPr>
              <w:t>王培</w:t>
            </w:r>
          </w:p>
          <w:p w:rsidR="00243E72" w:rsidRDefault="00286F2C" w:rsidP="00156A2D">
            <w:pPr>
              <w:widowControl/>
              <w:tabs>
                <w:tab w:val="left" w:pos="1475"/>
              </w:tabs>
              <w:spacing w:before="50" w:after="50" w:line="30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光大保德信基金</w:t>
            </w:r>
            <w:r w:rsidR="00243E72">
              <w:rPr>
                <w:rFonts w:asciiTheme="minorEastAsia" w:eastAsiaTheme="minorEastAsia" w:hAnsiTheme="minorEastAsia" w:hint="eastAsia"/>
                <w:kern w:val="0"/>
                <w:sz w:val="22"/>
              </w:rPr>
              <w:t xml:space="preserve"> </w:t>
            </w:r>
            <w:proofErr w:type="gramStart"/>
            <w:r>
              <w:rPr>
                <w:rFonts w:asciiTheme="minorEastAsia" w:eastAsiaTheme="minorEastAsia" w:hAnsiTheme="minorEastAsia" w:hint="eastAsia"/>
                <w:kern w:val="0"/>
                <w:sz w:val="22"/>
              </w:rPr>
              <w:t>尚凌楠</w:t>
            </w:r>
            <w:proofErr w:type="gramEnd"/>
          </w:p>
          <w:p w:rsidR="00243E72" w:rsidRDefault="00286F2C" w:rsidP="00156A2D">
            <w:pPr>
              <w:widowControl/>
              <w:tabs>
                <w:tab w:val="left" w:pos="1475"/>
              </w:tabs>
              <w:spacing w:before="50" w:after="50" w:line="300" w:lineRule="auto"/>
              <w:rPr>
                <w:rFonts w:asciiTheme="minorEastAsia" w:eastAsiaTheme="minorEastAsia" w:hAnsiTheme="minorEastAsia"/>
                <w:kern w:val="0"/>
                <w:sz w:val="22"/>
              </w:rPr>
            </w:pPr>
            <w:r>
              <w:rPr>
                <w:rFonts w:asciiTheme="minorEastAsia" w:eastAsiaTheme="minorEastAsia" w:hAnsiTheme="minorEastAsia" w:hint="eastAsia"/>
                <w:kern w:val="0"/>
                <w:sz w:val="22"/>
              </w:rPr>
              <w:t>西部利得基金</w:t>
            </w:r>
            <w:r w:rsidR="00243E72">
              <w:rPr>
                <w:rFonts w:asciiTheme="minorEastAsia" w:eastAsiaTheme="minorEastAsia" w:hAnsiTheme="minorEastAsia" w:hint="eastAsia"/>
                <w:kern w:val="0"/>
                <w:sz w:val="22"/>
              </w:rPr>
              <w:t xml:space="preserve"> </w:t>
            </w:r>
            <w:r>
              <w:rPr>
                <w:rFonts w:asciiTheme="minorEastAsia" w:eastAsiaTheme="minorEastAsia" w:hAnsiTheme="minorEastAsia" w:hint="eastAsia"/>
                <w:kern w:val="0"/>
                <w:sz w:val="22"/>
              </w:rPr>
              <w:t>毛振强</w:t>
            </w:r>
          </w:p>
          <w:p w:rsidR="00243E72" w:rsidRPr="00401C06" w:rsidRDefault="00286F2C" w:rsidP="00156A2D">
            <w:pPr>
              <w:widowControl/>
              <w:tabs>
                <w:tab w:val="left" w:pos="1475"/>
              </w:tabs>
              <w:spacing w:before="50" w:after="50" w:line="300" w:lineRule="auto"/>
              <w:rPr>
                <w:rFonts w:asciiTheme="minorEastAsia" w:eastAsiaTheme="minorEastAsia" w:hAnsiTheme="minorEastAsia"/>
                <w:kern w:val="0"/>
                <w:sz w:val="22"/>
              </w:rPr>
            </w:pPr>
            <w:r>
              <w:rPr>
                <w:rFonts w:asciiTheme="minorEastAsia" w:eastAsiaTheme="minorEastAsia" w:hAnsiTheme="minorEastAsia" w:hint="eastAsia"/>
                <w:kern w:val="0"/>
                <w:sz w:val="22"/>
              </w:rPr>
              <w:t>上</w:t>
            </w:r>
            <w:proofErr w:type="gramStart"/>
            <w:r>
              <w:rPr>
                <w:rFonts w:asciiTheme="minorEastAsia" w:eastAsiaTheme="minorEastAsia" w:hAnsiTheme="minorEastAsia" w:hint="eastAsia"/>
                <w:kern w:val="0"/>
                <w:sz w:val="22"/>
              </w:rPr>
              <w:t>银基金</w:t>
            </w:r>
            <w:proofErr w:type="gramEnd"/>
            <w:r w:rsidR="00243E72">
              <w:rPr>
                <w:rFonts w:asciiTheme="minorEastAsia" w:eastAsiaTheme="minorEastAsia" w:hAnsiTheme="minorEastAsia" w:hint="eastAsia"/>
                <w:kern w:val="0"/>
                <w:sz w:val="22"/>
              </w:rPr>
              <w:t xml:space="preserve"> </w:t>
            </w:r>
            <w:proofErr w:type="gramStart"/>
            <w:r>
              <w:rPr>
                <w:rFonts w:asciiTheme="minorEastAsia" w:eastAsiaTheme="minorEastAsia" w:hAnsiTheme="minorEastAsia" w:hint="eastAsia"/>
                <w:kern w:val="0"/>
                <w:sz w:val="22"/>
              </w:rPr>
              <w:t>许卓岩</w:t>
            </w:r>
            <w:proofErr w:type="gramEnd"/>
          </w:p>
        </w:tc>
      </w:tr>
      <w:tr w:rsidR="00DC1F0B" w:rsidRPr="007C3A87" w:rsidTr="00A271E5">
        <w:trPr>
          <w:trHeight w:val="686"/>
        </w:trPr>
        <w:tc>
          <w:tcPr>
            <w:tcW w:w="2235" w:type="dxa"/>
            <w:vAlign w:val="center"/>
          </w:tcPr>
          <w:p w:rsidR="00DC1F0B" w:rsidRPr="007C3A87" w:rsidRDefault="00DC1F0B" w:rsidP="00783FF3">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时间</w:t>
            </w:r>
          </w:p>
        </w:tc>
        <w:tc>
          <w:tcPr>
            <w:tcW w:w="6378" w:type="dxa"/>
            <w:vAlign w:val="center"/>
          </w:tcPr>
          <w:p w:rsidR="00DC1F0B" w:rsidRPr="007C3A87" w:rsidRDefault="005270D2" w:rsidP="00286F2C">
            <w:pPr>
              <w:spacing w:before="50" w:after="50" w:line="300" w:lineRule="auto"/>
              <w:rPr>
                <w:rFonts w:asciiTheme="minorEastAsia" w:eastAsiaTheme="minorEastAsia" w:hAnsiTheme="minorEastAsia"/>
                <w:kern w:val="0"/>
                <w:sz w:val="22"/>
              </w:rPr>
            </w:pPr>
            <w:r w:rsidRPr="007C3A87">
              <w:rPr>
                <w:rFonts w:asciiTheme="minorEastAsia" w:eastAsiaTheme="minorEastAsia" w:hAnsiTheme="minorEastAsia" w:hint="eastAsia"/>
                <w:kern w:val="0"/>
                <w:sz w:val="22"/>
              </w:rPr>
              <w:t>202</w:t>
            </w:r>
            <w:r w:rsidR="00243E72">
              <w:rPr>
                <w:rFonts w:asciiTheme="minorEastAsia" w:eastAsiaTheme="minorEastAsia" w:hAnsiTheme="minorEastAsia" w:hint="eastAsia"/>
                <w:kern w:val="0"/>
                <w:sz w:val="22"/>
              </w:rPr>
              <w:t>4</w:t>
            </w:r>
            <w:r w:rsidRPr="007C3A87">
              <w:rPr>
                <w:rFonts w:asciiTheme="minorEastAsia" w:eastAsiaTheme="minorEastAsia" w:hAnsiTheme="minorEastAsia" w:hint="eastAsia"/>
                <w:kern w:val="0"/>
                <w:sz w:val="22"/>
              </w:rPr>
              <w:t>年</w:t>
            </w:r>
            <w:r w:rsidR="00286F2C">
              <w:rPr>
                <w:rFonts w:asciiTheme="minorEastAsia" w:eastAsiaTheme="minorEastAsia" w:hAnsiTheme="minorEastAsia" w:hint="eastAsia"/>
                <w:kern w:val="0"/>
                <w:sz w:val="22"/>
              </w:rPr>
              <w:t>5</w:t>
            </w:r>
            <w:r w:rsidRPr="007C3A87">
              <w:rPr>
                <w:rFonts w:asciiTheme="minorEastAsia" w:eastAsiaTheme="minorEastAsia" w:hAnsiTheme="minorEastAsia" w:hint="eastAsia"/>
                <w:kern w:val="0"/>
                <w:sz w:val="22"/>
              </w:rPr>
              <w:t>月</w:t>
            </w:r>
            <w:r w:rsidR="00286F2C">
              <w:rPr>
                <w:rFonts w:asciiTheme="minorEastAsia" w:eastAsiaTheme="minorEastAsia" w:hAnsiTheme="minorEastAsia" w:hint="eastAsia"/>
                <w:kern w:val="0"/>
                <w:sz w:val="22"/>
              </w:rPr>
              <w:t>14</w:t>
            </w:r>
            <w:r w:rsidRPr="007C3A87">
              <w:rPr>
                <w:rFonts w:asciiTheme="minorEastAsia" w:eastAsiaTheme="minorEastAsia" w:hAnsiTheme="minorEastAsia" w:hint="eastAsia"/>
                <w:kern w:val="0"/>
                <w:sz w:val="22"/>
              </w:rPr>
              <w:t>日</w:t>
            </w:r>
            <w:r w:rsidR="00243E72">
              <w:rPr>
                <w:rFonts w:asciiTheme="minorEastAsia" w:eastAsiaTheme="minorEastAsia" w:hAnsiTheme="minorEastAsia"/>
                <w:kern w:val="0"/>
                <w:sz w:val="22"/>
              </w:rPr>
              <w:t>—</w:t>
            </w:r>
            <w:r w:rsidR="00243E72">
              <w:rPr>
                <w:rFonts w:asciiTheme="minorEastAsia" w:eastAsiaTheme="minorEastAsia" w:hAnsiTheme="minorEastAsia" w:hint="eastAsia"/>
                <w:kern w:val="0"/>
                <w:sz w:val="22"/>
              </w:rPr>
              <w:t>2024年</w:t>
            </w:r>
            <w:r w:rsidR="00286F2C">
              <w:rPr>
                <w:rFonts w:asciiTheme="minorEastAsia" w:eastAsiaTheme="minorEastAsia" w:hAnsiTheme="minorEastAsia" w:hint="eastAsia"/>
                <w:kern w:val="0"/>
                <w:sz w:val="22"/>
              </w:rPr>
              <w:t>5</w:t>
            </w:r>
            <w:r w:rsidR="00243E72">
              <w:rPr>
                <w:rFonts w:asciiTheme="minorEastAsia" w:eastAsiaTheme="minorEastAsia" w:hAnsiTheme="minorEastAsia" w:hint="eastAsia"/>
                <w:kern w:val="0"/>
                <w:sz w:val="22"/>
              </w:rPr>
              <w:t>月</w:t>
            </w:r>
            <w:r w:rsidR="00286F2C">
              <w:rPr>
                <w:rFonts w:asciiTheme="minorEastAsia" w:eastAsiaTheme="minorEastAsia" w:hAnsiTheme="minorEastAsia" w:hint="eastAsia"/>
                <w:kern w:val="0"/>
                <w:sz w:val="22"/>
              </w:rPr>
              <w:t>15</w:t>
            </w:r>
            <w:r w:rsidR="00243E72">
              <w:rPr>
                <w:rFonts w:asciiTheme="minorEastAsia" w:eastAsiaTheme="minorEastAsia" w:hAnsiTheme="minorEastAsia" w:hint="eastAsia"/>
                <w:kern w:val="0"/>
                <w:sz w:val="22"/>
              </w:rPr>
              <w:t>日</w:t>
            </w:r>
          </w:p>
        </w:tc>
      </w:tr>
      <w:tr w:rsidR="00DC1F0B" w:rsidRPr="007C3A87" w:rsidTr="00A271E5">
        <w:trPr>
          <w:trHeight w:val="708"/>
        </w:trPr>
        <w:tc>
          <w:tcPr>
            <w:tcW w:w="2235" w:type="dxa"/>
            <w:vAlign w:val="center"/>
          </w:tcPr>
          <w:p w:rsidR="00DC1F0B" w:rsidRPr="007C3A87" w:rsidRDefault="00D225F2" w:rsidP="00D13D2A">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参会方式</w:t>
            </w:r>
          </w:p>
        </w:tc>
        <w:tc>
          <w:tcPr>
            <w:tcW w:w="6378" w:type="dxa"/>
            <w:vAlign w:val="center"/>
          </w:tcPr>
          <w:p w:rsidR="00BA5C2B" w:rsidRPr="007C3A87" w:rsidRDefault="00BA5C2B" w:rsidP="00286F2C">
            <w:pPr>
              <w:spacing w:before="50" w:after="50" w:line="30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公司现场交流</w:t>
            </w:r>
          </w:p>
        </w:tc>
      </w:tr>
      <w:tr w:rsidR="00DC1F0B" w:rsidRPr="007C3A87" w:rsidTr="00A271E5">
        <w:trPr>
          <w:trHeight w:val="702"/>
        </w:trPr>
        <w:tc>
          <w:tcPr>
            <w:tcW w:w="2235" w:type="dxa"/>
            <w:vAlign w:val="center"/>
          </w:tcPr>
          <w:p w:rsidR="00DC1F0B" w:rsidRPr="007C3A87" w:rsidRDefault="00DC1F0B" w:rsidP="00401CEB">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公司接待人员姓名</w:t>
            </w:r>
          </w:p>
        </w:tc>
        <w:tc>
          <w:tcPr>
            <w:tcW w:w="6378" w:type="dxa"/>
            <w:vAlign w:val="center"/>
          </w:tcPr>
          <w:p w:rsidR="00D225F2" w:rsidRDefault="00D225F2" w:rsidP="00D225F2">
            <w:pPr>
              <w:spacing w:before="50" w:after="50" w:line="300" w:lineRule="auto"/>
              <w:rPr>
                <w:rFonts w:asciiTheme="minorEastAsia" w:eastAsiaTheme="minorEastAsia" w:hAnsiTheme="minorEastAsia"/>
                <w:kern w:val="0"/>
                <w:sz w:val="22"/>
              </w:rPr>
            </w:pPr>
            <w:r w:rsidRPr="007C3A87">
              <w:rPr>
                <w:rFonts w:asciiTheme="minorEastAsia" w:eastAsiaTheme="minorEastAsia" w:hAnsiTheme="minorEastAsia" w:hint="eastAsia"/>
                <w:kern w:val="0"/>
                <w:sz w:val="22"/>
              </w:rPr>
              <w:t>副总裁、财务总监</w:t>
            </w:r>
            <w:r w:rsidR="00E84055" w:rsidRPr="007C3A87">
              <w:rPr>
                <w:rFonts w:asciiTheme="minorEastAsia" w:eastAsiaTheme="minorEastAsia" w:hAnsiTheme="minorEastAsia" w:hint="eastAsia"/>
                <w:kern w:val="0"/>
                <w:sz w:val="22"/>
              </w:rPr>
              <w:t>兼</w:t>
            </w:r>
            <w:r w:rsidRPr="007C3A87">
              <w:rPr>
                <w:rFonts w:asciiTheme="minorEastAsia" w:eastAsiaTheme="minorEastAsia" w:hAnsiTheme="minorEastAsia" w:hint="eastAsia"/>
                <w:kern w:val="0"/>
                <w:sz w:val="22"/>
              </w:rPr>
              <w:t xml:space="preserve">董事会秘书 </w:t>
            </w:r>
            <w:r w:rsidR="00E84055" w:rsidRPr="007C3A87">
              <w:rPr>
                <w:rFonts w:asciiTheme="minorEastAsia" w:eastAsiaTheme="minorEastAsia" w:hAnsiTheme="minorEastAsia" w:hint="eastAsia"/>
                <w:kern w:val="0"/>
                <w:sz w:val="22"/>
              </w:rPr>
              <w:t>邢燕</w:t>
            </w:r>
          </w:p>
          <w:p w:rsidR="00401CEB" w:rsidRPr="007C3A87" w:rsidRDefault="00CA76DA" w:rsidP="00D225F2">
            <w:pPr>
              <w:spacing w:before="50" w:after="50" w:line="300" w:lineRule="auto"/>
              <w:rPr>
                <w:rFonts w:asciiTheme="minorEastAsia" w:eastAsiaTheme="minorEastAsia" w:hAnsiTheme="minorEastAsia"/>
                <w:kern w:val="0"/>
                <w:sz w:val="22"/>
              </w:rPr>
            </w:pPr>
            <w:r w:rsidRPr="007C3A87">
              <w:rPr>
                <w:rFonts w:asciiTheme="minorEastAsia" w:eastAsiaTheme="minorEastAsia" w:hAnsiTheme="minorEastAsia" w:hint="eastAsia"/>
                <w:kern w:val="0"/>
                <w:sz w:val="22"/>
              </w:rPr>
              <w:t>证券事务代表</w:t>
            </w:r>
            <w:r w:rsidR="00D225F2" w:rsidRPr="007C3A87">
              <w:rPr>
                <w:rFonts w:asciiTheme="minorEastAsia" w:eastAsiaTheme="minorEastAsia" w:hAnsiTheme="minorEastAsia" w:hint="eastAsia"/>
                <w:kern w:val="0"/>
                <w:sz w:val="22"/>
              </w:rPr>
              <w:t xml:space="preserve"> </w:t>
            </w:r>
            <w:proofErr w:type="gramStart"/>
            <w:r w:rsidR="00C019B7">
              <w:rPr>
                <w:rFonts w:asciiTheme="minorEastAsia" w:eastAsiaTheme="minorEastAsia" w:hAnsiTheme="minorEastAsia" w:hint="eastAsia"/>
                <w:kern w:val="0"/>
                <w:sz w:val="22"/>
              </w:rPr>
              <w:t>顾宇轩</w:t>
            </w:r>
            <w:proofErr w:type="gramEnd"/>
          </w:p>
        </w:tc>
      </w:tr>
      <w:tr w:rsidR="00DC1F0B" w:rsidRPr="007C3A87" w:rsidTr="00A271E5">
        <w:trPr>
          <w:trHeight w:val="1757"/>
        </w:trPr>
        <w:tc>
          <w:tcPr>
            <w:tcW w:w="2235" w:type="dxa"/>
            <w:vAlign w:val="center"/>
          </w:tcPr>
          <w:p w:rsidR="00DC1F0B" w:rsidRPr="007C3A87" w:rsidRDefault="00DC1F0B" w:rsidP="00923F20">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投资者关系活动主要内容介绍</w:t>
            </w:r>
          </w:p>
          <w:p w:rsidR="00DC1F0B" w:rsidRPr="007C3A87" w:rsidRDefault="00DC1F0B" w:rsidP="00923F20">
            <w:pPr>
              <w:spacing w:before="50" w:after="50" w:line="300" w:lineRule="auto"/>
              <w:rPr>
                <w:rFonts w:ascii="Times New Roman" w:hAnsi="Times New Roman"/>
                <w:b/>
                <w:bCs/>
                <w:iCs/>
                <w:kern w:val="0"/>
                <w:sz w:val="24"/>
              </w:rPr>
            </w:pPr>
          </w:p>
        </w:tc>
        <w:tc>
          <w:tcPr>
            <w:tcW w:w="6378" w:type="dxa"/>
          </w:tcPr>
          <w:p w:rsidR="002528B3" w:rsidRPr="001519B1" w:rsidRDefault="002528B3" w:rsidP="001519B1">
            <w:pPr>
              <w:spacing w:beforeLines="50" w:before="120"/>
              <w:ind w:firstLineChars="200" w:firstLine="482"/>
              <w:rPr>
                <w:rFonts w:asciiTheme="minorEastAsia" w:hAnsiTheme="minorEastAsia"/>
                <w:b/>
                <w:sz w:val="24"/>
              </w:rPr>
            </w:pPr>
            <w:r w:rsidRPr="00DF3A90">
              <w:rPr>
                <w:rFonts w:asciiTheme="minorEastAsia" w:hAnsiTheme="minorEastAsia" w:hint="eastAsia"/>
                <w:b/>
                <w:sz w:val="24"/>
              </w:rPr>
              <w:t>投资者提</w:t>
            </w:r>
            <w:r w:rsidRPr="001519B1">
              <w:rPr>
                <w:rFonts w:asciiTheme="minorEastAsia" w:hAnsiTheme="minorEastAsia" w:hint="eastAsia"/>
                <w:b/>
                <w:sz w:val="24"/>
              </w:rPr>
              <w:t>问与企业回复情况</w:t>
            </w:r>
          </w:p>
          <w:p w:rsidR="009E20AB" w:rsidRPr="001519B1" w:rsidRDefault="009E20AB" w:rsidP="001519B1">
            <w:pPr>
              <w:spacing w:beforeLines="50" w:before="120"/>
              <w:ind w:firstLineChars="200" w:firstLine="480"/>
              <w:rPr>
                <w:rFonts w:asciiTheme="minorEastAsia" w:hAnsiTheme="minorEastAsia"/>
                <w:sz w:val="24"/>
              </w:rPr>
            </w:pPr>
          </w:p>
          <w:p w:rsidR="005C4F16" w:rsidRPr="006436F9" w:rsidRDefault="001D1DC1" w:rsidP="00BB6D2E">
            <w:pPr>
              <w:spacing w:beforeLines="50" w:before="120"/>
              <w:ind w:firstLineChars="200" w:firstLine="482"/>
              <w:rPr>
                <w:rFonts w:asciiTheme="minorEastAsia" w:hAnsiTheme="minorEastAsia"/>
                <w:b/>
                <w:sz w:val="24"/>
              </w:rPr>
            </w:pPr>
            <w:r w:rsidRPr="001519B1">
              <w:rPr>
                <w:rFonts w:asciiTheme="minorEastAsia" w:hAnsiTheme="minorEastAsia" w:hint="eastAsia"/>
                <w:b/>
                <w:sz w:val="24"/>
              </w:rPr>
              <w:t>1、</w:t>
            </w:r>
            <w:r w:rsidR="005C4F16">
              <w:rPr>
                <w:rFonts w:asciiTheme="minorEastAsia" w:hAnsiTheme="minorEastAsia" w:hint="eastAsia"/>
                <w:b/>
                <w:sz w:val="24"/>
              </w:rPr>
              <w:t>问：</w:t>
            </w:r>
            <w:r w:rsidR="00286F2C">
              <w:rPr>
                <w:rFonts w:asciiTheme="minorEastAsia" w:hAnsiTheme="minorEastAsia" w:hint="eastAsia"/>
                <w:b/>
                <w:sz w:val="24"/>
              </w:rPr>
              <w:t>公司2024年一季度整体运营情况</w:t>
            </w:r>
            <w:r w:rsidR="003B08FA" w:rsidRPr="003B08FA">
              <w:rPr>
                <w:rFonts w:asciiTheme="minorEastAsia" w:hAnsiTheme="minorEastAsia" w:hint="eastAsia"/>
                <w:b/>
                <w:sz w:val="24"/>
              </w:rPr>
              <w:t>？</w:t>
            </w:r>
          </w:p>
          <w:p w:rsidR="00286F2C" w:rsidRPr="00243E72" w:rsidRDefault="005C4F16" w:rsidP="00286F2C">
            <w:pPr>
              <w:spacing w:beforeLines="50" w:before="120"/>
              <w:ind w:firstLineChars="200" w:firstLine="480"/>
              <w:rPr>
                <w:rFonts w:asciiTheme="minorEastAsia" w:hAnsiTheme="minorEastAsia"/>
                <w:sz w:val="24"/>
              </w:rPr>
            </w:pPr>
            <w:r w:rsidRPr="006436F9">
              <w:rPr>
                <w:rFonts w:asciiTheme="minorEastAsia" w:hAnsiTheme="minorEastAsia" w:hint="eastAsia"/>
                <w:sz w:val="24"/>
              </w:rPr>
              <w:t>答：</w:t>
            </w:r>
            <w:r w:rsidR="00A67107" w:rsidRPr="00A67107">
              <w:rPr>
                <w:rFonts w:asciiTheme="minorEastAsia" w:hAnsiTheme="minorEastAsia" w:hint="eastAsia"/>
                <w:sz w:val="24"/>
              </w:rPr>
              <w:t>公司</w:t>
            </w:r>
            <w:r w:rsidR="00A67107">
              <w:rPr>
                <w:rFonts w:asciiTheme="minorEastAsia" w:hAnsiTheme="minorEastAsia" w:hint="eastAsia"/>
                <w:sz w:val="24"/>
              </w:rPr>
              <w:t>一季度</w:t>
            </w:r>
            <w:r w:rsidR="00563484" w:rsidRPr="00563484">
              <w:rPr>
                <w:rFonts w:asciiTheme="minorEastAsia" w:hAnsiTheme="minorEastAsia" w:hint="eastAsia"/>
                <w:sz w:val="24"/>
              </w:rPr>
              <w:t>实现营业收入</w:t>
            </w:r>
            <w:r w:rsidR="00563484">
              <w:rPr>
                <w:rFonts w:asciiTheme="minorEastAsia" w:hAnsiTheme="minorEastAsia" w:hint="eastAsia"/>
                <w:sz w:val="24"/>
              </w:rPr>
              <w:t>35</w:t>
            </w:r>
            <w:r w:rsidR="00563484" w:rsidRPr="00563484">
              <w:rPr>
                <w:rFonts w:asciiTheme="minorEastAsia" w:hAnsiTheme="minorEastAsia" w:hint="eastAsia"/>
                <w:sz w:val="24"/>
              </w:rPr>
              <w:t>,</w:t>
            </w:r>
            <w:r w:rsidR="00563484">
              <w:rPr>
                <w:rFonts w:asciiTheme="minorEastAsia" w:hAnsiTheme="minorEastAsia" w:hint="eastAsia"/>
                <w:sz w:val="24"/>
              </w:rPr>
              <w:t>931.6</w:t>
            </w:r>
            <w:r w:rsidR="00934701">
              <w:rPr>
                <w:rFonts w:asciiTheme="minorEastAsia" w:hAnsiTheme="minorEastAsia" w:hint="eastAsia"/>
                <w:sz w:val="24"/>
              </w:rPr>
              <w:t>2</w:t>
            </w:r>
            <w:r w:rsidR="00563484" w:rsidRPr="00563484">
              <w:rPr>
                <w:rFonts w:asciiTheme="minorEastAsia" w:hAnsiTheme="minorEastAsia" w:hint="eastAsia"/>
                <w:sz w:val="24"/>
              </w:rPr>
              <w:t>万元</w:t>
            </w:r>
            <w:r w:rsidR="00F94EBC">
              <w:rPr>
                <w:rFonts w:asciiTheme="minorEastAsia" w:hAnsiTheme="minorEastAsia" w:hint="eastAsia"/>
                <w:sz w:val="24"/>
              </w:rPr>
              <w:t>，与去年同期基本持平，</w:t>
            </w:r>
            <w:r w:rsidR="00A67107">
              <w:rPr>
                <w:rFonts w:asciiTheme="minorEastAsia" w:hAnsiTheme="minorEastAsia" w:hint="eastAsia"/>
                <w:sz w:val="24"/>
              </w:rPr>
              <w:t>实现</w:t>
            </w:r>
            <w:r w:rsidR="00563484" w:rsidRPr="00563484">
              <w:rPr>
                <w:rFonts w:asciiTheme="minorEastAsia" w:hAnsiTheme="minorEastAsia" w:hint="eastAsia"/>
                <w:sz w:val="24"/>
              </w:rPr>
              <w:t>归属于上市公司股东的净利润</w:t>
            </w:r>
            <w:r w:rsidR="00563484">
              <w:rPr>
                <w:rFonts w:asciiTheme="minorEastAsia" w:hAnsiTheme="minorEastAsia" w:hint="eastAsia"/>
                <w:sz w:val="24"/>
              </w:rPr>
              <w:t>1</w:t>
            </w:r>
            <w:r w:rsidR="00563484" w:rsidRPr="00563484">
              <w:rPr>
                <w:rFonts w:asciiTheme="minorEastAsia" w:hAnsiTheme="minorEastAsia" w:hint="eastAsia"/>
                <w:sz w:val="24"/>
              </w:rPr>
              <w:t>,</w:t>
            </w:r>
            <w:r w:rsidR="00563484">
              <w:rPr>
                <w:rFonts w:asciiTheme="minorEastAsia" w:hAnsiTheme="minorEastAsia" w:hint="eastAsia"/>
                <w:sz w:val="24"/>
              </w:rPr>
              <w:t>373.7</w:t>
            </w:r>
            <w:r w:rsidR="00934701">
              <w:rPr>
                <w:rFonts w:asciiTheme="minorEastAsia" w:hAnsiTheme="minorEastAsia" w:hint="eastAsia"/>
                <w:sz w:val="24"/>
              </w:rPr>
              <w:t>9</w:t>
            </w:r>
            <w:r w:rsidR="00563484" w:rsidRPr="00563484">
              <w:rPr>
                <w:rFonts w:asciiTheme="minorEastAsia" w:hAnsiTheme="minorEastAsia" w:hint="eastAsia"/>
                <w:sz w:val="24"/>
              </w:rPr>
              <w:t>万元，</w:t>
            </w:r>
            <w:r w:rsidR="00A67107" w:rsidRPr="00A67107">
              <w:rPr>
                <w:rFonts w:asciiTheme="minorEastAsia" w:hAnsiTheme="minorEastAsia" w:hint="eastAsia"/>
                <w:sz w:val="24"/>
              </w:rPr>
              <w:t>同比微增</w:t>
            </w:r>
            <w:r w:rsidR="00A67107">
              <w:rPr>
                <w:rFonts w:asciiTheme="minorEastAsia" w:hAnsiTheme="minorEastAsia" w:hint="eastAsia"/>
                <w:sz w:val="24"/>
              </w:rPr>
              <w:t>1.99</w:t>
            </w:r>
            <w:r w:rsidR="00563484" w:rsidRPr="00563484">
              <w:rPr>
                <w:rFonts w:asciiTheme="minorEastAsia" w:hAnsiTheme="minorEastAsia" w:hint="eastAsia"/>
                <w:sz w:val="24"/>
              </w:rPr>
              <w:t>%。</w:t>
            </w:r>
            <w:r w:rsidR="009E6786" w:rsidRPr="009E6786">
              <w:rPr>
                <w:rFonts w:asciiTheme="minorEastAsia" w:hAnsiTheme="minorEastAsia" w:hint="eastAsia"/>
                <w:sz w:val="24"/>
              </w:rPr>
              <w:t>产品销售层面，</w:t>
            </w:r>
            <w:r w:rsidR="00F61E0B" w:rsidRPr="00A67107">
              <w:rPr>
                <w:rFonts w:asciiTheme="minorEastAsia" w:hAnsiTheme="minorEastAsia" w:hint="eastAsia"/>
                <w:sz w:val="24"/>
              </w:rPr>
              <w:t>在复杂多变的市场环境下</w:t>
            </w:r>
            <w:r w:rsidR="00F61E0B">
              <w:rPr>
                <w:rFonts w:asciiTheme="minorEastAsia" w:hAnsiTheme="minorEastAsia" w:hint="eastAsia"/>
                <w:sz w:val="24"/>
              </w:rPr>
              <w:t>，</w:t>
            </w:r>
            <w:r w:rsidR="00563484">
              <w:rPr>
                <w:rFonts w:asciiTheme="minorEastAsia" w:hAnsiTheme="minorEastAsia" w:hint="eastAsia"/>
                <w:sz w:val="24"/>
              </w:rPr>
              <w:t>公司</w:t>
            </w:r>
            <w:r w:rsidR="00103B40">
              <w:rPr>
                <w:rFonts w:asciiTheme="minorEastAsia" w:hAnsiTheme="minorEastAsia" w:hint="eastAsia"/>
                <w:sz w:val="24"/>
              </w:rPr>
              <w:t>化学品</w:t>
            </w:r>
            <w:r w:rsidR="00563484">
              <w:rPr>
                <w:rFonts w:asciiTheme="minorEastAsia" w:hAnsiTheme="minorEastAsia" w:hint="eastAsia"/>
                <w:sz w:val="24"/>
              </w:rPr>
              <w:t>一季度销售数量实现</w:t>
            </w:r>
            <w:r w:rsidR="009E6786" w:rsidRPr="009E6786">
              <w:rPr>
                <w:rFonts w:asciiTheme="minorEastAsia" w:hAnsiTheme="minorEastAsia" w:hint="eastAsia"/>
                <w:sz w:val="24"/>
              </w:rPr>
              <w:t>增长</w:t>
            </w:r>
            <w:r w:rsidR="00103B40">
              <w:rPr>
                <w:rFonts w:asciiTheme="minorEastAsia" w:hAnsiTheme="minorEastAsia" w:hint="eastAsia"/>
                <w:sz w:val="24"/>
              </w:rPr>
              <w:t>，特别是</w:t>
            </w:r>
            <w:r w:rsidR="00563484">
              <w:rPr>
                <w:rFonts w:asciiTheme="minorEastAsia" w:hAnsiTheme="minorEastAsia" w:hint="eastAsia"/>
                <w:sz w:val="24"/>
              </w:rPr>
              <w:t>在</w:t>
            </w:r>
            <w:r w:rsidR="00DB3EE2">
              <w:rPr>
                <w:rFonts w:asciiTheme="minorEastAsia" w:hAnsiTheme="minorEastAsia" w:hint="eastAsia"/>
                <w:sz w:val="24"/>
              </w:rPr>
              <w:t>造纸应用市场方向</w:t>
            </w:r>
            <w:r w:rsidR="009E6786">
              <w:rPr>
                <w:rFonts w:asciiTheme="minorEastAsia" w:hAnsiTheme="minorEastAsia" w:hint="eastAsia"/>
                <w:sz w:val="24"/>
              </w:rPr>
              <w:t>上的</w:t>
            </w:r>
            <w:r w:rsidR="00DB3EE2">
              <w:rPr>
                <w:rFonts w:asciiTheme="minorEastAsia" w:hAnsiTheme="minorEastAsia" w:hint="eastAsia"/>
                <w:sz w:val="24"/>
              </w:rPr>
              <w:t>销售数量增长</w:t>
            </w:r>
            <w:r w:rsidR="00103B40">
              <w:rPr>
                <w:rFonts w:asciiTheme="minorEastAsia" w:hAnsiTheme="minorEastAsia" w:hint="eastAsia"/>
                <w:sz w:val="24"/>
              </w:rPr>
              <w:t>明显</w:t>
            </w:r>
            <w:r w:rsidR="00DB3EE2">
              <w:rPr>
                <w:rFonts w:asciiTheme="minorEastAsia" w:hAnsiTheme="minorEastAsia" w:hint="eastAsia"/>
                <w:sz w:val="24"/>
              </w:rPr>
              <w:t>。</w:t>
            </w:r>
          </w:p>
          <w:p w:rsidR="009D3F12" w:rsidRPr="00F94EBC" w:rsidRDefault="009D3F12" w:rsidP="005C4F16">
            <w:pPr>
              <w:spacing w:beforeLines="50" w:before="120"/>
              <w:ind w:firstLineChars="200" w:firstLine="480"/>
              <w:rPr>
                <w:rFonts w:asciiTheme="minorEastAsia" w:hAnsiTheme="minorEastAsia"/>
                <w:sz w:val="24"/>
              </w:rPr>
            </w:pPr>
          </w:p>
          <w:p w:rsidR="00F60D26" w:rsidRPr="00DF3A90" w:rsidRDefault="00BB6D2E" w:rsidP="001519B1">
            <w:pPr>
              <w:spacing w:beforeLines="50" w:before="120"/>
              <w:ind w:firstLineChars="200" w:firstLine="482"/>
              <w:rPr>
                <w:rFonts w:asciiTheme="minorEastAsia" w:hAnsiTheme="minorEastAsia"/>
                <w:b/>
                <w:sz w:val="24"/>
              </w:rPr>
            </w:pPr>
            <w:r>
              <w:rPr>
                <w:rFonts w:asciiTheme="minorEastAsia" w:hAnsiTheme="minorEastAsia" w:hint="eastAsia"/>
                <w:b/>
                <w:sz w:val="24"/>
              </w:rPr>
              <w:t>2</w:t>
            </w:r>
            <w:r w:rsidR="001D1DC1" w:rsidRPr="00DF3A90">
              <w:rPr>
                <w:rFonts w:asciiTheme="minorEastAsia" w:hAnsiTheme="minorEastAsia" w:hint="eastAsia"/>
                <w:b/>
                <w:sz w:val="24"/>
              </w:rPr>
              <w:t>、</w:t>
            </w:r>
            <w:r w:rsidR="00052733" w:rsidRPr="00DF3A90">
              <w:rPr>
                <w:rFonts w:asciiTheme="minorEastAsia" w:hAnsiTheme="minorEastAsia" w:hint="eastAsia"/>
                <w:b/>
                <w:sz w:val="24"/>
              </w:rPr>
              <w:t>问：</w:t>
            </w:r>
            <w:r w:rsidR="00DB3EE2">
              <w:rPr>
                <w:rFonts w:asciiTheme="minorEastAsia" w:hAnsiTheme="minorEastAsia" w:hint="eastAsia"/>
                <w:b/>
                <w:sz w:val="24"/>
              </w:rPr>
              <w:t>关注到近</w:t>
            </w:r>
            <w:r w:rsidR="0036460D">
              <w:rPr>
                <w:rFonts w:asciiTheme="minorEastAsia" w:hAnsiTheme="minorEastAsia" w:hint="eastAsia"/>
                <w:b/>
                <w:sz w:val="24"/>
              </w:rPr>
              <w:t>一段时间</w:t>
            </w:r>
            <w:r w:rsidR="009E6786">
              <w:rPr>
                <w:rFonts w:asciiTheme="minorEastAsia" w:hAnsiTheme="minorEastAsia" w:hint="eastAsia"/>
                <w:b/>
                <w:sz w:val="24"/>
              </w:rPr>
              <w:t>如丙烯腈</w:t>
            </w:r>
            <w:r w:rsidR="00A67107">
              <w:rPr>
                <w:rFonts w:asciiTheme="minorEastAsia" w:hAnsiTheme="minorEastAsia" w:hint="eastAsia"/>
                <w:b/>
                <w:sz w:val="24"/>
              </w:rPr>
              <w:t>等石化产品</w:t>
            </w:r>
            <w:r w:rsidR="00DB3EE2">
              <w:rPr>
                <w:rFonts w:asciiTheme="minorEastAsia" w:hAnsiTheme="minorEastAsia" w:hint="eastAsia"/>
                <w:b/>
                <w:sz w:val="24"/>
              </w:rPr>
              <w:t>价格有上涨趋势，请问</w:t>
            </w:r>
            <w:r w:rsidR="00DB3EE2" w:rsidRPr="00DB3EE2">
              <w:rPr>
                <w:rFonts w:asciiTheme="minorEastAsia" w:hAnsiTheme="minorEastAsia" w:hint="eastAsia"/>
                <w:b/>
                <w:sz w:val="24"/>
              </w:rPr>
              <w:t>原材料价格波动对公司业绩</w:t>
            </w:r>
            <w:r w:rsidR="00DB3EE2">
              <w:rPr>
                <w:rFonts w:asciiTheme="minorEastAsia" w:hAnsiTheme="minorEastAsia" w:hint="eastAsia"/>
                <w:b/>
                <w:sz w:val="24"/>
              </w:rPr>
              <w:t>的影响</w:t>
            </w:r>
            <w:r w:rsidR="00E43406" w:rsidRPr="00E43406">
              <w:rPr>
                <w:rFonts w:asciiTheme="minorEastAsia" w:hAnsiTheme="minorEastAsia" w:hint="eastAsia"/>
                <w:b/>
                <w:sz w:val="24"/>
              </w:rPr>
              <w:t>？</w:t>
            </w:r>
          </w:p>
          <w:p w:rsidR="00DB3EE2" w:rsidRPr="00590F0C" w:rsidRDefault="002849AE" w:rsidP="00DB3EE2">
            <w:pPr>
              <w:spacing w:beforeLines="50" w:before="120"/>
              <w:ind w:firstLineChars="200" w:firstLine="480"/>
              <w:rPr>
                <w:rFonts w:asciiTheme="minorEastAsia" w:hAnsiTheme="minorEastAsia"/>
                <w:sz w:val="24"/>
              </w:rPr>
            </w:pPr>
            <w:r>
              <w:rPr>
                <w:rFonts w:asciiTheme="minorEastAsia" w:hAnsiTheme="minorEastAsia" w:hint="eastAsia"/>
                <w:sz w:val="24"/>
              </w:rPr>
              <w:t>答：</w:t>
            </w:r>
            <w:r w:rsidR="00DB3EE2" w:rsidRPr="00DB3EE2">
              <w:rPr>
                <w:rFonts w:asciiTheme="minorEastAsia" w:hAnsiTheme="minorEastAsia" w:hint="eastAsia"/>
                <w:sz w:val="24"/>
              </w:rPr>
              <w:t>原材料价格波动对公司业绩有一定影响。</w:t>
            </w:r>
            <w:r w:rsidR="009E6786" w:rsidRPr="009E6786">
              <w:rPr>
                <w:rFonts w:asciiTheme="minorEastAsia" w:hAnsiTheme="minorEastAsia" w:hint="eastAsia"/>
                <w:sz w:val="24"/>
              </w:rPr>
              <w:t>公司所需</w:t>
            </w:r>
            <w:r w:rsidR="009E6786" w:rsidRPr="009E6786">
              <w:rPr>
                <w:rFonts w:asciiTheme="minorEastAsia" w:hAnsiTheme="minorEastAsia" w:hint="eastAsia"/>
                <w:sz w:val="24"/>
              </w:rPr>
              <w:lastRenderedPageBreak/>
              <w:t>的主要原材料包括丙烯腈、氯丙烯、DAC等，它们都是石油衍生品，与原油价格密切相关。同时，公司针对不同产品系列采用不同的定价模式，例如单体产品更趋向于随行就市的定价，而水溶性高分子则根据不同应用领域采用不同的定价策略。短期内，由于与上游供应环节的关联，公司产品销售和利润可能会出现一定波动。然而，公司与部分终端客户签订了为期半年或一年期的订单合同，价格传导具有一定的滞后性，</w:t>
            </w:r>
            <w:r w:rsidR="00103B40">
              <w:rPr>
                <w:rFonts w:asciiTheme="minorEastAsia" w:hAnsiTheme="minorEastAsia" w:hint="eastAsia"/>
                <w:sz w:val="24"/>
              </w:rPr>
              <w:t>从一段时期</w:t>
            </w:r>
            <w:r w:rsidR="009E6786" w:rsidRPr="009E6786">
              <w:rPr>
                <w:rFonts w:asciiTheme="minorEastAsia" w:hAnsiTheme="minorEastAsia" w:hint="eastAsia"/>
                <w:sz w:val="24"/>
              </w:rPr>
              <w:t>综合来看，不会产生非常大的影响。</w:t>
            </w:r>
            <w:r w:rsidR="00DB3EE2" w:rsidRPr="00590F0C">
              <w:rPr>
                <w:rFonts w:asciiTheme="minorEastAsia" w:hAnsiTheme="minorEastAsia"/>
                <w:sz w:val="24"/>
              </w:rPr>
              <w:t xml:space="preserve"> </w:t>
            </w:r>
          </w:p>
          <w:p w:rsidR="0015425A" w:rsidRDefault="0015425A" w:rsidP="009B604B">
            <w:pPr>
              <w:spacing w:beforeLines="50" w:before="120"/>
              <w:rPr>
                <w:rFonts w:asciiTheme="minorEastAsia" w:hAnsiTheme="minorEastAsia"/>
                <w:b/>
                <w:sz w:val="24"/>
              </w:rPr>
            </w:pPr>
          </w:p>
          <w:p w:rsidR="007F0D43" w:rsidRPr="00C30E31" w:rsidRDefault="00BB6D2E" w:rsidP="00C30E31">
            <w:pPr>
              <w:spacing w:beforeLines="50" w:before="120"/>
              <w:ind w:firstLineChars="200" w:firstLine="482"/>
              <w:rPr>
                <w:rFonts w:asciiTheme="minorEastAsia" w:hAnsiTheme="minorEastAsia"/>
                <w:sz w:val="24"/>
              </w:rPr>
            </w:pPr>
            <w:r>
              <w:rPr>
                <w:rFonts w:asciiTheme="minorEastAsia" w:hAnsiTheme="minorEastAsia" w:hint="eastAsia"/>
                <w:b/>
                <w:sz w:val="24"/>
              </w:rPr>
              <w:t>3</w:t>
            </w:r>
            <w:r w:rsidR="007F0D43" w:rsidRPr="00DF3A90">
              <w:rPr>
                <w:rFonts w:asciiTheme="minorEastAsia" w:hAnsiTheme="minorEastAsia" w:hint="eastAsia"/>
                <w:b/>
                <w:sz w:val="24"/>
              </w:rPr>
              <w:t>、问：</w:t>
            </w:r>
            <w:r w:rsidR="00A67107">
              <w:rPr>
                <w:rFonts w:asciiTheme="minorEastAsia" w:hAnsiTheme="minorEastAsia" w:hint="eastAsia"/>
                <w:b/>
                <w:sz w:val="24"/>
              </w:rPr>
              <w:t>一季度，</w:t>
            </w:r>
            <w:r w:rsidR="00BE6159">
              <w:rPr>
                <w:rFonts w:asciiTheme="minorEastAsia" w:hAnsiTheme="minorEastAsia" w:hint="eastAsia"/>
                <w:b/>
                <w:sz w:val="24"/>
              </w:rPr>
              <w:t>各个下游领域的销售占比情况？</w:t>
            </w:r>
          </w:p>
          <w:p w:rsidR="000A398F" w:rsidRPr="00BE6159" w:rsidRDefault="00462C0C" w:rsidP="00BE6159">
            <w:pPr>
              <w:spacing w:beforeLines="50" w:before="120"/>
              <w:ind w:firstLineChars="200" w:firstLine="480"/>
              <w:rPr>
                <w:rFonts w:asciiTheme="minorEastAsia" w:hAnsiTheme="minorEastAsia"/>
                <w:sz w:val="24"/>
              </w:rPr>
            </w:pPr>
            <w:r>
              <w:rPr>
                <w:rFonts w:asciiTheme="minorEastAsia" w:hAnsiTheme="minorEastAsia" w:hint="eastAsia"/>
                <w:sz w:val="24"/>
              </w:rPr>
              <w:t>答：</w:t>
            </w:r>
            <w:r w:rsidR="009A715B" w:rsidRPr="009A715B">
              <w:rPr>
                <w:rFonts w:asciiTheme="minorEastAsia" w:hAnsiTheme="minorEastAsia" w:hint="eastAsia"/>
                <w:sz w:val="24"/>
              </w:rPr>
              <w:t>公司秉承“以绿色科技、护生命之源”的企业使命，为制浆造纸、水处理、矿物加工、油气开采和纺织印染等国内外水基工业用户提供水溶性高分子、功能性单体、膜分离产品及应用服务，为水基工业绿色发展和水生态保护创造核心价值。</w:t>
            </w:r>
            <w:r w:rsidR="00E53B9B" w:rsidRPr="00E53B9B">
              <w:rPr>
                <w:rFonts w:asciiTheme="minorEastAsia" w:hAnsiTheme="minorEastAsia" w:hint="eastAsia"/>
                <w:sz w:val="24"/>
              </w:rPr>
              <w:t>一季度，下游销售占比</w:t>
            </w:r>
            <w:r w:rsidR="00E53B9B">
              <w:rPr>
                <w:rFonts w:asciiTheme="minorEastAsia" w:hAnsiTheme="minorEastAsia" w:hint="eastAsia"/>
                <w:sz w:val="24"/>
              </w:rPr>
              <w:t>制浆</w:t>
            </w:r>
            <w:r w:rsidR="00E53B9B" w:rsidRPr="00E53B9B">
              <w:rPr>
                <w:rFonts w:asciiTheme="minorEastAsia" w:hAnsiTheme="minorEastAsia" w:hint="eastAsia"/>
                <w:sz w:val="24"/>
              </w:rPr>
              <w:t>造纸</w:t>
            </w:r>
            <w:r w:rsidR="00103B40">
              <w:rPr>
                <w:rFonts w:asciiTheme="minorEastAsia" w:hAnsiTheme="minorEastAsia" w:hint="eastAsia"/>
                <w:sz w:val="24"/>
              </w:rPr>
              <w:t>约45</w:t>
            </w:r>
            <w:r w:rsidR="00E53B9B" w:rsidRPr="00E53B9B">
              <w:rPr>
                <w:rFonts w:asciiTheme="minorEastAsia" w:hAnsiTheme="minorEastAsia" w:hint="eastAsia"/>
                <w:sz w:val="24"/>
              </w:rPr>
              <w:t>%，水处理</w:t>
            </w:r>
            <w:r w:rsidR="00103B40">
              <w:rPr>
                <w:rFonts w:asciiTheme="minorEastAsia" w:hAnsiTheme="minorEastAsia" w:hint="eastAsia"/>
                <w:sz w:val="24"/>
              </w:rPr>
              <w:t>约</w:t>
            </w:r>
            <w:r w:rsidR="00E53B9B" w:rsidRPr="00E53B9B">
              <w:rPr>
                <w:rFonts w:asciiTheme="minorEastAsia" w:hAnsiTheme="minorEastAsia" w:hint="eastAsia"/>
                <w:sz w:val="24"/>
              </w:rPr>
              <w:t>3</w:t>
            </w:r>
            <w:r w:rsidR="00103B40">
              <w:rPr>
                <w:rFonts w:asciiTheme="minorEastAsia" w:hAnsiTheme="minorEastAsia" w:hint="eastAsia"/>
                <w:sz w:val="24"/>
              </w:rPr>
              <w:t>4</w:t>
            </w:r>
            <w:r w:rsidR="00E53B9B" w:rsidRPr="00E53B9B">
              <w:rPr>
                <w:rFonts w:asciiTheme="minorEastAsia" w:hAnsiTheme="minorEastAsia" w:hint="eastAsia"/>
                <w:sz w:val="24"/>
              </w:rPr>
              <w:t>%，</w:t>
            </w:r>
            <w:r w:rsidR="00103B40">
              <w:rPr>
                <w:rFonts w:asciiTheme="minorEastAsia" w:hAnsiTheme="minorEastAsia" w:hint="eastAsia"/>
                <w:sz w:val="24"/>
              </w:rPr>
              <w:t>其他为</w:t>
            </w:r>
            <w:r w:rsidR="00E53B9B">
              <w:rPr>
                <w:rFonts w:asciiTheme="minorEastAsia" w:hAnsiTheme="minorEastAsia" w:hint="eastAsia"/>
                <w:sz w:val="24"/>
              </w:rPr>
              <w:t>纺织印染</w:t>
            </w:r>
            <w:r w:rsidR="00103B40">
              <w:rPr>
                <w:rFonts w:asciiTheme="minorEastAsia" w:hAnsiTheme="minorEastAsia" w:hint="eastAsia"/>
                <w:sz w:val="24"/>
              </w:rPr>
              <w:t>、</w:t>
            </w:r>
            <w:r w:rsidR="00E53B9B" w:rsidRPr="00E53B9B">
              <w:rPr>
                <w:rFonts w:asciiTheme="minorEastAsia" w:hAnsiTheme="minorEastAsia" w:hint="eastAsia"/>
                <w:sz w:val="24"/>
              </w:rPr>
              <w:t>矿物加工</w:t>
            </w:r>
            <w:r w:rsidR="00103B40">
              <w:rPr>
                <w:rFonts w:asciiTheme="minorEastAsia" w:hAnsiTheme="minorEastAsia" w:hint="eastAsia"/>
                <w:sz w:val="24"/>
              </w:rPr>
              <w:t>和</w:t>
            </w:r>
            <w:r w:rsidR="00E53B9B" w:rsidRPr="00E53B9B">
              <w:rPr>
                <w:rFonts w:asciiTheme="minorEastAsia" w:hAnsiTheme="minorEastAsia" w:hint="eastAsia"/>
                <w:sz w:val="24"/>
              </w:rPr>
              <w:t>油气开采</w:t>
            </w:r>
            <w:r w:rsidR="00103B40">
              <w:rPr>
                <w:rFonts w:asciiTheme="minorEastAsia" w:hAnsiTheme="minorEastAsia" w:hint="eastAsia"/>
                <w:sz w:val="24"/>
              </w:rPr>
              <w:t>应用领域</w:t>
            </w:r>
            <w:r w:rsidR="00E53B9B" w:rsidRPr="00E53B9B">
              <w:rPr>
                <w:rFonts w:asciiTheme="minorEastAsia" w:hAnsiTheme="minorEastAsia" w:hint="eastAsia"/>
                <w:sz w:val="24"/>
              </w:rPr>
              <w:t>。</w:t>
            </w:r>
          </w:p>
          <w:p w:rsidR="00641E01" w:rsidRPr="00974346" w:rsidRDefault="00641E01" w:rsidP="00DF3A15">
            <w:pPr>
              <w:spacing w:beforeLines="50" w:before="120"/>
              <w:ind w:firstLineChars="200" w:firstLine="480"/>
              <w:rPr>
                <w:rFonts w:asciiTheme="minorEastAsia" w:hAnsiTheme="minorEastAsia"/>
                <w:sz w:val="24"/>
              </w:rPr>
            </w:pPr>
          </w:p>
          <w:p w:rsidR="005C4F16" w:rsidRPr="005C4F16" w:rsidRDefault="00BB6D2E" w:rsidP="005C4F16">
            <w:pPr>
              <w:spacing w:beforeLines="50" w:before="120"/>
              <w:ind w:firstLineChars="200" w:firstLine="482"/>
              <w:rPr>
                <w:rFonts w:asciiTheme="minorEastAsia" w:hAnsiTheme="minorEastAsia"/>
                <w:sz w:val="24"/>
              </w:rPr>
            </w:pPr>
            <w:r>
              <w:rPr>
                <w:rFonts w:asciiTheme="minorEastAsia" w:hAnsiTheme="minorEastAsia" w:hint="eastAsia"/>
                <w:b/>
                <w:sz w:val="24"/>
              </w:rPr>
              <w:t>4</w:t>
            </w:r>
            <w:r w:rsidR="00580611">
              <w:rPr>
                <w:rFonts w:asciiTheme="minorEastAsia" w:hAnsiTheme="minorEastAsia" w:hint="eastAsia"/>
                <w:b/>
                <w:sz w:val="24"/>
              </w:rPr>
              <w:t>、</w:t>
            </w:r>
            <w:r w:rsidR="005C4F16" w:rsidRPr="00DF3A90">
              <w:rPr>
                <w:rFonts w:asciiTheme="minorEastAsia" w:hAnsiTheme="minorEastAsia"/>
                <w:b/>
                <w:sz w:val="24"/>
              </w:rPr>
              <w:t>问：</w:t>
            </w:r>
            <w:r w:rsidR="00E53B9B">
              <w:rPr>
                <w:rFonts w:asciiTheme="minorEastAsia" w:hAnsiTheme="minorEastAsia"/>
                <w:b/>
                <w:sz w:val="24"/>
              </w:rPr>
              <w:t>在不同下游领域，对</w:t>
            </w:r>
            <w:r w:rsidR="00DE5A93">
              <w:rPr>
                <w:rFonts w:asciiTheme="minorEastAsia" w:hAnsiTheme="minorEastAsia"/>
                <w:b/>
                <w:sz w:val="24"/>
              </w:rPr>
              <w:t>公司</w:t>
            </w:r>
            <w:r w:rsidR="00BE6159">
              <w:rPr>
                <w:rFonts w:asciiTheme="minorEastAsia" w:hAnsiTheme="minorEastAsia" w:hint="eastAsia"/>
                <w:b/>
                <w:sz w:val="24"/>
              </w:rPr>
              <w:t>产品的需求</w:t>
            </w:r>
            <w:r w:rsidR="00E53B9B">
              <w:rPr>
                <w:rFonts w:asciiTheme="minorEastAsia" w:hAnsiTheme="minorEastAsia" w:hint="eastAsia"/>
                <w:b/>
                <w:sz w:val="24"/>
              </w:rPr>
              <w:t>主要与什么有关</w:t>
            </w:r>
            <w:r w:rsidR="005C4F16">
              <w:rPr>
                <w:rFonts w:asciiTheme="minorEastAsia" w:hAnsiTheme="minorEastAsia"/>
                <w:b/>
                <w:sz w:val="24"/>
              </w:rPr>
              <w:t>？</w:t>
            </w:r>
          </w:p>
          <w:p w:rsidR="005C4F16" w:rsidRDefault="005C4F16" w:rsidP="005C4F16">
            <w:pPr>
              <w:spacing w:beforeLines="50" w:before="120"/>
              <w:ind w:firstLineChars="200" w:firstLine="480"/>
              <w:rPr>
                <w:rFonts w:asciiTheme="minorEastAsia" w:hAnsiTheme="minorEastAsia"/>
                <w:sz w:val="24"/>
              </w:rPr>
            </w:pPr>
            <w:r w:rsidRPr="00830231">
              <w:rPr>
                <w:rFonts w:asciiTheme="minorEastAsia" w:hAnsiTheme="minorEastAsia" w:hint="eastAsia"/>
                <w:sz w:val="24"/>
              </w:rPr>
              <w:t>答：</w:t>
            </w:r>
            <w:r w:rsidR="004E494C" w:rsidRPr="004E494C">
              <w:rPr>
                <w:rFonts w:asciiTheme="minorEastAsia" w:hAnsiTheme="minorEastAsia" w:hint="eastAsia"/>
                <w:sz w:val="24"/>
              </w:rPr>
              <w:t>公司产品的需求在不同下游领域中的体现是多元化的，这主要与各行业的生产工艺特性、市场需求以及行业发展趋势紧密相关。以制浆造纸行业为例，公司提供</w:t>
            </w:r>
            <w:proofErr w:type="gramStart"/>
            <w:r w:rsidR="004E494C" w:rsidRPr="004E494C">
              <w:rPr>
                <w:rFonts w:asciiTheme="minorEastAsia" w:hAnsiTheme="minorEastAsia" w:hint="eastAsia"/>
                <w:sz w:val="24"/>
              </w:rPr>
              <w:t>的助留助滤剂</w:t>
            </w:r>
            <w:proofErr w:type="gramEnd"/>
            <w:r w:rsidR="004E494C" w:rsidRPr="004E494C">
              <w:rPr>
                <w:rFonts w:asciiTheme="minorEastAsia" w:hAnsiTheme="minorEastAsia" w:hint="eastAsia"/>
                <w:sz w:val="24"/>
              </w:rPr>
              <w:t>产品作为造纸生产的关键过程型化学品，其需求量不仅取决于产品的性能是否满足生产要求，更与纸机机台开工率直接挂钩。纸机机</w:t>
            </w:r>
            <w:r w:rsidR="004E494C">
              <w:rPr>
                <w:rFonts w:asciiTheme="minorEastAsia" w:hAnsiTheme="minorEastAsia" w:hint="eastAsia"/>
                <w:sz w:val="24"/>
              </w:rPr>
              <w:t>台的高开工率意味着生产节奏的加快，</w:t>
            </w:r>
            <w:proofErr w:type="gramStart"/>
            <w:r w:rsidR="004E494C">
              <w:rPr>
                <w:rFonts w:asciiTheme="minorEastAsia" w:hAnsiTheme="minorEastAsia" w:hint="eastAsia"/>
                <w:sz w:val="24"/>
              </w:rPr>
              <w:t>对助留助滤剂</w:t>
            </w:r>
            <w:proofErr w:type="gramEnd"/>
            <w:r w:rsidR="004E494C">
              <w:rPr>
                <w:rFonts w:asciiTheme="minorEastAsia" w:hAnsiTheme="minorEastAsia" w:hint="eastAsia"/>
                <w:sz w:val="24"/>
              </w:rPr>
              <w:t>的需求也随之增加，</w:t>
            </w:r>
            <w:r w:rsidR="004E494C" w:rsidRPr="004E494C">
              <w:rPr>
                <w:rFonts w:asciiTheme="minorEastAsia" w:hAnsiTheme="minorEastAsia" w:hint="eastAsia"/>
                <w:sz w:val="24"/>
              </w:rPr>
              <w:t>生产过程的稳定性</w:t>
            </w:r>
            <w:r w:rsidR="004E494C">
              <w:rPr>
                <w:rFonts w:asciiTheme="minorEastAsia" w:hAnsiTheme="minorEastAsia" w:hint="eastAsia"/>
                <w:sz w:val="24"/>
              </w:rPr>
              <w:t>也是其重要考察指标；</w:t>
            </w:r>
            <w:r w:rsidR="004E494C" w:rsidRPr="004E494C">
              <w:rPr>
                <w:rFonts w:asciiTheme="minorEastAsia" w:hAnsiTheme="minorEastAsia" w:hint="eastAsia"/>
                <w:sz w:val="24"/>
              </w:rPr>
              <w:t>在矿物加工领域，情况则有所不同。该行业对产品的需求主要集中在产品应用后是否能显著提升加工效率、降低能耗和成本等方面。因此，</w:t>
            </w:r>
            <w:r w:rsidR="008037B1">
              <w:rPr>
                <w:rFonts w:asciiTheme="minorEastAsia" w:hAnsiTheme="minorEastAsia" w:hint="eastAsia"/>
                <w:sz w:val="24"/>
              </w:rPr>
              <w:t>节能、</w:t>
            </w:r>
            <w:bookmarkStart w:id="0" w:name="_GoBack"/>
            <w:proofErr w:type="gramStart"/>
            <w:r w:rsidR="008037B1">
              <w:rPr>
                <w:rFonts w:asciiTheme="minorEastAsia" w:hAnsiTheme="minorEastAsia" w:hint="eastAsia"/>
                <w:sz w:val="24"/>
              </w:rPr>
              <w:t>环保</w:t>
            </w:r>
            <w:bookmarkEnd w:id="0"/>
            <w:r w:rsidR="008037B1" w:rsidRPr="008037B1">
              <w:rPr>
                <w:rFonts w:asciiTheme="minorEastAsia" w:hAnsiTheme="minorEastAsia" w:hint="eastAsia"/>
                <w:sz w:val="24"/>
              </w:rPr>
              <w:t>且</w:t>
            </w:r>
            <w:proofErr w:type="gramEnd"/>
            <w:r w:rsidR="008037B1" w:rsidRPr="008037B1">
              <w:rPr>
                <w:rFonts w:asciiTheme="minorEastAsia" w:hAnsiTheme="minorEastAsia" w:hint="eastAsia"/>
                <w:sz w:val="24"/>
              </w:rPr>
              <w:t>成本效益高</w:t>
            </w:r>
            <w:r w:rsidR="008037B1">
              <w:rPr>
                <w:rFonts w:asciiTheme="minorEastAsia" w:hAnsiTheme="minorEastAsia" w:hint="eastAsia"/>
                <w:sz w:val="24"/>
              </w:rPr>
              <w:t>的综合解决方案</w:t>
            </w:r>
            <w:r w:rsidR="008037B1" w:rsidRPr="008037B1">
              <w:rPr>
                <w:rFonts w:asciiTheme="minorEastAsia" w:hAnsiTheme="minorEastAsia" w:hint="eastAsia"/>
                <w:sz w:val="24"/>
              </w:rPr>
              <w:t>更受该市场的青睐</w:t>
            </w:r>
            <w:r w:rsidR="008037B1">
              <w:rPr>
                <w:rFonts w:asciiTheme="minorEastAsia" w:hAnsiTheme="minorEastAsia" w:hint="eastAsia"/>
                <w:sz w:val="24"/>
              </w:rPr>
              <w:t>；</w:t>
            </w:r>
            <w:r w:rsidR="008037B1" w:rsidRPr="008037B1">
              <w:rPr>
                <w:rFonts w:asciiTheme="minorEastAsia" w:hAnsiTheme="minorEastAsia" w:hint="eastAsia"/>
                <w:sz w:val="24"/>
              </w:rPr>
              <w:t>而在纺织印染领域，公司产品的需求则更多与产品的环保性、色牢度和手感等品质指标相关</w:t>
            </w:r>
            <w:r w:rsidR="008037B1">
              <w:rPr>
                <w:rFonts w:asciiTheme="minorEastAsia" w:hAnsiTheme="minorEastAsia" w:hint="eastAsia"/>
                <w:sz w:val="24"/>
              </w:rPr>
              <w:t>，产品</w:t>
            </w:r>
            <w:proofErr w:type="gramStart"/>
            <w:r w:rsidR="008037B1">
              <w:rPr>
                <w:rFonts w:asciiTheme="minorEastAsia" w:hAnsiTheme="minorEastAsia" w:hint="eastAsia"/>
                <w:sz w:val="24"/>
              </w:rPr>
              <w:t>的残单情况</w:t>
            </w:r>
            <w:proofErr w:type="gramEnd"/>
            <w:r w:rsidR="0036460D">
              <w:rPr>
                <w:rFonts w:asciiTheme="minorEastAsia" w:hAnsiTheme="minorEastAsia" w:hint="eastAsia"/>
                <w:sz w:val="24"/>
              </w:rPr>
              <w:t>、可降解情况等也是</w:t>
            </w:r>
            <w:r w:rsidR="0036460D" w:rsidRPr="0036460D">
              <w:rPr>
                <w:rFonts w:asciiTheme="minorEastAsia" w:hAnsiTheme="minorEastAsia" w:hint="eastAsia"/>
                <w:sz w:val="24"/>
              </w:rPr>
              <w:t>该行业在评估产品需求时的</w:t>
            </w:r>
            <w:proofErr w:type="gramStart"/>
            <w:r w:rsidR="0036460D" w:rsidRPr="0036460D">
              <w:rPr>
                <w:rFonts w:asciiTheme="minorEastAsia" w:hAnsiTheme="minorEastAsia" w:hint="eastAsia"/>
                <w:sz w:val="24"/>
              </w:rPr>
              <w:t>重要关注</w:t>
            </w:r>
            <w:proofErr w:type="gramEnd"/>
            <w:r w:rsidR="0036460D" w:rsidRPr="0036460D">
              <w:rPr>
                <w:rFonts w:asciiTheme="minorEastAsia" w:hAnsiTheme="minorEastAsia" w:hint="eastAsia"/>
                <w:sz w:val="24"/>
              </w:rPr>
              <w:t>点</w:t>
            </w:r>
            <w:r w:rsidR="008037B1">
              <w:rPr>
                <w:rFonts w:asciiTheme="minorEastAsia" w:hAnsiTheme="minorEastAsia" w:hint="eastAsia"/>
                <w:sz w:val="24"/>
              </w:rPr>
              <w:t>。</w:t>
            </w:r>
          </w:p>
          <w:p w:rsidR="005C4F16" w:rsidRDefault="005C4F16" w:rsidP="005C4F16">
            <w:pPr>
              <w:spacing w:beforeLines="50" w:before="120"/>
              <w:ind w:firstLineChars="200" w:firstLine="482"/>
              <w:rPr>
                <w:rFonts w:asciiTheme="minorEastAsia" w:hAnsiTheme="minorEastAsia"/>
                <w:b/>
                <w:sz w:val="24"/>
              </w:rPr>
            </w:pPr>
          </w:p>
          <w:p w:rsidR="00125380" w:rsidRPr="001519B1" w:rsidRDefault="00BB6D2E" w:rsidP="00125380">
            <w:pPr>
              <w:spacing w:beforeLines="50" w:before="120"/>
              <w:ind w:firstLineChars="200" w:firstLine="482"/>
              <w:rPr>
                <w:rFonts w:asciiTheme="minorEastAsia" w:hAnsiTheme="minorEastAsia"/>
                <w:b/>
                <w:sz w:val="24"/>
              </w:rPr>
            </w:pPr>
            <w:r>
              <w:rPr>
                <w:rFonts w:asciiTheme="minorEastAsia" w:hAnsiTheme="minorEastAsia" w:hint="eastAsia"/>
                <w:b/>
                <w:sz w:val="24"/>
              </w:rPr>
              <w:t>5</w:t>
            </w:r>
            <w:r w:rsidR="00DF3A90">
              <w:rPr>
                <w:rFonts w:asciiTheme="minorEastAsia" w:hAnsiTheme="minorEastAsia"/>
                <w:b/>
                <w:sz w:val="24"/>
              </w:rPr>
              <w:t>、</w:t>
            </w:r>
            <w:r w:rsidR="00125380" w:rsidRPr="001519B1">
              <w:rPr>
                <w:rFonts w:asciiTheme="minorEastAsia" w:hAnsiTheme="minorEastAsia" w:hint="eastAsia"/>
                <w:b/>
                <w:sz w:val="24"/>
              </w:rPr>
              <w:t>问：</w:t>
            </w:r>
            <w:r w:rsidR="00125380" w:rsidRPr="0036460D">
              <w:rPr>
                <w:rFonts w:asciiTheme="minorEastAsia" w:hAnsiTheme="minorEastAsia" w:hint="eastAsia"/>
                <w:b/>
                <w:sz w:val="24"/>
              </w:rPr>
              <w:t>公司发行4.5亿元可转债尚未转</w:t>
            </w:r>
            <w:r w:rsidR="00125380">
              <w:rPr>
                <w:rFonts w:asciiTheme="minorEastAsia" w:hAnsiTheme="minorEastAsia" w:hint="eastAsia"/>
                <w:b/>
                <w:sz w:val="24"/>
              </w:rPr>
              <w:t>股，下一步将如何推动转股？目前溢价率较高，在何种情况下考虑下修</w:t>
            </w:r>
            <w:r w:rsidR="00125380" w:rsidRPr="001519B1">
              <w:rPr>
                <w:rFonts w:asciiTheme="minorEastAsia" w:hAnsiTheme="minorEastAsia" w:hint="eastAsia"/>
                <w:b/>
                <w:sz w:val="24"/>
              </w:rPr>
              <w:t>？</w:t>
            </w:r>
          </w:p>
          <w:p w:rsidR="00125380" w:rsidRDefault="00125380" w:rsidP="00F61E0B">
            <w:pPr>
              <w:spacing w:beforeLines="50" w:before="120"/>
              <w:ind w:firstLineChars="200" w:firstLine="480"/>
              <w:rPr>
                <w:rFonts w:asciiTheme="minorEastAsia" w:hAnsiTheme="minorEastAsia"/>
                <w:sz w:val="24"/>
              </w:rPr>
            </w:pPr>
            <w:r w:rsidRPr="00830231">
              <w:rPr>
                <w:rFonts w:asciiTheme="minorEastAsia" w:hAnsiTheme="minorEastAsia" w:hint="eastAsia"/>
                <w:sz w:val="24"/>
              </w:rPr>
              <w:t>答：</w:t>
            </w:r>
            <w:r w:rsidRPr="0036460D">
              <w:rPr>
                <w:rFonts w:asciiTheme="minorEastAsia" w:hAnsiTheme="minorEastAsia" w:hint="eastAsia"/>
                <w:sz w:val="24"/>
              </w:rPr>
              <w:t>鉴于“富淼转债”发行上市时间较短，距离6年的存续届满期尚远，近期公司股价受到宏观经济、行业变化、市场调整等诸多因素的影响出现了较大波动。公司董事会和管理层从公平对待所有投资者的角度出发，综合考虑公司的基本情况、股价走势、市场环境等多重因素，以及对公司长期稳健发展与内在价值的信心，为维护全体投资者利益，决定暂不向下修正“富淼转债”转股价格。</w:t>
            </w:r>
            <w:r w:rsidRPr="009029BE">
              <w:rPr>
                <w:rFonts w:asciiTheme="minorEastAsia" w:hAnsiTheme="minorEastAsia" w:hint="eastAsia"/>
                <w:sz w:val="24"/>
              </w:rPr>
              <w:t>同时在未来六个月内（</w:t>
            </w:r>
            <w:r>
              <w:rPr>
                <w:rFonts w:asciiTheme="minorEastAsia" w:hAnsiTheme="minorEastAsia" w:hint="eastAsia"/>
                <w:sz w:val="24"/>
              </w:rPr>
              <w:t>即</w:t>
            </w:r>
            <w:r w:rsidRPr="0036460D">
              <w:rPr>
                <w:rFonts w:asciiTheme="minorEastAsia" w:hAnsiTheme="minorEastAsia" w:hint="eastAsia"/>
                <w:sz w:val="24"/>
              </w:rPr>
              <w:t>2024年5月9日至2024年11月8</w:t>
            </w:r>
            <w:r>
              <w:rPr>
                <w:rFonts w:asciiTheme="minorEastAsia" w:hAnsiTheme="minorEastAsia" w:hint="eastAsia"/>
                <w:sz w:val="24"/>
              </w:rPr>
              <w:t>日期间</w:t>
            </w:r>
            <w:r w:rsidRPr="009029BE">
              <w:rPr>
                <w:rFonts w:asciiTheme="minorEastAsia" w:hAnsiTheme="minorEastAsia" w:hint="eastAsia"/>
                <w:sz w:val="24"/>
              </w:rPr>
              <w:t>），如再次触发“富淼转债”转股价格向下修正条款，亦不提出向下修正方案。下一触发转股价格修正条件的期间，将在2024年</w:t>
            </w:r>
            <w:r>
              <w:rPr>
                <w:rFonts w:asciiTheme="minorEastAsia" w:hAnsiTheme="minorEastAsia" w:hint="eastAsia"/>
                <w:sz w:val="24"/>
              </w:rPr>
              <w:t>11</w:t>
            </w:r>
            <w:r w:rsidRPr="009029BE">
              <w:rPr>
                <w:rFonts w:asciiTheme="minorEastAsia" w:hAnsiTheme="minorEastAsia" w:hint="eastAsia"/>
                <w:sz w:val="24"/>
              </w:rPr>
              <w:t>月</w:t>
            </w:r>
            <w:r>
              <w:rPr>
                <w:rFonts w:asciiTheme="minorEastAsia" w:hAnsiTheme="minorEastAsia" w:hint="eastAsia"/>
                <w:sz w:val="24"/>
              </w:rPr>
              <w:t>11</w:t>
            </w:r>
            <w:r w:rsidRPr="009029BE">
              <w:rPr>
                <w:rFonts w:asciiTheme="minorEastAsia" w:hAnsiTheme="minorEastAsia" w:hint="eastAsia"/>
                <w:sz w:val="24"/>
              </w:rPr>
              <w:t>日开始重新计算。在此期间，</w:t>
            </w:r>
            <w:r>
              <w:rPr>
                <w:rFonts w:asciiTheme="minorEastAsia" w:hAnsiTheme="minorEastAsia" w:hint="eastAsia"/>
                <w:sz w:val="24"/>
              </w:rPr>
              <w:t>我们</w:t>
            </w:r>
            <w:r w:rsidRPr="009029BE">
              <w:rPr>
                <w:rFonts w:asciiTheme="minorEastAsia" w:hAnsiTheme="minorEastAsia" w:hint="eastAsia"/>
                <w:sz w:val="24"/>
              </w:rPr>
              <w:t>将密切关注市场动态，若市场条件再次触发“富淼转债”转股价格的向下修正条件，届时公司董事会将再次召集会议，根据市场情况、公司实际经营状况及维护公司和投资者的共同利益，审慎决策是否行使“富淼转债”的转股价格向下修正权利。</w:t>
            </w:r>
          </w:p>
          <w:p w:rsidR="009E2753" w:rsidRDefault="00125380" w:rsidP="00125380">
            <w:pPr>
              <w:spacing w:beforeLines="50" w:before="120"/>
              <w:ind w:firstLineChars="200" w:firstLine="482"/>
              <w:rPr>
                <w:rFonts w:asciiTheme="minorEastAsia" w:hAnsiTheme="minorEastAsia"/>
                <w:b/>
                <w:sz w:val="24"/>
              </w:rPr>
            </w:pPr>
            <w:r w:rsidRPr="00125380">
              <w:rPr>
                <w:rFonts w:asciiTheme="minorEastAsia" w:hAnsiTheme="minorEastAsia" w:hint="eastAsia"/>
                <w:b/>
                <w:sz w:val="24"/>
              </w:rPr>
              <w:t>6、</w:t>
            </w:r>
            <w:r w:rsidR="00DF3A90">
              <w:rPr>
                <w:rFonts w:asciiTheme="minorEastAsia" w:hAnsiTheme="minorEastAsia"/>
                <w:b/>
                <w:sz w:val="24"/>
              </w:rPr>
              <w:t>问：</w:t>
            </w:r>
            <w:r w:rsidR="00BB6D2E">
              <w:rPr>
                <w:rFonts w:asciiTheme="minorEastAsia" w:hAnsiTheme="minorEastAsia" w:hint="eastAsia"/>
                <w:b/>
                <w:sz w:val="24"/>
              </w:rPr>
              <w:t>公司</w:t>
            </w:r>
            <w:proofErr w:type="gramStart"/>
            <w:r w:rsidR="00BB6D2E">
              <w:rPr>
                <w:rFonts w:asciiTheme="minorEastAsia" w:hAnsiTheme="minorEastAsia" w:hint="eastAsia"/>
                <w:b/>
                <w:sz w:val="24"/>
              </w:rPr>
              <w:t>募投项目</w:t>
            </w:r>
            <w:proofErr w:type="gramEnd"/>
            <w:r w:rsidR="00BB6D2E">
              <w:rPr>
                <w:rFonts w:asciiTheme="minorEastAsia" w:hAnsiTheme="minorEastAsia" w:hint="eastAsia"/>
                <w:b/>
                <w:sz w:val="24"/>
              </w:rPr>
              <w:t>目前进展如何</w:t>
            </w:r>
            <w:r w:rsidR="00132C23" w:rsidRPr="00132C23">
              <w:rPr>
                <w:rFonts w:asciiTheme="minorEastAsia" w:hAnsiTheme="minorEastAsia" w:hint="eastAsia"/>
                <w:b/>
                <w:sz w:val="24"/>
              </w:rPr>
              <w:t>？</w:t>
            </w:r>
          </w:p>
          <w:p w:rsidR="00130434" w:rsidRPr="00933993" w:rsidRDefault="002849AE" w:rsidP="006E4168">
            <w:pPr>
              <w:spacing w:beforeLines="50" w:before="120"/>
              <w:ind w:firstLineChars="200" w:firstLine="480"/>
              <w:rPr>
                <w:rFonts w:asciiTheme="minorEastAsia" w:hAnsiTheme="minorEastAsia"/>
                <w:sz w:val="24"/>
              </w:rPr>
            </w:pPr>
            <w:r w:rsidRPr="00830231">
              <w:rPr>
                <w:rFonts w:asciiTheme="minorEastAsia" w:hAnsiTheme="minorEastAsia" w:hint="eastAsia"/>
                <w:sz w:val="24"/>
              </w:rPr>
              <w:t>答：</w:t>
            </w:r>
            <w:r w:rsidR="00BB6D2E" w:rsidRPr="00BB6D2E">
              <w:rPr>
                <w:rFonts w:asciiTheme="minorEastAsia" w:hAnsiTheme="minorEastAsia" w:hint="eastAsia"/>
                <w:sz w:val="24"/>
              </w:rPr>
              <w:t>截止2024年3月底，</w:t>
            </w:r>
            <w:proofErr w:type="gramStart"/>
            <w:r w:rsidR="00BB6D2E" w:rsidRPr="00BB6D2E">
              <w:rPr>
                <w:rFonts w:asciiTheme="minorEastAsia" w:hAnsiTheme="minorEastAsia" w:hint="eastAsia"/>
                <w:sz w:val="24"/>
              </w:rPr>
              <w:t>公司募投项目</w:t>
            </w:r>
            <w:proofErr w:type="gramEnd"/>
            <w:r w:rsidR="00BB6D2E" w:rsidRPr="00BB6D2E">
              <w:rPr>
                <w:rFonts w:asciiTheme="minorEastAsia" w:hAnsiTheme="minorEastAsia" w:hint="eastAsia"/>
                <w:sz w:val="24"/>
              </w:rPr>
              <w:t>“年产3.3 万吨水处理及工业水过程专用化学品及其配套1.6 万吨单体扩建项目”中所有子项目，包括固体型聚丙烯酰胺产线、乳液型聚丙烯酰胺产线、水分散型</w:t>
            </w:r>
            <w:proofErr w:type="gramStart"/>
            <w:r w:rsidR="00BB6D2E" w:rsidRPr="00BB6D2E">
              <w:rPr>
                <w:rFonts w:asciiTheme="minorEastAsia" w:hAnsiTheme="minorEastAsia" w:hint="eastAsia"/>
                <w:sz w:val="24"/>
              </w:rPr>
              <w:t>水溶性高分子产线以及</w:t>
            </w:r>
            <w:proofErr w:type="gramEnd"/>
            <w:r w:rsidR="00BB6D2E" w:rsidRPr="00BB6D2E">
              <w:rPr>
                <w:rFonts w:asciiTheme="minorEastAsia" w:hAnsiTheme="minorEastAsia" w:hint="eastAsia"/>
                <w:sz w:val="24"/>
              </w:rPr>
              <w:t>配套单体</w:t>
            </w:r>
            <w:proofErr w:type="gramStart"/>
            <w:r w:rsidR="00BB6D2E" w:rsidRPr="00BB6D2E">
              <w:rPr>
                <w:rFonts w:asciiTheme="minorEastAsia" w:hAnsiTheme="minorEastAsia" w:hint="eastAsia"/>
                <w:sz w:val="24"/>
              </w:rPr>
              <w:t>扩建产线均</w:t>
            </w:r>
            <w:proofErr w:type="gramEnd"/>
            <w:r w:rsidR="00BB6D2E" w:rsidRPr="00BB6D2E">
              <w:rPr>
                <w:rFonts w:asciiTheme="minorEastAsia" w:hAnsiTheme="minorEastAsia" w:hint="eastAsia"/>
                <w:sz w:val="24"/>
              </w:rPr>
              <w:t>已完成试生产并转固。“950 套/年分离膜设备制造项目” 已完成试产并转固。“研发中心建设项目”尚在建设中，预计将在2024 年第四季度投入使用。“信息化升级与数字化工厂建设”与“张家港市飞翔医药产业园配套7600方/天污水处理改扩建”项目尚在实施，预计2025年第四季度完成。展望未来，在已建成</w:t>
            </w:r>
            <w:proofErr w:type="gramStart"/>
            <w:r w:rsidR="00BB6D2E" w:rsidRPr="00BB6D2E">
              <w:rPr>
                <w:rFonts w:asciiTheme="minorEastAsia" w:hAnsiTheme="minorEastAsia" w:hint="eastAsia"/>
                <w:sz w:val="24"/>
              </w:rPr>
              <w:t>募投项目</w:t>
            </w:r>
            <w:proofErr w:type="gramEnd"/>
            <w:r w:rsidR="00BB6D2E" w:rsidRPr="00BB6D2E">
              <w:rPr>
                <w:rFonts w:asciiTheme="minorEastAsia" w:hAnsiTheme="minorEastAsia" w:hint="eastAsia"/>
                <w:sz w:val="24"/>
              </w:rPr>
              <w:t>上，我们将重点</w:t>
            </w:r>
            <w:proofErr w:type="gramStart"/>
            <w:r w:rsidR="00BB6D2E" w:rsidRPr="00BB6D2E">
              <w:rPr>
                <w:rFonts w:asciiTheme="minorEastAsia" w:hAnsiTheme="minorEastAsia" w:hint="eastAsia"/>
                <w:sz w:val="24"/>
              </w:rPr>
              <w:t>关注产线产能</w:t>
            </w:r>
            <w:proofErr w:type="gramEnd"/>
            <w:r w:rsidR="00BB6D2E" w:rsidRPr="00BB6D2E">
              <w:rPr>
                <w:rFonts w:asciiTheme="minorEastAsia" w:hAnsiTheme="minorEastAsia" w:hint="eastAsia"/>
                <w:sz w:val="24"/>
              </w:rPr>
              <w:t>释放，加速实现既定发展目标。同时，对于当前正处于建设和实施阶段的项目，我们将进一步强化项目管理，确保资金投放的精准性和高效性，提升募集资金使用效率，推进</w:t>
            </w:r>
            <w:proofErr w:type="gramStart"/>
            <w:r w:rsidR="00BB6D2E" w:rsidRPr="00BB6D2E">
              <w:rPr>
                <w:rFonts w:asciiTheme="minorEastAsia" w:hAnsiTheme="minorEastAsia" w:hint="eastAsia"/>
                <w:sz w:val="24"/>
              </w:rPr>
              <w:t>募投项目</w:t>
            </w:r>
            <w:proofErr w:type="gramEnd"/>
            <w:r w:rsidR="00BB6D2E" w:rsidRPr="00BB6D2E">
              <w:rPr>
                <w:rFonts w:asciiTheme="minorEastAsia" w:hAnsiTheme="minorEastAsia" w:hint="eastAsia"/>
                <w:sz w:val="24"/>
              </w:rPr>
              <w:t>的建设进度。</w:t>
            </w:r>
          </w:p>
          <w:p w:rsidR="005C4F16" w:rsidRDefault="005C4F16" w:rsidP="00C30E31">
            <w:pPr>
              <w:spacing w:beforeLines="50" w:before="120"/>
              <w:rPr>
                <w:rFonts w:asciiTheme="minorEastAsia" w:hAnsiTheme="minorEastAsia"/>
                <w:b/>
                <w:sz w:val="24"/>
              </w:rPr>
            </w:pPr>
          </w:p>
          <w:p w:rsidR="001B6D61" w:rsidRPr="00B51A15" w:rsidRDefault="00125380" w:rsidP="001B6D61">
            <w:pPr>
              <w:spacing w:beforeLines="50" w:before="120"/>
              <w:ind w:firstLineChars="200" w:firstLine="482"/>
              <w:rPr>
                <w:rFonts w:asciiTheme="minorEastAsia" w:hAnsiTheme="minorEastAsia"/>
                <w:sz w:val="24"/>
              </w:rPr>
            </w:pPr>
            <w:r>
              <w:rPr>
                <w:rFonts w:asciiTheme="minorEastAsia" w:hAnsiTheme="minorEastAsia" w:hint="eastAsia"/>
                <w:b/>
                <w:sz w:val="24"/>
              </w:rPr>
              <w:t>7</w:t>
            </w:r>
            <w:r w:rsidR="001B6D61">
              <w:rPr>
                <w:rFonts w:asciiTheme="minorEastAsia" w:hAnsiTheme="minorEastAsia" w:hint="eastAsia"/>
                <w:b/>
                <w:sz w:val="24"/>
              </w:rPr>
              <w:t>、</w:t>
            </w:r>
            <w:r w:rsidR="001B6D61" w:rsidRPr="001519B1">
              <w:rPr>
                <w:rFonts w:asciiTheme="minorEastAsia" w:hAnsiTheme="minorEastAsia" w:hint="eastAsia"/>
                <w:b/>
                <w:sz w:val="24"/>
              </w:rPr>
              <w:t>问：</w:t>
            </w:r>
            <w:r w:rsidR="0036460D">
              <w:rPr>
                <w:rFonts w:asciiTheme="minorEastAsia" w:hAnsiTheme="minorEastAsia" w:hint="eastAsia"/>
                <w:b/>
                <w:sz w:val="24"/>
              </w:rPr>
              <w:t>公司</w:t>
            </w:r>
            <w:r w:rsidR="00DE5A93" w:rsidRPr="00DE5A93">
              <w:rPr>
                <w:rFonts w:asciiTheme="minorEastAsia" w:hAnsiTheme="minorEastAsia" w:hint="eastAsia"/>
                <w:b/>
                <w:sz w:val="24"/>
              </w:rPr>
              <w:t>安徽安庆项目</w:t>
            </w:r>
            <w:r w:rsidR="0036460D">
              <w:rPr>
                <w:rFonts w:asciiTheme="minorEastAsia" w:hAnsiTheme="minorEastAsia" w:hint="eastAsia"/>
                <w:b/>
                <w:sz w:val="24"/>
              </w:rPr>
              <w:t>目前的投产节奏</w:t>
            </w:r>
            <w:r w:rsidR="00DE5A93" w:rsidRPr="00DE5A93">
              <w:rPr>
                <w:rFonts w:asciiTheme="minorEastAsia" w:hAnsiTheme="minorEastAsia" w:hint="eastAsia"/>
                <w:b/>
                <w:sz w:val="24"/>
              </w:rPr>
              <w:t>？</w:t>
            </w:r>
          </w:p>
          <w:p w:rsidR="00C30E31" w:rsidRPr="009029BE" w:rsidRDefault="001B6D61" w:rsidP="00103B40">
            <w:pPr>
              <w:spacing w:beforeLines="50" w:before="120"/>
              <w:ind w:firstLineChars="200" w:firstLine="480"/>
              <w:rPr>
                <w:rFonts w:asciiTheme="minorEastAsia" w:hAnsiTheme="minorEastAsia"/>
                <w:sz w:val="24"/>
              </w:rPr>
            </w:pPr>
            <w:r w:rsidRPr="00830231">
              <w:rPr>
                <w:rFonts w:asciiTheme="minorEastAsia" w:hAnsiTheme="minorEastAsia" w:hint="eastAsia"/>
                <w:sz w:val="24"/>
              </w:rPr>
              <w:t>答：</w:t>
            </w:r>
            <w:r w:rsidR="00103B40">
              <w:rPr>
                <w:rFonts w:asciiTheme="minorEastAsia" w:hAnsiTheme="minorEastAsia" w:hint="eastAsia"/>
                <w:sz w:val="24"/>
              </w:rPr>
              <w:t>公司投建的安徽安庆项目将以“总体规划，分步建设”的方式开展，</w:t>
            </w:r>
            <w:r w:rsidR="00125380" w:rsidRPr="00125380">
              <w:rPr>
                <w:rFonts w:asciiTheme="minorEastAsia" w:hAnsiTheme="minorEastAsia" w:hint="eastAsia"/>
                <w:sz w:val="24"/>
              </w:rPr>
              <w:t>预计总投资额为21亿，这一数额中包含了配套的流动资金。</w:t>
            </w:r>
            <w:r w:rsidR="00103B40">
              <w:rPr>
                <w:rFonts w:asciiTheme="minorEastAsia" w:hAnsiTheme="minorEastAsia" w:hint="eastAsia"/>
                <w:sz w:val="24"/>
              </w:rPr>
              <w:t>预计</w:t>
            </w:r>
            <w:r w:rsidR="00125380" w:rsidRPr="00125380">
              <w:rPr>
                <w:rFonts w:asciiTheme="minorEastAsia" w:hAnsiTheme="minorEastAsia" w:hint="eastAsia"/>
                <w:sz w:val="24"/>
              </w:rPr>
              <w:t>整个项目的固定资产投资约为14亿，剩余为未来建成投产后所需的补充流动资金。</w:t>
            </w:r>
            <w:r w:rsidR="00103B40">
              <w:rPr>
                <w:rFonts w:asciiTheme="minorEastAsia" w:hAnsiTheme="minorEastAsia" w:hint="eastAsia"/>
                <w:sz w:val="24"/>
              </w:rPr>
              <w:t>该</w:t>
            </w:r>
            <w:r w:rsidR="00125380">
              <w:rPr>
                <w:rFonts w:asciiTheme="minorEastAsia" w:hAnsiTheme="minorEastAsia" w:hint="eastAsia"/>
                <w:sz w:val="24"/>
              </w:rPr>
              <w:t>项目</w:t>
            </w:r>
            <w:r w:rsidR="00125380" w:rsidRPr="00125380">
              <w:rPr>
                <w:rFonts w:asciiTheme="minorEastAsia" w:hAnsiTheme="minorEastAsia" w:hint="eastAsia"/>
                <w:sz w:val="24"/>
              </w:rPr>
              <w:t>以新增产品为主，建成后将进一步扩大公司的产能规模。在完善生产基地跨区域布局的同时，向上延伸产业链，解决核心阳离子单体“卡脖子”的难题。特别是本次新增产能中的大部分阳离子单体、聚胺类水溶性高分子、后水解工艺聚丙烯酰胺等产品，不仅进一步增强公司产业链一体化优势，同时能为公司在进军油气开采、矿物加工等新业务领域时，提供更为丰富的产品品类及组合方式。目前安庆项目已成功取得能评、安评、环评等手续。项目一期自2023年11</w:t>
            </w:r>
            <w:r w:rsidR="00125380">
              <w:rPr>
                <w:rFonts w:asciiTheme="minorEastAsia" w:hAnsiTheme="minorEastAsia" w:hint="eastAsia"/>
                <w:sz w:val="24"/>
              </w:rPr>
              <w:t>月正式开工后，各项工作都已经在紧锣密鼓地推进中。</w:t>
            </w:r>
          </w:p>
        </w:tc>
      </w:tr>
      <w:tr w:rsidR="00DC1F0B" w:rsidRPr="007C3A87" w:rsidTr="00A271E5">
        <w:trPr>
          <w:trHeight w:val="643"/>
        </w:trPr>
        <w:tc>
          <w:tcPr>
            <w:tcW w:w="2235" w:type="dxa"/>
            <w:vAlign w:val="center"/>
          </w:tcPr>
          <w:p w:rsidR="00DC1F0B" w:rsidRPr="007C3A87" w:rsidRDefault="00DC1F0B" w:rsidP="00923F20">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lastRenderedPageBreak/>
              <w:t>附件清单（如有）</w:t>
            </w:r>
          </w:p>
        </w:tc>
        <w:tc>
          <w:tcPr>
            <w:tcW w:w="6378" w:type="dxa"/>
            <w:vAlign w:val="center"/>
          </w:tcPr>
          <w:p w:rsidR="00DC1F0B" w:rsidRPr="007C3A87" w:rsidRDefault="00CE76E0" w:rsidP="00401CEB">
            <w:pPr>
              <w:widowControl/>
              <w:tabs>
                <w:tab w:val="left" w:pos="1475"/>
              </w:tabs>
              <w:spacing w:before="50" w:after="50" w:line="300" w:lineRule="auto"/>
              <w:rPr>
                <w:rFonts w:ascii="Times New Roman" w:hAnsi="Times New Roman"/>
                <w:kern w:val="0"/>
                <w:sz w:val="22"/>
              </w:rPr>
            </w:pPr>
            <w:r w:rsidRPr="007C3A87">
              <w:rPr>
                <w:rFonts w:ascii="Times New Roman" w:hAnsi="Times New Roman" w:hint="eastAsia"/>
                <w:kern w:val="0"/>
                <w:sz w:val="22"/>
              </w:rPr>
              <w:t>无</w:t>
            </w:r>
          </w:p>
        </w:tc>
      </w:tr>
      <w:tr w:rsidR="00DC1F0B" w:rsidRPr="00F048E9" w:rsidTr="00A271E5">
        <w:trPr>
          <w:trHeight w:val="772"/>
        </w:trPr>
        <w:tc>
          <w:tcPr>
            <w:tcW w:w="2235" w:type="dxa"/>
            <w:vAlign w:val="center"/>
          </w:tcPr>
          <w:p w:rsidR="00DC1F0B" w:rsidRPr="007C3A87" w:rsidRDefault="00DC1F0B" w:rsidP="00923F20">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日期</w:t>
            </w:r>
          </w:p>
        </w:tc>
        <w:tc>
          <w:tcPr>
            <w:tcW w:w="6378" w:type="dxa"/>
            <w:vAlign w:val="center"/>
          </w:tcPr>
          <w:p w:rsidR="00DC1F0B" w:rsidRPr="002033C0" w:rsidRDefault="00401CEB" w:rsidP="00125380">
            <w:pPr>
              <w:widowControl/>
              <w:tabs>
                <w:tab w:val="left" w:pos="1475"/>
              </w:tabs>
              <w:spacing w:before="50" w:after="50" w:line="300" w:lineRule="auto"/>
              <w:rPr>
                <w:rFonts w:ascii="Times New Roman" w:hAnsi="Times New Roman"/>
                <w:kern w:val="0"/>
                <w:sz w:val="22"/>
              </w:rPr>
            </w:pPr>
            <w:r w:rsidRPr="007C3A87">
              <w:rPr>
                <w:rFonts w:ascii="Times New Roman" w:hAnsi="Times New Roman" w:hint="eastAsia"/>
                <w:kern w:val="0"/>
                <w:sz w:val="22"/>
              </w:rPr>
              <w:t>202</w:t>
            </w:r>
            <w:r w:rsidR="00855BE5">
              <w:rPr>
                <w:rFonts w:ascii="Times New Roman" w:hAnsi="Times New Roman" w:hint="eastAsia"/>
                <w:kern w:val="0"/>
                <w:sz w:val="22"/>
              </w:rPr>
              <w:t>4</w:t>
            </w:r>
            <w:r w:rsidRPr="007C3A87">
              <w:rPr>
                <w:rFonts w:ascii="Times New Roman" w:hAnsi="Times New Roman" w:hint="eastAsia"/>
                <w:kern w:val="0"/>
                <w:sz w:val="22"/>
              </w:rPr>
              <w:t>年</w:t>
            </w:r>
            <w:r w:rsidR="00125380">
              <w:rPr>
                <w:rFonts w:ascii="Times New Roman" w:hAnsi="Times New Roman" w:hint="eastAsia"/>
                <w:kern w:val="0"/>
                <w:sz w:val="22"/>
              </w:rPr>
              <w:t>5</w:t>
            </w:r>
            <w:r w:rsidRPr="007C3A87">
              <w:rPr>
                <w:rFonts w:ascii="Times New Roman" w:hAnsi="Times New Roman" w:hint="eastAsia"/>
                <w:kern w:val="0"/>
                <w:sz w:val="22"/>
              </w:rPr>
              <w:t>月</w:t>
            </w:r>
            <w:r w:rsidR="00125380">
              <w:rPr>
                <w:rFonts w:ascii="Times New Roman" w:hAnsi="Times New Roman" w:hint="eastAsia"/>
                <w:kern w:val="0"/>
                <w:sz w:val="22"/>
              </w:rPr>
              <w:t>16</w:t>
            </w:r>
            <w:r w:rsidRPr="007C3A87">
              <w:rPr>
                <w:rFonts w:ascii="Times New Roman" w:hAnsi="Times New Roman" w:hint="eastAsia"/>
                <w:kern w:val="0"/>
                <w:sz w:val="22"/>
              </w:rPr>
              <w:t>日</w:t>
            </w:r>
          </w:p>
        </w:tc>
      </w:tr>
    </w:tbl>
    <w:p w:rsidR="00DC1F0B" w:rsidRPr="00DF402F" w:rsidRDefault="00DC1F0B" w:rsidP="00DC1F0B">
      <w:pPr>
        <w:spacing w:before="50" w:after="50" w:line="300" w:lineRule="auto"/>
        <w:ind w:firstLine="1365"/>
        <w:rPr>
          <w:rFonts w:ascii="Times New Roman" w:hAnsi="Times New Roman"/>
        </w:rPr>
      </w:pPr>
    </w:p>
    <w:p w:rsidR="00DC1F0B" w:rsidRPr="00DF402F" w:rsidRDefault="00DC1F0B" w:rsidP="00DC1F0B">
      <w:pPr>
        <w:spacing w:before="50" w:after="50" w:line="300" w:lineRule="auto"/>
        <w:ind w:firstLine="1365"/>
        <w:rPr>
          <w:rFonts w:ascii="Times New Roman" w:hAnsi="Times New Roman"/>
        </w:rPr>
      </w:pPr>
    </w:p>
    <w:p w:rsidR="00F13919" w:rsidRPr="002528B3" w:rsidRDefault="00F13919" w:rsidP="00246CD8">
      <w:pPr>
        <w:spacing w:line="360" w:lineRule="auto"/>
        <w:ind w:firstLineChars="200" w:firstLine="420"/>
        <w:rPr>
          <w:szCs w:val="21"/>
        </w:rPr>
      </w:pPr>
    </w:p>
    <w:sectPr w:rsidR="00F13919" w:rsidRPr="002528B3" w:rsidSect="00923F20">
      <w:pgSz w:w="11900" w:h="16838"/>
      <w:pgMar w:top="1276"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13" w:rsidRDefault="00912713" w:rsidP="00DC1F0B">
      <w:r>
        <w:separator/>
      </w:r>
    </w:p>
  </w:endnote>
  <w:endnote w:type="continuationSeparator" w:id="0">
    <w:p w:rsidR="00912713" w:rsidRDefault="00912713" w:rsidP="00DC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13" w:rsidRDefault="00912713" w:rsidP="00DC1F0B">
      <w:r>
        <w:separator/>
      </w:r>
    </w:p>
  </w:footnote>
  <w:footnote w:type="continuationSeparator" w:id="0">
    <w:p w:rsidR="00912713" w:rsidRDefault="00912713" w:rsidP="00DC1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7AA"/>
    <w:multiLevelType w:val="hybridMultilevel"/>
    <w:tmpl w:val="112E995E"/>
    <w:lvl w:ilvl="0" w:tplc="BC8E3BD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0D55A3"/>
    <w:multiLevelType w:val="hybridMultilevel"/>
    <w:tmpl w:val="AABA2390"/>
    <w:lvl w:ilvl="0" w:tplc="B87855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CD2695"/>
    <w:multiLevelType w:val="hybridMultilevel"/>
    <w:tmpl w:val="12D23E9E"/>
    <w:lvl w:ilvl="0" w:tplc="047AFB52">
      <w:start w:val="1"/>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1B5352"/>
    <w:multiLevelType w:val="hybridMultilevel"/>
    <w:tmpl w:val="1C4E2D1A"/>
    <w:lvl w:ilvl="0" w:tplc="70A4E068">
      <w:start w:val="1"/>
      <w:numFmt w:val="decimal"/>
      <w:lvlText w:val="%1、"/>
      <w:lvlJc w:val="left"/>
      <w:pPr>
        <w:ind w:left="895" w:hanging="720"/>
      </w:pPr>
      <w:rPr>
        <w:rFonts w:hint="default"/>
      </w:rPr>
    </w:lvl>
    <w:lvl w:ilvl="1" w:tplc="CC569A4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504938"/>
    <w:multiLevelType w:val="hybridMultilevel"/>
    <w:tmpl w:val="7C925360"/>
    <w:lvl w:ilvl="0" w:tplc="7BB40DFA">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2A4883"/>
    <w:multiLevelType w:val="hybridMultilevel"/>
    <w:tmpl w:val="A6685294"/>
    <w:lvl w:ilvl="0" w:tplc="B66AB4B8">
      <w:start w:val="1"/>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551EC2"/>
    <w:multiLevelType w:val="hybridMultilevel"/>
    <w:tmpl w:val="40D6E692"/>
    <w:lvl w:ilvl="0" w:tplc="9DB0D466">
      <w:start w:val="1"/>
      <w:numFmt w:val="decimal"/>
      <w:lvlText w:val="%1、"/>
      <w:lvlJc w:val="left"/>
      <w:pPr>
        <w:ind w:left="2803" w:hanging="360"/>
      </w:pPr>
      <w:rPr>
        <w:rFonts w:ascii="Arial" w:hAnsi="Arial" w:cs="Arial" w:hint="default"/>
        <w:b/>
      </w:rPr>
    </w:lvl>
    <w:lvl w:ilvl="1" w:tplc="31AE5A10">
      <w:start w:val="1"/>
      <w:numFmt w:val="decimalEnclosedCircle"/>
      <w:lvlText w:val="%2"/>
      <w:lvlJc w:val="left"/>
      <w:pPr>
        <w:ind w:left="1669" w:hanging="360"/>
      </w:pPr>
      <w:rPr>
        <w:rFonts w:hint="default"/>
      </w:rPr>
    </w:lvl>
    <w:lvl w:ilvl="2" w:tplc="0409001B" w:tentative="1">
      <w:start w:val="1"/>
      <w:numFmt w:val="lowerRoman"/>
      <w:lvlText w:val="%3."/>
      <w:lvlJc w:val="right"/>
      <w:pPr>
        <w:ind w:left="3703" w:hanging="420"/>
      </w:pPr>
    </w:lvl>
    <w:lvl w:ilvl="3" w:tplc="0409000F" w:tentative="1">
      <w:start w:val="1"/>
      <w:numFmt w:val="decimal"/>
      <w:lvlText w:val="%4."/>
      <w:lvlJc w:val="left"/>
      <w:pPr>
        <w:ind w:left="4123" w:hanging="420"/>
      </w:pPr>
    </w:lvl>
    <w:lvl w:ilvl="4" w:tplc="04090019" w:tentative="1">
      <w:start w:val="1"/>
      <w:numFmt w:val="lowerLetter"/>
      <w:lvlText w:val="%5)"/>
      <w:lvlJc w:val="left"/>
      <w:pPr>
        <w:ind w:left="4543" w:hanging="420"/>
      </w:pPr>
    </w:lvl>
    <w:lvl w:ilvl="5" w:tplc="0409001B" w:tentative="1">
      <w:start w:val="1"/>
      <w:numFmt w:val="lowerRoman"/>
      <w:lvlText w:val="%6."/>
      <w:lvlJc w:val="right"/>
      <w:pPr>
        <w:ind w:left="4963" w:hanging="420"/>
      </w:pPr>
    </w:lvl>
    <w:lvl w:ilvl="6" w:tplc="0409000F" w:tentative="1">
      <w:start w:val="1"/>
      <w:numFmt w:val="decimal"/>
      <w:lvlText w:val="%7."/>
      <w:lvlJc w:val="left"/>
      <w:pPr>
        <w:ind w:left="5383" w:hanging="420"/>
      </w:pPr>
    </w:lvl>
    <w:lvl w:ilvl="7" w:tplc="04090019" w:tentative="1">
      <w:start w:val="1"/>
      <w:numFmt w:val="lowerLetter"/>
      <w:lvlText w:val="%8)"/>
      <w:lvlJc w:val="left"/>
      <w:pPr>
        <w:ind w:left="5803" w:hanging="420"/>
      </w:pPr>
    </w:lvl>
    <w:lvl w:ilvl="8" w:tplc="0409001B" w:tentative="1">
      <w:start w:val="1"/>
      <w:numFmt w:val="lowerRoman"/>
      <w:lvlText w:val="%9."/>
      <w:lvlJc w:val="right"/>
      <w:pPr>
        <w:ind w:left="6223" w:hanging="420"/>
      </w:pPr>
    </w:lvl>
  </w:abstractNum>
  <w:abstractNum w:abstractNumId="7">
    <w:nsid w:val="28F73EB9"/>
    <w:multiLevelType w:val="hybridMultilevel"/>
    <w:tmpl w:val="3BC8E8DC"/>
    <w:lvl w:ilvl="0" w:tplc="1EC83BB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F66C80"/>
    <w:multiLevelType w:val="hybridMultilevel"/>
    <w:tmpl w:val="262E3AA4"/>
    <w:lvl w:ilvl="0" w:tplc="093698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D269F6"/>
    <w:multiLevelType w:val="hybridMultilevel"/>
    <w:tmpl w:val="5DBA2F50"/>
    <w:lvl w:ilvl="0" w:tplc="76D2E106">
      <w:start w:val="1"/>
      <w:numFmt w:val="lowerLetter"/>
      <w:lvlText w:val="（%1）"/>
      <w:lvlJc w:val="left"/>
      <w:pPr>
        <w:ind w:left="1545" w:hanging="10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7433D79"/>
    <w:multiLevelType w:val="hybridMultilevel"/>
    <w:tmpl w:val="3BB64476"/>
    <w:lvl w:ilvl="0" w:tplc="CC569A4A">
      <w:start w:val="1"/>
      <w:numFmt w:val="decimal"/>
      <w:lvlText w:val="（%1）"/>
      <w:lvlJc w:val="left"/>
      <w:pPr>
        <w:ind w:left="860" w:hanging="4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3C9E4551"/>
    <w:multiLevelType w:val="hybridMultilevel"/>
    <w:tmpl w:val="3E7A3F58"/>
    <w:lvl w:ilvl="0" w:tplc="993041D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D337E8"/>
    <w:multiLevelType w:val="hybridMultilevel"/>
    <w:tmpl w:val="17883B42"/>
    <w:lvl w:ilvl="0" w:tplc="CC569A4A">
      <w:start w:val="1"/>
      <w:numFmt w:val="decimal"/>
      <w:lvlText w:val="（%1）"/>
      <w:lvlJc w:val="left"/>
      <w:pPr>
        <w:ind w:left="860" w:hanging="420"/>
      </w:pPr>
      <w:rPr>
        <w:rFonts w:hint="default"/>
      </w:rPr>
    </w:lvl>
    <w:lvl w:ilvl="1" w:tplc="DF44B31C">
      <w:start w:val="4"/>
      <w:numFmt w:val="decimal"/>
      <w:lvlText w:val="%2、"/>
      <w:lvlJc w:val="left"/>
      <w:pPr>
        <w:ind w:left="1235" w:hanging="375"/>
      </w:pPr>
      <w:rPr>
        <w:rFonts w:hint="default"/>
      </w:r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4826171F"/>
    <w:multiLevelType w:val="hybridMultilevel"/>
    <w:tmpl w:val="C2B0607A"/>
    <w:lvl w:ilvl="0" w:tplc="5BF661D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5C5FEE"/>
    <w:multiLevelType w:val="hybridMultilevel"/>
    <w:tmpl w:val="031A7E1E"/>
    <w:lvl w:ilvl="0" w:tplc="09E4A912">
      <w:start w:val="1"/>
      <w:numFmt w:val="decimal"/>
      <w:lvlText w:val="（%1）"/>
      <w:lvlJc w:val="left"/>
      <w:pPr>
        <w:ind w:left="120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26524B"/>
    <w:multiLevelType w:val="hybridMultilevel"/>
    <w:tmpl w:val="8A681C2A"/>
    <w:lvl w:ilvl="0" w:tplc="CC569A4A">
      <w:start w:val="1"/>
      <w:numFmt w:val="decimal"/>
      <w:lvlText w:val="（%1）"/>
      <w:lvlJc w:val="left"/>
      <w:pPr>
        <w:ind w:left="860" w:hanging="4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6A353EF6"/>
    <w:multiLevelType w:val="hybridMultilevel"/>
    <w:tmpl w:val="A1188FDE"/>
    <w:lvl w:ilvl="0" w:tplc="C7C2D5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9"/>
  </w:num>
  <w:num w:numId="4">
    <w:abstractNumId w:val="15"/>
  </w:num>
  <w:num w:numId="5">
    <w:abstractNumId w:val="10"/>
  </w:num>
  <w:num w:numId="6">
    <w:abstractNumId w:val="12"/>
  </w:num>
  <w:num w:numId="7">
    <w:abstractNumId w:val="0"/>
  </w:num>
  <w:num w:numId="8">
    <w:abstractNumId w:val="7"/>
  </w:num>
  <w:num w:numId="9">
    <w:abstractNumId w:val="13"/>
  </w:num>
  <w:num w:numId="10">
    <w:abstractNumId w:val="11"/>
  </w:num>
  <w:num w:numId="11">
    <w:abstractNumId w:val="6"/>
  </w:num>
  <w:num w:numId="12">
    <w:abstractNumId w:val="4"/>
  </w:num>
  <w:num w:numId="13">
    <w:abstractNumId w:val="5"/>
  </w:num>
  <w:num w:numId="14">
    <w:abstractNumId w:val="2"/>
  </w:num>
  <w:num w:numId="15">
    <w:abstractNumId w:val="8"/>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7A"/>
    <w:rsid w:val="00000D9D"/>
    <w:rsid w:val="00004042"/>
    <w:rsid w:val="0001158C"/>
    <w:rsid w:val="00012127"/>
    <w:rsid w:val="000204FC"/>
    <w:rsid w:val="00026521"/>
    <w:rsid w:val="00032913"/>
    <w:rsid w:val="000358A7"/>
    <w:rsid w:val="00037B53"/>
    <w:rsid w:val="00040A5E"/>
    <w:rsid w:val="0004266C"/>
    <w:rsid w:val="000436DC"/>
    <w:rsid w:val="00044891"/>
    <w:rsid w:val="000504B7"/>
    <w:rsid w:val="0005249D"/>
    <w:rsid w:val="00052733"/>
    <w:rsid w:val="00052D2F"/>
    <w:rsid w:val="00054069"/>
    <w:rsid w:val="000556AC"/>
    <w:rsid w:val="000572CE"/>
    <w:rsid w:val="00061A6D"/>
    <w:rsid w:val="00061E96"/>
    <w:rsid w:val="0006377C"/>
    <w:rsid w:val="00074DA2"/>
    <w:rsid w:val="00082B0B"/>
    <w:rsid w:val="00086F4D"/>
    <w:rsid w:val="00087157"/>
    <w:rsid w:val="00093575"/>
    <w:rsid w:val="00096B46"/>
    <w:rsid w:val="00096F93"/>
    <w:rsid w:val="0009728B"/>
    <w:rsid w:val="0009788E"/>
    <w:rsid w:val="000A25EC"/>
    <w:rsid w:val="000A398F"/>
    <w:rsid w:val="000A3CF7"/>
    <w:rsid w:val="000B01A3"/>
    <w:rsid w:val="000C4C02"/>
    <w:rsid w:val="000D56A2"/>
    <w:rsid w:val="000E1421"/>
    <w:rsid w:val="000E1D09"/>
    <w:rsid w:val="000E1E65"/>
    <w:rsid w:val="000E45D6"/>
    <w:rsid w:val="000E7641"/>
    <w:rsid w:val="000F3639"/>
    <w:rsid w:val="00103031"/>
    <w:rsid w:val="00103B40"/>
    <w:rsid w:val="00110298"/>
    <w:rsid w:val="001141CE"/>
    <w:rsid w:val="00114C28"/>
    <w:rsid w:val="00115353"/>
    <w:rsid w:val="00120B08"/>
    <w:rsid w:val="001229FF"/>
    <w:rsid w:val="00125380"/>
    <w:rsid w:val="001253C7"/>
    <w:rsid w:val="001263FE"/>
    <w:rsid w:val="00126552"/>
    <w:rsid w:val="00130434"/>
    <w:rsid w:val="00131E1E"/>
    <w:rsid w:val="00132C23"/>
    <w:rsid w:val="00135559"/>
    <w:rsid w:val="001519B1"/>
    <w:rsid w:val="00152169"/>
    <w:rsid w:val="0015425A"/>
    <w:rsid w:val="001547F6"/>
    <w:rsid w:val="00156A2D"/>
    <w:rsid w:val="00160208"/>
    <w:rsid w:val="00161FD6"/>
    <w:rsid w:val="001709E1"/>
    <w:rsid w:val="001733BD"/>
    <w:rsid w:val="00175A8F"/>
    <w:rsid w:val="00180916"/>
    <w:rsid w:val="00183AAC"/>
    <w:rsid w:val="00193B22"/>
    <w:rsid w:val="001A1FAB"/>
    <w:rsid w:val="001A428E"/>
    <w:rsid w:val="001B0E2F"/>
    <w:rsid w:val="001B6D61"/>
    <w:rsid w:val="001C3019"/>
    <w:rsid w:val="001C577F"/>
    <w:rsid w:val="001D02EE"/>
    <w:rsid w:val="001D1DC1"/>
    <w:rsid w:val="001D2124"/>
    <w:rsid w:val="001D3736"/>
    <w:rsid w:val="001D443B"/>
    <w:rsid w:val="001D4ECE"/>
    <w:rsid w:val="001D66C4"/>
    <w:rsid w:val="001E5A6F"/>
    <w:rsid w:val="001E5EF3"/>
    <w:rsid w:val="001F1E1A"/>
    <w:rsid w:val="001F2D68"/>
    <w:rsid w:val="001F4AA8"/>
    <w:rsid w:val="00201237"/>
    <w:rsid w:val="002019A2"/>
    <w:rsid w:val="002033C0"/>
    <w:rsid w:val="00205370"/>
    <w:rsid w:val="002165F8"/>
    <w:rsid w:val="002204D2"/>
    <w:rsid w:val="002236B8"/>
    <w:rsid w:val="00225109"/>
    <w:rsid w:val="00235B5A"/>
    <w:rsid w:val="00242B86"/>
    <w:rsid w:val="002437BE"/>
    <w:rsid w:val="002438FD"/>
    <w:rsid w:val="00243E72"/>
    <w:rsid w:val="00246CD8"/>
    <w:rsid w:val="002528B3"/>
    <w:rsid w:val="00253908"/>
    <w:rsid w:val="00262F48"/>
    <w:rsid w:val="00265924"/>
    <w:rsid w:val="00266932"/>
    <w:rsid w:val="00270C0D"/>
    <w:rsid w:val="002765DD"/>
    <w:rsid w:val="002849AE"/>
    <w:rsid w:val="002859DB"/>
    <w:rsid w:val="00286F2C"/>
    <w:rsid w:val="00287DF5"/>
    <w:rsid w:val="002900FE"/>
    <w:rsid w:val="002969FE"/>
    <w:rsid w:val="002A2BF7"/>
    <w:rsid w:val="002B0664"/>
    <w:rsid w:val="002B0731"/>
    <w:rsid w:val="002B0FD0"/>
    <w:rsid w:val="002B25F3"/>
    <w:rsid w:val="002B433A"/>
    <w:rsid w:val="002B6D42"/>
    <w:rsid w:val="002C0FA9"/>
    <w:rsid w:val="002C5E4A"/>
    <w:rsid w:val="002C6BBA"/>
    <w:rsid w:val="002C74E6"/>
    <w:rsid w:val="002D2CE2"/>
    <w:rsid w:val="002D3332"/>
    <w:rsid w:val="002D3C96"/>
    <w:rsid w:val="002D59D9"/>
    <w:rsid w:val="002D6751"/>
    <w:rsid w:val="002E7ABF"/>
    <w:rsid w:val="002F1062"/>
    <w:rsid w:val="002F2497"/>
    <w:rsid w:val="002F7D90"/>
    <w:rsid w:val="00304979"/>
    <w:rsid w:val="00306E23"/>
    <w:rsid w:val="00322A99"/>
    <w:rsid w:val="00325902"/>
    <w:rsid w:val="00333771"/>
    <w:rsid w:val="00347052"/>
    <w:rsid w:val="00352307"/>
    <w:rsid w:val="00353825"/>
    <w:rsid w:val="0035401C"/>
    <w:rsid w:val="003543AA"/>
    <w:rsid w:val="0036460D"/>
    <w:rsid w:val="00366205"/>
    <w:rsid w:val="00366ADF"/>
    <w:rsid w:val="00384811"/>
    <w:rsid w:val="003930D4"/>
    <w:rsid w:val="003934E5"/>
    <w:rsid w:val="003961E8"/>
    <w:rsid w:val="003A604D"/>
    <w:rsid w:val="003B00CB"/>
    <w:rsid w:val="003B08FA"/>
    <w:rsid w:val="003B446E"/>
    <w:rsid w:val="003B6C09"/>
    <w:rsid w:val="003C60E9"/>
    <w:rsid w:val="003D6C15"/>
    <w:rsid w:val="003D6DD3"/>
    <w:rsid w:val="003E3FA2"/>
    <w:rsid w:val="003E428D"/>
    <w:rsid w:val="003E4CF0"/>
    <w:rsid w:val="003E576A"/>
    <w:rsid w:val="003E5801"/>
    <w:rsid w:val="003F046E"/>
    <w:rsid w:val="00400AD9"/>
    <w:rsid w:val="00401C06"/>
    <w:rsid w:val="00401CEB"/>
    <w:rsid w:val="004146CD"/>
    <w:rsid w:val="00414C4D"/>
    <w:rsid w:val="00414DA1"/>
    <w:rsid w:val="004228D9"/>
    <w:rsid w:val="00437066"/>
    <w:rsid w:val="00437A98"/>
    <w:rsid w:val="004404A5"/>
    <w:rsid w:val="00444A4B"/>
    <w:rsid w:val="00462C0C"/>
    <w:rsid w:val="0047306F"/>
    <w:rsid w:val="00481BEF"/>
    <w:rsid w:val="00490637"/>
    <w:rsid w:val="004956CF"/>
    <w:rsid w:val="004A0637"/>
    <w:rsid w:val="004A59C6"/>
    <w:rsid w:val="004A6D6E"/>
    <w:rsid w:val="004B157A"/>
    <w:rsid w:val="004B657B"/>
    <w:rsid w:val="004B6B01"/>
    <w:rsid w:val="004D2382"/>
    <w:rsid w:val="004D4CCB"/>
    <w:rsid w:val="004D5EDA"/>
    <w:rsid w:val="004D6AAD"/>
    <w:rsid w:val="004E494C"/>
    <w:rsid w:val="004E5AE2"/>
    <w:rsid w:val="004F3A80"/>
    <w:rsid w:val="005014C8"/>
    <w:rsid w:val="005035BC"/>
    <w:rsid w:val="00507EC5"/>
    <w:rsid w:val="00512621"/>
    <w:rsid w:val="00512B35"/>
    <w:rsid w:val="00525382"/>
    <w:rsid w:val="0052694C"/>
    <w:rsid w:val="005270D2"/>
    <w:rsid w:val="00533F38"/>
    <w:rsid w:val="00536471"/>
    <w:rsid w:val="00537BC4"/>
    <w:rsid w:val="00542142"/>
    <w:rsid w:val="0054693C"/>
    <w:rsid w:val="00547B85"/>
    <w:rsid w:val="005615EF"/>
    <w:rsid w:val="00562866"/>
    <w:rsid w:val="00563484"/>
    <w:rsid w:val="00571BC3"/>
    <w:rsid w:val="00572BF7"/>
    <w:rsid w:val="00572BFE"/>
    <w:rsid w:val="005774A9"/>
    <w:rsid w:val="00580611"/>
    <w:rsid w:val="005837D0"/>
    <w:rsid w:val="00585749"/>
    <w:rsid w:val="00587869"/>
    <w:rsid w:val="00587C5E"/>
    <w:rsid w:val="00590F0C"/>
    <w:rsid w:val="0059358C"/>
    <w:rsid w:val="005965BE"/>
    <w:rsid w:val="005A4B16"/>
    <w:rsid w:val="005A7522"/>
    <w:rsid w:val="005B15DD"/>
    <w:rsid w:val="005B1F8A"/>
    <w:rsid w:val="005B794C"/>
    <w:rsid w:val="005C4F16"/>
    <w:rsid w:val="005C6E37"/>
    <w:rsid w:val="005C6F86"/>
    <w:rsid w:val="005D0189"/>
    <w:rsid w:val="005D7975"/>
    <w:rsid w:val="005E1F22"/>
    <w:rsid w:val="005E7EA6"/>
    <w:rsid w:val="005F6F96"/>
    <w:rsid w:val="005F7081"/>
    <w:rsid w:val="00601479"/>
    <w:rsid w:val="0061300C"/>
    <w:rsid w:val="006204B9"/>
    <w:rsid w:val="00624A41"/>
    <w:rsid w:val="00627D9E"/>
    <w:rsid w:val="0063011B"/>
    <w:rsid w:val="00641E01"/>
    <w:rsid w:val="006436F9"/>
    <w:rsid w:val="00650D4F"/>
    <w:rsid w:val="00652572"/>
    <w:rsid w:val="00661675"/>
    <w:rsid w:val="006648CA"/>
    <w:rsid w:val="00672B32"/>
    <w:rsid w:val="00672D5D"/>
    <w:rsid w:val="006731E5"/>
    <w:rsid w:val="006745F1"/>
    <w:rsid w:val="0067465D"/>
    <w:rsid w:val="006750C0"/>
    <w:rsid w:val="00686236"/>
    <w:rsid w:val="006A1836"/>
    <w:rsid w:val="006A1AA5"/>
    <w:rsid w:val="006B257E"/>
    <w:rsid w:val="006B4087"/>
    <w:rsid w:val="006B6CEC"/>
    <w:rsid w:val="006B733B"/>
    <w:rsid w:val="006D0A28"/>
    <w:rsid w:val="006D0BF4"/>
    <w:rsid w:val="006D52C7"/>
    <w:rsid w:val="006D62F8"/>
    <w:rsid w:val="006D7D70"/>
    <w:rsid w:val="006E4168"/>
    <w:rsid w:val="006E4682"/>
    <w:rsid w:val="006E731C"/>
    <w:rsid w:val="006F0D52"/>
    <w:rsid w:val="006F29AC"/>
    <w:rsid w:val="006F441E"/>
    <w:rsid w:val="006F5E65"/>
    <w:rsid w:val="006F6BAF"/>
    <w:rsid w:val="007118C8"/>
    <w:rsid w:val="00716664"/>
    <w:rsid w:val="00717680"/>
    <w:rsid w:val="00724C60"/>
    <w:rsid w:val="00741693"/>
    <w:rsid w:val="007453EA"/>
    <w:rsid w:val="0074658B"/>
    <w:rsid w:val="007614F8"/>
    <w:rsid w:val="00764889"/>
    <w:rsid w:val="0077262A"/>
    <w:rsid w:val="00773468"/>
    <w:rsid w:val="00774B01"/>
    <w:rsid w:val="00774BCE"/>
    <w:rsid w:val="00783FF3"/>
    <w:rsid w:val="0078671D"/>
    <w:rsid w:val="0079079A"/>
    <w:rsid w:val="00794967"/>
    <w:rsid w:val="007A4007"/>
    <w:rsid w:val="007B36E4"/>
    <w:rsid w:val="007C3A87"/>
    <w:rsid w:val="007C40DB"/>
    <w:rsid w:val="007D4C8A"/>
    <w:rsid w:val="007F0D43"/>
    <w:rsid w:val="007F7AA1"/>
    <w:rsid w:val="00802885"/>
    <w:rsid w:val="00802D38"/>
    <w:rsid w:val="0080362B"/>
    <w:rsid w:val="008037B1"/>
    <w:rsid w:val="008056F7"/>
    <w:rsid w:val="00806B8C"/>
    <w:rsid w:val="00815471"/>
    <w:rsid w:val="00815FF3"/>
    <w:rsid w:val="0082080D"/>
    <w:rsid w:val="00830231"/>
    <w:rsid w:val="008441A7"/>
    <w:rsid w:val="00850678"/>
    <w:rsid w:val="00855BE5"/>
    <w:rsid w:val="008572A4"/>
    <w:rsid w:val="00865E86"/>
    <w:rsid w:val="00873399"/>
    <w:rsid w:val="008771BB"/>
    <w:rsid w:val="00877764"/>
    <w:rsid w:val="00877E34"/>
    <w:rsid w:val="00881A51"/>
    <w:rsid w:val="00886DF5"/>
    <w:rsid w:val="00887DDC"/>
    <w:rsid w:val="008951B7"/>
    <w:rsid w:val="00895822"/>
    <w:rsid w:val="00895955"/>
    <w:rsid w:val="008A41C1"/>
    <w:rsid w:val="008A4421"/>
    <w:rsid w:val="008A490A"/>
    <w:rsid w:val="008A7544"/>
    <w:rsid w:val="008B714A"/>
    <w:rsid w:val="008C1A28"/>
    <w:rsid w:val="008C6830"/>
    <w:rsid w:val="008D307E"/>
    <w:rsid w:val="008F2973"/>
    <w:rsid w:val="009029BE"/>
    <w:rsid w:val="00912713"/>
    <w:rsid w:val="0091771C"/>
    <w:rsid w:val="009205CD"/>
    <w:rsid w:val="0092114B"/>
    <w:rsid w:val="00923F20"/>
    <w:rsid w:val="00927E94"/>
    <w:rsid w:val="009316F1"/>
    <w:rsid w:val="00933993"/>
    <w:rsid w:val="00934701"/>
    <w:rsid w:val="00954B9E"/>
    <w:rsid w:val="00961F42"/>
    <w:rsid w:val="0096271D"/>
    <w:rsid w:val="00970064"/>
    <w:rsid w:val="00972468"/>
    <w:rsid w:val="00974346"/>
    <w:rsid w:val="0097475E"/>
    <w:rsid w:val="00975D90"/>
    <w:rsid w:val="00975E60"/>
    <w:rsid w:val="0098283D"/>
    <w:rsid w:val="00982DEC"/>
    <w:rsid w:val="00985601"/>
    <w:rsid w:val="00986823"/>
    <w:rsid w:val="00991895"/>
    <w:rsid w:val="0099412B"/>
    <w:rsid w:val="009966D9"/>
    <w:rsid w:val="009A1F96"/>
    <w:rsid w:val="009A1FD7"/>
    <w:rsid w:val="009A401F"/>
    <w:rsid w:val="009A440C"/>
    <w:rsid w:val="009A715B"/>
    <w:rsid w:val="009A7AD1"/>
    <w:rsid w:val="009B174C"/>
    <w:rsid w:val="009B5016"/>
    <w:rsid w:val="009B604B"/>
    <w:rsid w:val="009B7E42"/>
    <w:rsid w:val="009C08BD"/>
    <w:rsid w:val="009C514D"/>
    <w:rsid w:val="009C6864"/>
    <w:rsid w:val="009D3F12"/>
    <w:rsid w:val="009E20AB"/>
    <w:rsid w:val="009E2753"/>
    <w:rsid w:val="009E5390"/>
    <w:rsid w:val="009E5BA6"/>
    <w:rsid w:val="009E6786"/>
    <w:rsid w:val="009F6C09"/>
    <w:rsid w:val="00A0172F"/>
    <w:rsid w:val="00A03A6F"/>
    <w:rsid w:val="00A23D03"/>
    <w:rsid w:val="00A271E5"/>
    <w:rsid w:val="00A3487E"/>
    <w:rsid w:val="00A40FDC"/>
    <w:rsid w:val="00A41D8E"/>
    <w:rsid w:val="00A42AAE"/>
    <w:rsid w:val="00A45AC3"/>
    <w:rsid w:val="00A477FB"/>
    <w:rsid w:val="00A54301"/>
    <w:rsid w:val="00A55898"/>
    <w:rsid w:val="00A632AC"/>
    <w:rsid w:val="00A65402"/>
    <w:rsid w:val="00A66AD0"/>
    <w:rsid w:val="00A6705A"/>
    <w:rsid w:val="00A67107"/>
    <w:rsid w:val="00A76962"/>
    <w:rsid w:val="00A8167C"/>
    <w:rsid w:val="00A82484"/>
    <w:rsid w:val="00A84C38"/>
    <w:rsid w:val="00A95068"/>
    <w:rsid w:val="00AA32B1"/>
    <w:rsid w:val="00AB47A3"/>
    <w:rsid w:val="00AB5D3C"/>
    <w:rsid w:val="00AB5DCC"/>
    <w:rsid w:val="00AB7E13"/>
    <w:rsid w:val="00AC3044"/>
    <w:rsid w:val="00AD1724"/>
    <w:rsid w:val="00AD74CA"/>
    <w:rsid w:val="00AD7BE1"/>
    <w:rsid w:val="00AF5FF0"/>
    <w:rsid w:val="00AF651B"/>
    <w:rsid w:val="00B04CC4"/>
    <w:rsid w:val="00B06DF4"/>
    <w:rsid w:val="00B20953"/>
    <w:rsid w:val="00B20F47"/>
    <w:rsid w:val="00B21B38"/>
    <w:rsid w:val="00B2294B"/>
    <w:rsid w:val="00B31A13"/>
    <w:rsid w:val="00B32D04"/>
    <w:rsid w:val="00B3300B"/>
    <w:rsid w:val="00B367F1"/>
    <w:rsid w:val="00B40368"/>
    <w:rsid w:val="00B47D2D"/>
    <w:rsid w:val="00B50346"/>
    <w:rsid w:val="00B51074"/>
    <w:rsid w:val="00B51A15"/>
    <w:rsid w:val="00B54302"/>
    <w:rsid w:val="00B55EDC"/>
    <w:rsid w:val="00B64F26"/>
    <w:rsid w:val="00B661D2"/>
    <w:rsid w:val="00B66712"/>
    <w:rsid w:val="00B678AD"/>
    <w:rsid w:val="00B74494"/>
    <w:rsid w:val="00B75B42"/>
    <w:rsid w:val="00B80367"/>
    <w:rsid w:val="00B83907"/>
    <w:rsid w:val="00B87275"/>
    <w:rsid w:val="00B96560"/>
    <w:rsid w:val="00B97CE6"/>
    <w:rsid w:val="00BA123C"/>
    <w:rsid w:val="00BA35DC"/>
    <w:rsid w:val="00BA5C2B"/>
    <w:rsid w:val="00BB1F3C"/>
    <w:rsid w:val="00BB6D2E"/>
    <w:rsid w:val="00BB789C"/>
    <w:rsid w:val="00BB7914"/>
    <w:rsid w:val="00BC0189"/>
    <w:rsid w:val="00BD6F1B"/>
    <w:rsid w:val="00BE2D4A"/>
    <w:rsid w:val="00BE3490"/>
    <w:rsid w:val="00BE3C24"/>
    <w:rsid w:val="00BE6159"/>
    <w:rsid w:val="00BF18C7"/>
    <w:rsid w:val="00BF3571"/>
    <w:rsid w:val="00BF4135"/>
    <w:rsid w:val="00BF47EE"/>
    <w:rsid w:val="00BF56D1"/>
    <w:rsid w:val="00C019B7"/>
    <w:rsid w:val="00C02C11"/>
    <w:rsid w:val="00C0486B"/>
    <w:rsid w:val="00C0585A"/>
    <w:rsid w:val="00C05FAB"/>
    <w:rsid w:val="00C14ABA"/>
    <w:rsid w:val="00C15759"/>
    <w:rsid w:val="00C15D26"/>
    <w:rsid w:val="00C15DD9"/>
    <w:rsid w:val="00C25C53"/>
    <w:rsid w:val="00C271A4"/>
    <w:rsid w:val="00C30E31"/>
    <w:rsid w:val="00C32F4A"/>
    <w:rsid w:val="00C35470"/>
    <w:rsid w:val="00C504D5"/>
    <w:rsid w:val="00C62959"/>
    <w:rsid w:val="00C663D6"/>
    <w:rsid w:val="00C669FA"/>
    <w:rsid w:val="00C81AE2"/>
    <w:rsid w:val="00C8348C"/>
    <w:rsid w:val="00C91486"/>
    <w:rsid w:val="00C91AC7"/>
    <w:rsid w:val="00CA553C"/>
    <w:rsid w:val="00CA76DA"/>
    <w:rsid w:val="00CB0F1F"/>
    <w:rsid w:val="00CB1C46"/>
    <w:rsid w:val="00CB632D"/>
    <w:rsid w:val="00CB68F1"/>
    <w:rsid w:val="00CB6D70"/>
    <w:rsid w:val="00CB7E23"/>
    <w:rsid w:val="00CC1C94"/>
    <w:rsid w:val="00CD2B05"/>
    <w:rsid w:val="00CD459D"/>
    <w:rsid w:val="00CE1906"/>
    <w:rsid w:val="00CE76E0"/>
    <w:rsid w:val="00D0223C"/>
    <w:rsid w:val="00D07856"/>
    <w:rsid w:val="00D13D2A"/>
    <w:rsid w:val="00D17DF5"/>
    <w:rsid w:val="00D225F2"/>
    <w:rsid w:val="00D32D18"/>
    <w:rsid w:val="00D36FA8"/>
    <w:rsid w:val="00D4230E"/>
    <w:rsid w:val="00D549EC"/>
    <w:rsid w:val="00D54DFE"/>
    <w:rsid w:val="00D60F57"/>
    <w:rsid w:val="00D612BD"/>
    <w:rsid w:val="00D63227"/>
    <w:rsid w:val="00D67625"/>
    <w:rsid w:val="00D701C5"/>
    <w:rsid w:val="00D719D6"/>
    <w:rsid w:val="00D739F7"/>
    <w:rsid w:val="00D73DB5"/>
    <w:rsid w:val="00D74024"/>
    <w:rsid w:val="00D7533C"/>
    <w:rsid w:val="00D81E51"/>
    <w:rsid w:val="00D8322F"/>
    <w:rsid w:val="00D83F1E"/>
    <w:rsid w:val="00D92CED"/>
    <w:rsid w:val="00D95D9F"/>
    <w:rsid w:val="00D963CA"/>
    <w:rsid w:val="00DB2831"/>
    <w:rsid w:val="00DB3EE2"/>
    <w:rsid w:val="00DB5B7C"/>
    <w:rsid w:val="00DC152A"/>
    <w:rsid w:val="00DC1F0B"/>
    <w:rsid w:val="00DD2BE0"/>
    <w:rsid w:val="00DD4947"/>
    <w:rsid w:val="00DD5F0F"/>
    <w:rsid w:val="00DD71C4"/>
    <w:rsid w:val="00DE1E08"/>
    <w:rsid w:val="00DE5A93"/>
    <w:rsid w:val="00DF0C53"/>
    <w:rsid w:val="00DF0E12"/>
    <w:rsid w:val="00DF3A15"/>
    <w:rsid w:val="00DF3A90"/>
    <w:rsid w:val="00DF4BC6"/>
    <w:rsid w:val="00E02450"/>
    <w:rsid w:val="00E02EF0"/>
    <w:rsid w:val="00E04C6C"/>
    <w:rsid w:val="00E0778E"/>
    <w:rsid w:val="00E24D3F"/>
    <w:rsid w:val="00E30840"/>
    <w:rsid w:val="00E3188A"/>
    <w:rsid w:val="00E34705"/>
    <w:rsid w:val="00E408CB"/>
    <w:rsid w:val="00E41AC8"/>
    <w:rsid w:val="00E43406"/>
    <w:rsid w:val="00E4579B"/>
    <w:rsid w:val="00E46C42"/>
    <w:rsid w:val="00E53B9B"/>
    <w:rsid w:val="00E545A8"/>
    <w:rsid w:val="00E5669A"/>
    <w:rsid w:val="00E6193F"/>
    <w:rsid w:val="00E66CE8"/>
    <w:rsid w:val="00E66D32"/>
    <w:rsid w:val="00E703D8"/>
    <w:rsid w:val="00E80134"/>
    <w:rsid w:val="00E84055"/>
    <w:rsid w:val="00E84114"/>
    <w:rsid w:val="00E92056"/>
    <w:rsid w:val="00E93619"/>
    <w:rsid w:val="00E93BB9"/>
    <w:rsid w:val="00E93D7D"/>
    <w:rsid w:val="00E96203"/>
    <w:rsid w:val="00EA648C"/>
    <w:rsid w:val="00EB27A1"/>
    <w:rsid w:val="00EC0510"/>
    <w:rsid w:val="00EC16AB"/>
    <w:rsid w:val="00EC2879"/>
    <w:rsid w:val="00EC39E9"/>
    <w:rsid w:val="00EC66B2"/>
    <w:rsid w:val="00ED0065"/>
    <w:rsid w:val="00ED1E74"/>
    <w:rsid w:val="00ED67BC"/>
    <w:rsid w:val="00EE39AD"/>
    <w:rsid w:val="00EE4F1B"/>
    <w:rsid w:val="00EF2570"/>
    <w:rsid w:val="00F003FA"/>
    <w:rsid w:val="00F01976"/>
    <w:rsid w:val="00F1002E"/>
    <w:rsid w:val="00F10CB9"/>
    <w:rsid w:val="00F13919"/>
    <w:rsid w:val="00F14A30"/>
    <w:rsid w:val="00F17432"/>
    <w:rsid w:val="00F240C0"/>
    <w:rsid w:val="00F24582"/>
    <w:rsid w:val="00F30970"/>
    <w:rsid w:val="00F503BE"/>
    <w:rsid w:val="00F60D26"/>
    <w:rsid w:val="00F61E0B"/>
    <w:rsid w:val="00F62718"/>
    <w:rsid w:val="00F6405D"/>
    <w:rsid w:val="00F73D14"/>
    <w:rsid w:val="00F803BF"/>
    <w:rsid w:val="00F811BE"/>
    <w:rsid w:val="00F81CF4"/>
    <w:rsid w:val="00F85827"/>
    <w:rsid w:val="00F94EBC"/>
    <w:rsid w:val="00FA1F80"/>
    <w:rsid w:val="00FB0FBE"/>
    <w:rsid w:val="00FB1AD7"/>
    <w:rsid w:val="00FB1B2E"/>
    <w:rsid w:val="00FB250E"/>
    <w:rsid w:val="00FB4E5C"/>
    <w:rsid w:val="00FB7585"/>
    <w:rsid w:val="00FC1ECD"/>
    <w:rsid w:val="00FC39EE"/>
    <w:rsid w:val="00FC5056"/>
    <w:rsid w:val="00FC7719"/>
    <w:rsid w:val="00FC781A"/>
    <w:rsid w:val="00FF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F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1F0B"/>
    <w:rPr>
      <w:sz w:val="18"/>
      <w:szCs w:val="18"/>
    </w:rPr>
  </w:style>
  <w:style w:type="paragraph" w:styleId="a4">
    <w:name w:val="footer"/>
    <w:basedOn w:val="a"/>
    <w:link w:val="Char0"/>
    <w:uiPriority w:val="99"/>
    <w:unhideWhenUsed/>
    <w:rsid w:val="00DC1F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1F0B"/>
    <w:rPr>
      <w:sz w:val="18"/>
      <w:szCs w:val="18"/>
    </w:rPr>
  </w:style>
  <w:style w:type="paragraph" w:styleId="a5">
    <w:name w:val="List Paragraph"/>
    <w:basedOn w:val="a"/>
    <w:uiPriority w:val="34"/>
    <w:qFormat/>
    <w:rsid w:val="00F003FA"/>
    <w:pPr>
      <w:ind w:firstLineChars="200" w:firstLine="420"/>
    </w:pPr>
  </w:style>
  <w:style w:type="paragraph" w:styleId="a6">
    <w:name w:val="Normal (Web)"/>
    <w:basedOn w:val="a"/>
    <w:uiPriority w:val="99"/>
    <w:unhideWhenUsed/>
    <w:rsid w:val="002528B3"/>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rsid w:val="00BF4135"/>
    <w:rPr>
      <w:rFonts w:ascii="宋体" w:eastAsia="宋体" w:hAnsi="宋体" w:hint="eastAsia"/>
      <w:b w:val="0"/>
      <w:bCs w:val="0"/>
      <w:i w:val="0"/>
      <w:iCs w:val="0"/>
      <w:color w:val="000000"/>
      <w:sz w:val="24"/>
      <w:szCs w:val="24"/>
    </w:rPr>
  </w:style>
  <w:style w:type="table" w:styleId="a7">
    <w:name w:val="Table Grid"/>
    <w:basedOn w:val="a1"/>
    <w:uiPriority w:val="39"/>
    <w:rsid w:val="00590F0C"/>
    <w:rPr>
      <w:rFonts w:ascii="Arial" w:hAnsi="Arial" w:cs="Aria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F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1F0B"/>
    <w:rPr>
      <w:sz w:val="18"/>
      <w:szCs w:val="18"/>
    </w:rPr>
  </w:style>
  <w:style w:type="paragraph" w:styleId="a4">
    <w:name w:val="footer"/>
    <w:basedOn w:val="a"/>
    <w:link w:val="Char0"/>
    <w:uiPriority w:val="99"/>
    <w:unhideWhenUsed/>
    <w:rsid w:val="00DC1F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1F0B"/>
    <w:rPr>
      <w:sz w:val="18"/>
      <w:szCs w:val="18"/>
    </w:rPr>
  </w:style>
  <w:style w:type="paragraph" w:styleId="a5">
    <w:name w:val="List Paragraph"/>
    <w:basedOn w:val="a"/>
    <w:uiPriority w:val="34"/>
    <w:qFormat/>
    <w:rsid w:val="00F003FA"/>
    <w:pPr>
      <w:ind w:firstLineChars="200" w:firstLine="420"/>
    </w:pPr>
  </w:style>
  <w:style w:type="paragraph" w:styleId="a6">
    <w:name w:val="Normal (Web)"/>
    <w:basedOn w:val="a"/>
    <w:uiPriority w:val="99"/>
    <w:unhideWhenUsed/>
    <w:rsid w:val="002528B3"/>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rsid w:val="00BF4135"/>
    <w:rPr>
      <w:rFonts w:ascii="宋体" w:eastAsia="宋体" w:hAnsi="宋体" w:hint="eastAsia"/>
      <w:b w:val="0"/>
      <w:bCs w:val="0"/>
      <w:i w:val="0"/>
      <w:iCs w:val="0"/>
      <w:color w:val="000000"/>
      <w:sz w:val="24"/>
      <w:szCs w:val="24"/>
    </w:rPr>
  </w:style>
  <w:style w:type="table" w:styleId="a7">
    <w:name w:val="Table Grid"/>
    <w:basedOn w:val="a1"/>
    <w:uiPriority w:val="39"/>
    <w:rsid w:val="00590F0C"/>
    <w:rPr>
      <w:rFonts w:ascii="Arial" w:hAnsi="Arial" w:cs="Aria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2216">
      <w:bodyDiv w:val="1"/>
      <w:marLeft w:val="0"/>
      <w:marRight w:val="0"/>
      <w:marTop w:val="0"/>
      <w:marBottom w:val="0"/>
      <w:divBdr>
        <w:top w:val="none" w:sz="0" w:space="0" w:color="auto"/>
        <w:left w:val="none" w:sz="0" w:space="0" w:color="auto"/>
        <w:bottom w:val="none" w:sz="0" w:space="0" w:color="auto"/>
        <w:right w:val="none" w:sz="0" w:space="0" w:color="auto"/>
      </w:divBdr>
    </w:div>
    <w:div w:id="198320007">
      <w:bodyDiv w:val="1"/>
      <w:marLeft w:val="0"/>
      <w:marRight w:val="0"/>
      <w:marTop w:val="0"/>
      <w:marBottom w:val="0"/>
      <w:divBdr>
        <w:top w:val="none" w:sz="0" w:space="0" w:color="auto"/>
        <w:left w:val="none" w:sz="0" w:space="0" w:color="auto"/>
        <w:bottom w:val="none" w:sz="0" w:space="0" w:color="auto"/>
        <w:right w:val="none" w:sz="0" w:space="0" w:color="auto"/>
      </w:divBdr>
    </w:div>
    <w:div w:id="781727581">
      <w:bodyDiv w:val="1"/>
      <w:marLeft w:val="0"/>
      <w:marRight w:val="0"/>
      <w:marTop w:val="0"/>
      <w:marBottom w:val="0"/>
      <w:divBdr>
        <w:top w:val="none" w:sz="0" w:space="0" w:color="auto"/>
        <w:left w:val="none" w:sz="0" w:space="0" w:color="auto"/>
        <w:bottom w:val="none" w:sz="0" w:space="0" w:color="auto"/>
        <w:right w:val="none" w:sz="0" w:space="0" w:color="auto"/>
      </w:divBdr>
    </w:div>
    <w:div w:id="917401982">
      <w:bodyDiv w:val="1"/>
      <w:marLeft w:val="0"/>
      <w:marRight w:val="0"/>
      <w:marTop w:val="0"/>
      <w:marBottom w:val="0"/>
      <w:divBdr>
        <w:top w:val="none" w:sz="0" w:space="0" w:color="auto"/>
        <w:left w:val="none" w:sz="0" w:space="0" w:color="auto"/>
        <w:bottom w:val="none" w:sz="0" w:space="0" w:color="auto"/>
        <w:right w:val="none" w:sz="0" w:space="0" w:color="auto"/>
      </w:divBdr>
    </w:div>
    <w:div w:id="18502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31D8-0B97-4B61-9E49-DD08ADAE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Gu,Yuxuan</dc:creator>
  <cp:lastModifiedBy>Gu,Yuxuan</cp:lastModifiedBy>
  <cp:revision>8</cp:revision>
  <cp:lastPrinted>2023-02-24T07:37:00Z</cp:lastPrinted>
  <dcterms:created xsi:type="dcterms:W3CDTF">2024-05-16T10:28:00Z</dcterms:created>
  <dcterms:modified xsi:type="dcterms:W3CDTF">2024-05-17T02:44:00Z</dcterms:modified>
</cp:coreProperties>
</file>