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C03" w:rsidRDefault="001243FB">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600355                             </w:t>
      </w:r>
      <w:r>
        <w:rPr>
          <w:rFonts w:hAnsi="宋体"/>
          <w:bCs/>
          <w:iCs/>
          <w:color w:val="000000"/>
          <w:sz w:val="24"/>
        </w:rPr>
        <w:t>证券简称：</w:t>
      </w:r>
      <w:r>
        <w:rPr>
          <w:color w:val="000000"/>
          <w:sz w:val="24"/>
        </w:rPr>
        <w:t>精伦电子</w:t>
      </w:r>
    </w:p>
    <w:p w:rsidR="00336C03" w:rsidRDefault="001243FB">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精伦电子股份有限公司</w:t>
      </w:r>
      <w:r>
        <w:rPr>
          <w:rFonts w:ascii="宋体" w:hAnsi="宋体" w:hint="eastAsia"/>
          <w:b/>
          <w:bCs/>
          <w:iCs/>
          <w:color w:val="000000"/>
          <w:sz w:val="32"/>
          <w:szCs w:val="32"/>
        </w:rPr>
        <w:t>投资者关系活动记录表</w:t>
      </w:r>
    </w:p>
    <w:p w:rsidR="00336C03" w:rsidRDefault="001243FB">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336C03">
        <w:tc>
          <w:tcPr>
            <w:tcW w:w="1908"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kern w:val="0"/>
                <w:sz w:val="24"/>
              </w:rPr>
            </w:pPr>
            <w:r>
              <w:rPr>
                <w:rFonts w:hAnsi="宋体"/>
                <w:bCs/>
                <w:iCs/>
                <w:color w:val="000000"/>
                <w:kern w:val="0"/>
                <w:sz w:val="24"/>
              </w:rPr>
              <w:t>投资者关系活动类别</w:t>
            </w:r>
          </w:p>
          <w:p w:rsidR="00336C03" w:rsidRDefault="00336C03">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rsidR="00336C03" w:rsidRDefault="001243FB">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rsidR="00336C03" w:rsidRDefault="001243FB">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rsidR="00336C03" w:rsidRDefault="001243FB">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rsidR="00336C03" w:rsidRDefault="001243FB">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336C03">
        <w:tc>
          <w:tcPr>
            <w:tcW w:w="1908"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sz w:val="24"/>
                <w:lang w:val="en-GB"/>
              </w:rPr>
            </w:pPr>
            <w:r>
              <w:rPr>
                <w:rFonts w:hint="eastAsia"/>
                <w:bCs/>
                <w:iCs/>
                <w:color w:val="000000"/>
                <w:sz w:val="24"/>
                <w:lang w:val="en-GB"/>
              </w:rPr>
              <w:t>投资者网上提问</w:t>
            </w:r>
          </w:p>
        </w:tc>
      </w:tr>
      <w:tr w:rsidR="00336C03">
        <w:tc>
          <w:tcPr>
            <w:tcW w:w="1908"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sz w:val="24"/>
              </w:rPr>
            </w:pPr>
            <w:r>
              <w:rPr>
                <w:bCs/>
                <w:iCs/>
                <w:color w:val="000000"/>
                <w:sz w:val="24"/>
              </w:rPr>
              <w:t>2024</w:t>
            </w:r>
            <w:r>
              <w:rPr>
                <w:bCs/>
                <w:iCs/>
                <w:color w:val="000000"/>
                <w:sz w:val="24"/>
              </w:rPr>
              <w:t>年</w:t>
            </w:r>
            <w:r>
              <w:rPr>
                <w:bCs/>
                <w:iCs/>
                <w:color w:val="000000"/>
                <w:sz w:val="24"/>
              </w:rPr>
              <w:t>5</w:t>
            </w:r>
            <w:r>
              <w:rPr>
                <w:bCs/>
                <w:iCs/>
                <w:color w:val="000000"/>
                <w:sz w:val="24"/>
              </w:rPr>
              <w:t>月</w:t>
            </w:r>
            <w:r>
              <w:rPr>
                <w:bCs/>
                <w:iCs/>
                <w:color w:val="000000"/>
                <w:sz w:val="24"/>
              </w:rPr>
              <w:t>16</w:t>
            </w:r>
            <w:r>
              <w:rPr>
                <w:bCs/>
                <w:iCs/>
                <w:color w:val="000000"/>
                <w:sz w:val="24"/>
              </w:rPr>
              <w:t>日</w:t>
            </w:r>
            <w:r>
              <w:rPr>
                <w:bCs/>
                <w:iCs/>
                <w:color w:val="000000"/>
                <w:sz w:val="24"/>
              </w:rPr>
              <w:t xml:space="preserve"> (</w:t>
            </w:r>
            <w:r>
              <w:rPr>
                <w:bCs/>
                <w:iCs/>
                <w:color w:val="000000"/>
                <w:sz w:val="24"/>
              </w:rPr>
              <w:t>周四</w:t>
            </w:r>
            <w:r>
              <w:rPr>
                <w:bCs/>
                <w:iCs/>
                <w:color w:val="000000"/>
                <w:sz w:val="24"/>
              </w:rPr>
              <w:t xml:space="preserve">) </w:t>
            </w:r>
            <w:r>
              <w:rPr>
                <w:bCs/>
                <w:iCs/>
                <w:color w:val="000000"/>
                <w:sz w:val="24"/>
              </w:rPr>
              <w:t>下午</w:t>
            </w:r>
            <w:r>
              <w:rPr>
                <w:bCs/>
                <w:iCs/>
                <w:color w:val="000000"/>
                <w:sz w:val="24"/>
              </w:rPr>
              <w:t xml:space="preserve"> 14:30~16:00</w:t>
            </w:r>
          </w:p>
        </w:tc>
      </w:tr>
      <w:tr w:rsidR="00336C03">
        <w:tc>
          <w:tcPr>
            <w:tcW w:w="1908"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”（http</w:t>
            </w:r>
            <w:r>
              <w:rPr>
                <w:rFonts w:ascii="宋体" w:hAnsi="宋体"/>
                <w:bCs/>
                <w:sz w:val="24"/>
              </w:rPr>
              <w:t>s</w:t>
            </w:r>
            <w:r>
              <w:rPr>
                <w:rFonts w:ascii="宋体" w:hAnsi="宋体" w:hint="eastAsia"/>
                <w:bCs/>
                <w:sz w:val="24"/>
              </w:rPr>
              <w:t>://ir.p5w.net）采用网络远程的方式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336C03">
        <w:tc>
          <w:tcPr>
            <w:tcW w:w="1908"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336C03" w:rsidRDefault="001243FB">
            <w:pPr>
              <w:spacing w:line="420" w:lineRule="exact"/>
              <w:rPr>
                <w:rFonts w:ascii="宋体" w:hAnsi="宋体"/>
                <w:bCs/>
                <w:sz w:val="24"/>
              </w:rPr>
            </w:pPr>
            <w:r>
              <w:rPr>
                <w:rFonts w:ascii="宋体" w:hAnsi="宋体"/>
                <w:bCs/>
                <w:sz w:val="24"/>
              </w:rPr>
              <w:t>1、董事会秘书张万宏</w:t>
            </w:r>
          </w:p>
          <w:p w:rsidR="00336C03" w:rsidRDefault="001243FB">
            <w:pPr>
              <w:spacing w:line="420" w:lineRule="exact"/>
              <w:rPr>
                <w:rFonts w:ascii="宋体" w:hAnsi="宋体"/>
                <w:bCs/>
                <w:sz w:val="24"/>
              </w:rPr>
            </w:pPr>
            <w:r>
              <w:rPr>
                <w:rFonts w:ascii="宋体" w:hAnsi="宋体"/>
                <w:bCs/>
                <w:sz w:val="24"/>
              </w:rPr>
              <w:t>2、董事、副总经理、财务负责人李学军</w:t>
            </w:r>
          </w:p>
        </w:tc>
      </w:tr>
      <w:tr w:rsidR="00336C03">
        <w:tc>
          <w:tcPr>
            <w:tcW w:w="1908" w:type="dxa"/>
            <w:tcBorders>
              <w:top w:val="single" w:sz="4" w:space="0" w:color="auto"/>
              <w:left w:val="single" w:sz="4" w:space="0" w:color="auto"/>
              <w:bottom w:val="single" w:sz="4" w:space="0" w:color="auto"/>
              <w:right w:val="single" w:sz="4" w:space="0" w:color="auto"/>
            </w:tcBorders>
            <w:vAlign w:val="center"/>
          </w:tcPr>
          <w:p w:rsidR="00336C03" w:rsidRDefault="001243FB">
            <w:pPr>
              <w:spacing w:line="420" w:lineRule="exact"/>
              <w:rPr>
                <w:bCs/>
                <w:iCs/>
                <w:color w:val="000000"/>
                <w:kern w:val="0"/>
                <w:sz w:val="24"/>
              </w:rPr>
            </w:pPr>
            <w:r>
              <w:rPr>
                <w:rFonts w:hAnsi="宋体"/>
                <w:bCs/>
                <w:iCs/>
                <w:color w:val="000000"/>
                <w:kern w:val="0"/>
                <w:sz w:val="24"/>
              </w:rPr>
              <w:t>投资者关系活动主要内容介绍</w:t>
            </w:r>
          </w:p>
          <w:p w:rsidR="00336C03" w:rsidRDefault="00336C03">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rsidR="00336C03" w:rsidRDefault="001243FB">
            <w:pPr>
              <w:spacing w:beforeLines="50" w:before="156" w:line="460" w:lineRule="exact"/>
              <w:ind w:firstLineChars="249" w:firstLine="600"/>
              <w:rPr>
                <w:rFonts w:ascii="宋体" w:hAnsi="宋体"/>
                <w:b/>
                <w:sz w:val="24"/>
              </w:rPr>
            </w:pPr>
            <w:r>
              <w:rPr>
                <w:rFonts w:ascii="宋体" w:hAnsi="宋体"/>
                <w:b/>
                <w:sz w:val="24"/>
              </w:rPr>
              <w:t>投资者提出的问题及公司回复情况</w:t>
            </w:r>
          </w:p>
          <w:p w:rsidR="00336C03" w:rsidRDefault="001243FB">
            <w:pPr>
              <w:spacing w:line="460" w:lineRule="exact"/>
              <w:ind w:firstLineChars="200" w:firstLine="480"/>
              <w:rPr>
                <w:rFonts w:ascii="宋体" w:hAnsi="宋体"/>
                <w:sz w:val="24"/>
              </w:rPr>
            </w:pPr>
            <w:r>
              <w:rPr>
                <w:rFonts w:ascii="宋体" w:hAnsi="宋体"/>
                <w:sz w:val="24"/>
              </w:rPr>
              <w:t xml:space="preserve"> </w:t>
            </w:r>
            <w:r>
              <w:rPr>
                <w:rFonts w:ascii="宋体" w:hAnsi="宋体" w:cs="宋体"/>
                <w:sz w:val="24"/>
              </w:rPr>
              <w:t>公司就投资者在本次说明会中提出的问题进行了回复：</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1、在资产处置收益增加的同时，资产减值损失也有所增加，这是否反映了公司资产质量的波动?公司如何平衡资产处置和减值准备，以确保资产的稳健性?</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公司的资产减值损失的增加主要是由于计提的存货减值准备增加，存货只是公司资产的一部分，与技术发展和市场需求变化有密切的关系。公司注重技术投入和积累，唯有不断创新提高公司产品竞争力和领先优势，才能确保资产价值的稳健。</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2、投资收益由正转负，显示出投资活动可能面临挑战。请问公司对于投资策略是否有调整计划?如何在未来的投资决策中降低类似风险?</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投资活动并不是公司的主要业务和发展方向，公司历年的投资活动也相对有限。公司会加强投资决策的风险控制，聚焦公司主业。</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lastRenderedPageBreak/>
              <w:t>3、董秘，您好！在当前行业经济环境下，公司营业收入出现明显下滑，管理层如何看待这一趋势?公司是否有应对策略或者新的增长点来抵消这种影响?！</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在当前行业经济环境下，公司营业收入出现下滑，这个趋势部分反映了行业和国内经济的特征。公司坚持创新驱动，坚持质量优先，加大产品研发力度和市场推广力度。</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4、在当前经济环境下，公司如何看待未来一年的市场挑战和机遇?特别是考虑到原材料价格波动、供应链紧张等因素，公司计划如何调整经营策略以维持盈利能力和增长态势?！</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智能制造类产品</w:t>
            </w:r>
            <w:r>
              <w:rPr>
                <w:rFonts w:ascii="宋体" w:hAnsi="宋体"/>
                <w:sz w:val="24"/>
                <w:szCs w:val="24"/>
              </w:rPr>
              <w:br/>
              <w:t>2023年行业经济持续下滑，整体回落至近十年来最低水平。面对行业经济下行压力，公司深化改革，推陈出新，激发员工内驱力，提升研产销进度，稳住了工业缝制设备数控交流伺服系统销量下滑趋势，下滑幅度逐季收窄；智能家用缝绣数控系统销量上升趋势明显；智能生产管理系统与国内知名缝企战略合作向细分领域聚焦，如鞋服智能工厂、汽车内饰智能工厂等局部IOT场景的应用落地，已初现端倪形成收益。</w:t>
            </w:r>
            <w:r>
              <w:rPr>
                <w:rFonts w:ascii="宋体" w:hAnsi="宋体"/>
                <w:sz w:val="24"/>
                <w:szCs w:val="24"/>
              </w:rPr>
              <w:br/>
              <w:t>商用智能终端类产品</w:t>
            </w:r>
            <w:r>
              <w:rPr>
                <w:rFonts w:ascii="宋体" w:hAnsi="宋体"/>
                <w:sz w:val="24"/>
                <w:szCs w:val="24"/>
              </w:rPr>
              <w:br/>
              <w:t>由于市场需求大范围萎缩，2023年身份核验类商用终端产品销售收入较上一报告期略有减少，但整体业务稳定，持续保持身份证阅读机具行业前列地位。物联网智能终端相关产品不断完善和推陈出新，在优质市场开始批量销售安装，力争突破实现规模性的销售。</w:t>
            </w:r>
            <w:r>
              <w:rPr>
                <w:rFonts w:ascii="宋体" w:hAnsi="宋体"/>
                <w:sz w:val="24"/>
                <w:szCs w:val="24"/>
              </w:rPr>
              <w:br/>
              <w:t>软件与信息服务类产品</w:t>
            </w:r>
            <w:r>
              <w:rPr>
                <w:rFonts w:ascii="宋体" w:hAnsi="宋体"/>
                <w:sz w:val="24"/>
                <w:szCs w:val="24"/>
              </w:rPr>
              <w:br/>
              <w:t>国内教育装备行业重组加速，教育装备行业企业间的竞争也日趋激烈，一方面随着竞争加剧产品价格快速下滑，另一方面教育装备产品也逐渐形成一些头部品牌，占据比较大的市场份额，大部分中小企业发展都受到很大影响。随着国内教育装备制造技术的提高，教育信息化的推进，各级教育管理机构的信息化水平也得到了显著提高。教育管理信息化不仅提高了管理效率，还为决策</w:t>
            </w:r>
            <w:r>
              <w:rPr>
                <w:rFonts w:ascii="宋体" w:hAnsi="宋体"/>
                <w:sz w:val="24"/>
                <w:szCs w:val="24"/>
              </w:rPr>
              <w:lastRenderedPageBreak/>
              <w:t>提供了更加科学的数据支持。例如，通过大数据分析技术，可以对学生的日常表现、学习行为和成绩进行分析，为教师发展和学生成长提供有大数据支撑的更加精准的反馈。单纯的装备配备已经趋于饱和，学校和管理部门更加需要能够推动设备应用的软硬件整体解决方案，这类产品将有更为广阔的发展前景。</w:t>
            </w:r>
            <w:r>
              <w:rPr>
                <w:rFonts w:ascii="宋体" w:hAnsi="宋体"/>
                <w:sz w:val="24"/>
                <w:szCs w:val="24"/>
              </w:rPr>
              <w:br/>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5、报告显示研发投入有所下降，这是否意味着公司在研发策略上有何调整?面对不断变化的市场需求和技术迭代，公司如何平衡短期业绩与长期研发投入的关系，以确保技术领先地位?</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与上年相比，2023年的研发费用只是略有下降，并不意味着公司在研发策略上有调整</w:t>
            </w:r>
            <w:r w:rsidR="007F174F">
              <w:rPr>
                <w:rFonts w:ascii="宋体" w:hAnsi="宋体" w:hint="eastAsia"/>
                <w:sz w:val="24"/>
                <w:szCs w:val="24"/>
              </w:rPr>
              <w:t>。</w:t>
            </w:r>
            <w:r>
              <w:rPr>
                <w:rFonts w:ascii="宋体" w:hAnsi="宋体"/>
                <w:sz w:val="24"/>
                <w:szCs w:val="24"/>
              </w:rPr>
              <w:t>相反，2023年公司研发投入占收入的比例从17.2%提高到20%，公司持续重视研发投入，为客户提供美好感觉的产品。</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6、商用智能终端类产品在身份核验市场表现出色，面对市场萎缩的情况，公司计划如何调整产品线或寻找新的增长点以应对挑战?是否考虑拓展到其他相关行业或国际市场?</w:t>
            </w:r>
          </w:p>
          <w:p w:rsidR="007F174F" w:rsidRDefault="001243FB">
            <w:pPr>
              <w:pStyle w:val="Style6"/>
              <w:spacing w:line="460" w:lineRule="exact"/>
              <w:ind w:leftChars="-1" w:left="-2" w:firstLine="480"/>
              <w:rPr>
                <w:rFonts w:ascii="宋体" w:hAnsi="宋体"/>
                <w:sz w:val="24"/>
                <w:szCs w:val="24"/>
              </w:rPr>
            </w:pPr>
            <w:r>
              <w:rPr>
                <w:rFonts w:ascii="宋体" w:hAnsi="宋体"/>
                <w:sz w:val="24"/>
                <w:szCs w:val="24"/>
              </w:rPr>
              <w:t>针对智能身份核验新的技术和应用需求的变化，公司继续重视身份核验产品的研发与销售，持续推进身份证核验产品的技术和产品升级换代工作，利用完备的自主知识产权的研究开发体系，软件产品，包括接口软件、行业应用软件、算法软件、平台软件等，与人工智能技术、物联网技术、云平台技术相结合，拓展更广泛的行业细分领域的落地应用，保持在该领域的产品技术领先地位。</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物联网充电产品和运营服务平台的应用推广方面，公司利用已有技术，持续创新完善产品线，聚焦行业及用户痛点，不断推出覆盖电动自行车和电动汽车交流充电应用的产品，开拓支持多种运营模式、家用模式的新能源车充电市场，扩大在产品功能、销售模式、运营模式上的差异化市场竞争优势。</w:t>
            </w:r>
          </w:p>
          <w:p w:rsidR="007F174F" w:rsidRDefault="007F174F">
            <w:pPr>
              <w:pStyle w:val="Style6"/>
              <w:spacing w:line="460" w:lineRule="exact"/>
              <w:ind w:leftChars="-1" w:left="-2" w:firstLine="480"/>
              <w:rPr>
                <w:rFonts w:ascii="宋体" w:hAnsi="宋体" w:hint="eastAsia"/>
                <w:sz w:val="24"/>
                <w:szCs w:val="24"/>
              </w:rPr>
            </w:pP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lastRenderedPageBreak/>
              <w:t>7、在营业外收入中，政府补助占据了较大比例，这些补助的主要来源是什么项目?对未来几年，公司是否预期能持续获得类似的政府支持，这对于公司的盈利稳定性有多大的影响?</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政府补助不属于营业外收入，相关类别和项目名称请参看财务报告附注。</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8、营业外收入和支出的变化异常显著，尤其是营业外支出骤减。这是否意味着公司已经成功解决了某些一次性问题?或者，这样的变化是偶发性的，未来可能不会持续?</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2023年的营业外支出虽然相比上年有较大的下降，但两年的绝对值都很低。</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9、应收账款中，精伦电气和精伦园的余额较大，公司是否有针对这些大额应收账款的具体回收计划?如何保障关联方应收账款的回收，以防止可能的坏账风险?</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精伦电气和精伦园的应收账款是正常业务往来的期末余额，并不存在坏账风险，公司会加强对关联方的对账和回收，充分保证股东权益。</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10、虽然报告中提到公司股份总数和股本结构未发生变化，但股东张学阳和罗剑峰之间存在姻亲关系。这种关联关系是否可能导致内部决策时的利益冲突?公司对此有何机制来保证决策的公正性和透明度?</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尊敬的投资者您好。张学阳先生和罗剑峰先生属于姻亲关系但不是一致行动人关系，公司股东按照公司章程独立行使股东权利履行股东义务。</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11、注意到资产减值损失大幅增加，主要原因是什么?是否与特定的投资项目或行业环境变化有关?这是否会持续影响公司的财务状况?</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资产减值损失主要系本期计提存货跌价损失增加所致，直接反映在2023年的损益之中，不会持续影响公司的财务状况。</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12、投资收益由正转负，主要原因是联营企业的亏损。管理</w:t>
            </w:r>
            <w:r>
              <w:rPr>
                <w:rFonts w:ascii="宋体" w:hAnsi="宋体"/>
                <w:b/>
                <w:sz w:val="24"/>
                <w:szCs w:val="24"/>
              </w:rPr>
              <w:lastRenderedPageBreak/>
              <w:t>层对这些联营企业的前景如何看待?公司是否会调整投资组合，以降低对外部投资的依赖?</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尊敬的投资者您好。公司对外投资规模不大，并积极跟踪和识别相关风险，公司不存在依赖外部投资的情形。</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13、智能制造类产品板块中，公司提到已与多家行业龙头企业形成战略合作。能否详细分享一下这些合作的具体内容和对公司未来发展的潜在影响?是否有计划进一步深化或扩大这些合作?</w:t>
            </w:r>
          </w:p>
          <w:p w:rsidR="007F174F" w:rsidRDefault="001243FB">
            <w:pPr>
              <w:pStyle w:val="Style6"/>
              <w:spacing w:line="460" w:lineRule="exact"/>
              <w:ind w:leftChars="-1" w:left="-2" w:firstLine="480"/>
              <w:rPr>
                <w:rFonts w:ascii="宋体" w:hAnsi="宋体"/>
                <w:sz w:val="24"/>
                <w:szCs w:val="24"/>
              </w:rPr>
            </w:pPr>
            <w:r>
              <w:rPr>
                <w:rFonts w:ascii="宋体" w:hAnsi="宋体"/>
                <w:sz w:val="24"/>
                <w:szCs w:val="24"/>
              </w:rPr>
              <w:t>公司凭借智能数控系统入选中国轻工业缝制机械配套行业十强企业、上海市专精特新企业、高新技术企业，研发机构评选为中国轻工业联合会数控工程技术研究中心、浦东新区企业研发机构，是中国缝制机械行业电子电控领域的“排头兵工业企业”单位，TC231SC4/TC152标准委员会单位，曾参与二十多项国家标准和行业标准的制定和修订，承担参与国家级科技项目四项，市、区级科技项目十余项，公司研发人员占员工总数50%以上，具有行业领先的研发实力。截止到2023年底公司有效专利160项，其中有效发明专利19项、有效实用新型专利80项、外观设计专利36项，软件著作权65项。</w:t>
            </w:r>
          </w:p>
          <w:p w:rsidR="007F174F" w:rsidRDefault="001243FB">
            <w:pPr>
              <w:pStyle w:val="Style6"/>
              <w:spacing w:line="460" w:lineRule="exact"/>
              <w:ind w:leftChars="-1" w:left="-2" w:firstLine="480"/>
              <w:rPr>
                <w:rFonts w:ascii="宋体" w:hAnsi="宋体"/>
                <w:sz w:val="24"/>
                <w:szCs w:val="24"/>
              </w:rPr>
            </w:pPr>
            <w:r>
              <w:rPr>
                <w:rFonts w:ascii="宋体" w:hAnsi="宋体"/>
                <w:sz w:val="24"/>
                <w:szCs w:val="24"/>
              </w:rPr>
              <w:t>2023年公司重点在创新功能数控产品上的开发、缝制工厂场景应用上的优化、数字化、网络化产品持续丰富等方面聚焦，为客户提供富有竞争力的产品，也为行业转型升级提供更全面的专业产品和整体方案。其中</w:t>
            </w:r>
            <w:proofErr w:type="spellStart"/>
            <w:r>
              <w:rPr>
                <w:rFonts w:ascii="宋体" w:hAnsi="宋体"/>
                <w:sz w:val="24"/>
                <w:szCs w:val="24"/>
              </w:rPr>
              <w:t>Powermax</w:t>
            </w:r>
            <w:proofErr w:type="spellEnd"/>
            <w:r>
              <w:rPr>
                <w:rFonts w:ascii="宋体" w:hAnsi="宋体"/>
                <w:sz w:val="24"/>
                <w:szCs w:val="24"/>
              </w:rPr>
              <w:t xml:space="preserve"> 智能制造系统荣获2023年上海轻工知名品牌产品与2023年中国纺织工业联合会双创大赛（风尚奖）；ASD73智能物联网数控系统获得2023年CISMA展主题示范产品；基于自动吸附的模板智能平缝系统获得2023年中缝协创业大赛（铜奖）。</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公司在伺服系统和基于物联网的智能制造终端方面与业内整机企业保持良好的合作关系，为缝制企业的智能化改造提供支持。</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14、软件与信息服务类产品在教育领域的解决方案日益成</w:t>
            </w:r>
            <w:r>
              <w:rPr>
                <w:rFonts w:ascii="宋体" w:hAnsi="宋体"/>
                <w:b/>
                <w:sz w:val="24"/>
                <w:szCs w:val="24"/>
              </w:rPr>
              <w:lastRenderedPageBreak/>
              <w:t>熟，公司如何看待教育信息化市场的长期潜力?在与大型教育装备企业的竞争中，公司的核心竞争优势是什么?又如何保持并增强这种优势?</w:t>
            </w:r>
          </w:p>
          <w:p w:rsidR="00336C03" w:rsidRDefault="001243FB">
            <w:pPr>
              <w:pStyle w:val="Style6"/>
              <w:spacing w:line="460" w:lineRule="exact"/>
              <w:ind w:leftChars="-1" w:left="-2" w:firstLine="480"/>
              <w:rPr>
                <w:rFonts w:ascii="宋体" w:hAnsi="宋体"/>
                <w:sz w:val="24"/>
                <w:szCs w:val="24"/>
              </w:rPr>
            </w:pPr>
            <w:r>
              <w:rPr>
                <w:rFonts w:ascii="宋体" w:hAnsi="宋体"/>
                <w:sz w:val="24"/>
                <w:szCs w:val="24"/>
              </w:rPr>
              <w:t>软件与信息服务类产品线团队聚焦智慧物联和智慧教育领域，紧跟国家教育信息化发展趋势，随着项目推广、常态化应用的学校越来越多，公司对行业需求的理解和把握也越来越精准，结合公司在产品研发方面的技术积累，尤其是嵌入式软、硬件产品研发以及基于大数据和云计算的综合业务平台的研发经验和积累。别致智慧校园方案日臻完善，产品也越来越丰富；逐步形成能够为学校持续提供从终端产品、内容以及运营服务的整体解决方案，公司在这一领域竞争力和口碑进一步提升。</w:t>
            </w:r>
          </w:p>
          <w:p w:rsidR="00336C03" w:rsidRDefault="001243FB">
            <w:pPr>
              <w:pStyle w:val="Style6"/>
              <w:spacing w:line="460" w:lineRule="exact"/>
              <w:ind w:left="413" w:firstLineChars="0" w:firstLine="0"/>
              <w:rPr>
                <w:rFonts w:ascii="宋体" w:hAnsi="宋体"/>
                <w:b/>
                <w:sz w:val="24"/>
                <w:szCs w:val="24"/>
              </w:rPr>
            </w:pPr>
            <w:r>
              <w:rPr>
                <w:rFonts w:ascii="宋体" w:hAnsi="宋体"/>
                <w:b/>
                <w:sz w:val="24"/>
                <w:szCs w:val="24"/>
              </w:rPr>
              <w:t>15、在预收款项方面，尤其是预收租金部分，这部分收入的确认会对公司的现金流产生怎样的积极影响?公司是否有计划进一步扩大租赁业务以增加稳定的预收款项流?</w:t>
            </w:r>
          </w:p>
          <w:p w:rsidR="00336C03" w:rsidRPr="007F174F" w:rsidRDefault="001243FB" w:rsidP="007F174F">
            <w:pPr>
              <w:pStyle w:val="Style6"/>
              <w:spacing w:line="460" w:lineRule="exact"/>
              <w:ind w:leftChars="-1" w:left="-2" w:firstLine="480"/>
              <w:rPr>
                <w:rFonts w:ascii="宋体" w:hAnsi="宋体" w:hint="eastAsia"/>
                <w:sz w:val="24"/>
                <w:szCs w:val="24"/>
              </w:rPr>
            </w:pPr>
            <w:r>
              <w:rPr>
                <w:rFonts w:ascii="宋体" w:hAnsi="宋体"/>
                <w:sz w:val="24"/>
                <w:szCs w:val="24"/>
              </w:rPr>
              <w:t>预收款项，包括预收租金，对现金流有一定的积极影响，是流动资金的有益补充；公司本部建筑面积55,623.87平方米，为了提高公司总部办公环境的利用效率，践行集约绿色的发展理念，公司从2020年开始，将21,113平方米空置的自用房地产用于对外出租获得收益。</w:t>
            </w:r>
            <w:bookmarkStart w:id="0" w:name="_GoBack"/>
            <w:bookmarkEnd w:id="0"/>
          </w:p>
        </w:tc>
      </w:tr>
      <w:tr w:rsidR="00336C03">
        <w:tc>
          <w:tcPr>
            <w:tcW w:w="1908" w:type="dxa"/>
            <w:tcBorders>
              <w:top w:val="single" w:sz="4" w:space="0" w:color="auto"/>
              <w:left w:val="single" w:sz="4" w:space="0" w:color="auto"/>
              <w:bottom w:val="single" w:sz="4" w:space="0" w:color="auto"/>
              <w:right w:val="single" w:sz="4" w:space="0" w:color="auto"/>
            </w:tcBorders>
            <w:vAlign w:val="center"/>
          </w:tcPr>
          <w:p w:rsidR="00336C03" w:rsidRDefault="001243FB">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rsidR="00336C03" w:rsidRDefault="00336C03">
            <w:pPr>
              <w:spacing w:line="420" w:lineRule="exact"/>
              <w:rPr>
                <w:bCs/>
                <w:iCs/>
                <w:color w:val="000000"/>
                <w:sz w:val="24"/>
              </w:rPr>
            </w:pPr>
          </w:p>
        </w:tc>
      </w:tr>
      <w:tr w:rsidR="00336C03">
        <w:tc>
          <w:tcPr>
            <w:tcW w:w="1908" w:type="dxa"/>
            <w:tcBorders>
              <w:top w:val="single" w:sz="4" w:space="0" w:color="auto"/>
              <w:left w:val="single" w:sz="4" w:space="0" w:color="auto"/>
              <w:bottom w:val="single" w:sz="4" w:space="0" w:color="auto"/>
              <w:right w:val="single" w:sz="4" w:space="0" w:color="auto"/>
            </w:tcBorders>
            <w:vAlign w:val="center"/>
          </w:tcPr>
          <w:p w:rsidR="00336C03" w:rsidRDefault="001243FB">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rsidR="00336C03" w:rsidRDefault="001243FB">
            <w:pPr>
              <w:spacing w:line="420" w:lineRule="exact"/>
              <w:rPr>
                <w:bCs/>
                <w:iCs/>
                <w:color w:val="000000"/>
                <w:sz w:val="24"/>
              </w:rPr>
            </w:pPr>
            <w:r>
              <w:rPr>
                <w:bCs/>
                <w:iCs/>
                <w:color w:val="000000"/>
                <w:sz w:val="24"/>
              </w:rPr>
              <w:t>2024-05-16 16:48:22</w:t>
            </w:r>
          </w:p>
        </w:tc>
      </w:tr>
    </w:tbl>
    <w:p w:rsidR="00336C03" w:rsidRDefault="00336C03"/>
    <w:sectPr w:rsidR="00336C0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7F4" w:rsidRDefault="006747F4">
      <w:r>
        <w:separator/>
      </w:r>
    </w:p>
  </w:endnote>
  <w:endnote w:type="continuationSeparator" w:id="0">
    <w:p w:rsidR="006747F4" w:rsidRDefault="0067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03" w:rsidRDefault="001243FB">
    <w:pPr>
      <w:pStyle w:val="a3"/>
      <w:jc w:val="right"/>
    </w:pPr>
    <w:r>
      <w:rPr>
        <w:rFonts w:ascii="仿宋" w:eastAsia="仿宋" w:hAnsi="仿宋" w:hint="eastAsia"/>
        <w:sz w:val="24"/>
        <w:szCs w:val="24"/>
        <w:lang w:eastAsia="zh-Hans"/>
      </w:rPr>
      <w:t>深圳市全景网络有限公司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7F4" w:rsidRDefault="006747F4">
      <w:r>
        <w:separator/>
      </w:r>
    </w:p>
  </w:footnote>
  <w:footnote w:type="continuationSeparator" w:id="0">
    <w:p w:rsidR="006747F4" w:rsidRDefault="00674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C03" w:rsidRDefault="001243FB">
    <w:pPr>
      <w:pStyle w:val="a5"/>
      <w:pBdr>
        <w:bottom w:val="none" w:sz="0" w:space="0" w:color="auto"/>
      </w:pBdr>
      <w:jc w:val="left"/>
    </w:pPr>
    <w:r>
      <w:rPr>
        <w:noProof/>
      </w:rP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43FB"/>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36C03"/>
    <w:rsid w:val="00344914"/>
    <w:rsid w:val="00346917"/>
    <w:rsid w:val="00354A7B"/>
    <w:rsid w:val="00360FDA"/>
    <w:rsid w:val="00363075"/>
    <w:rsid w:val="00367D18"/>
    <w:rsid w:val="00370FE9"/>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178"/>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47F4"/>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7F174F"/>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721C6F8"/>
  <w15:docId w15:val="{64F2A139-03FF-8A4B-A5C9-6D2020AE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2034</Words>
  <Characters>2076</Characters>
  <Application>Microsoft Office Word</Application>
  <DocSecurity>0</DocSecurity>
  <Lines>49</Lines>
  <Paragraphs>12</Paragraphs>
  <ScaleCrop>false</ScaleCrop>
  <Company>微软中国</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Michael Zhang</cp:lastModifiedBy>
  <cp:revision>4</cp:revision>
  <cp:lastPrinted>2014-02-21T05:34:00Z</cp:lastPrinted>
  <dcterms:created xsi:type="dcterms:W3CDTF">2024-05-17T06:14:00Z</dcterms:created>
  <dcterms:modified xsi:type="dcterms:W3CDTF">2024-05-17T06:20:00Z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