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9150E" w14:textId="77777777" w:rsidR="00CA3D26" w:rsidRDefault="00000000">
      <w:pPr>
        <w:pStyle w:val="p1"/>
        <w:widowControl/>
        <w:ind w:firstLine="0"/>
        <w:jc w:val="center"/>
        <w:rPr>
          <w:rStyle w:val="s1"/>
          <w:rFonts w:asciiTheme="majorEastAsia" w:eastAsiaTheme="majorEastAsia" w:hAnsiTheme="majorEastAsia" w:hint="default"/>
        </w:rPr>
      </w:pPr>
      <w:r>
        <w:rPr>
          <w:rStyle w:val="s1"/>
          <w:rFonts w:asciiTheme="majorEastAsia" w:eastAsiaTheme="majorEastAsia" w:hAnsiTheme="majorEastAsia" w:hint="default"/>
        </w:rPr>
        <w:t>证券代码：</w:t>
      </w:r>
      <w:r>
        <w:rPr>
          <w:rStyle w:val="s2"/>
          <w:rFonts w:asciiTheme="majorEastAsia" w:eastAsiaTheme="majorEastAsia" w:hAnsiTheme="majorEastAsia"/>
        </w:rPr>
        <w:t>605296</w:t>
      </w:r>
      <w:r>
        <w:rPr>
          <w:rFonts w:asciiTheme="majorEastAsia" w:eastAsiaTheme="majorEastAsia" w:hAnsiTheme="majorEastAsia"/>
        </w:rPr>
        <w:t xml:space="preserve">                            </w:t>
      </w:r>
      <w:r>
        <w:rPr>
          <w:rStyle w:val="s1"/>
          <w:rFonts w:asciiTheme="majorEastAsia" w:eastAsiaTheme="majorEastAsia" w:hAnsiTheme="majorEastAsia" w:hint="default"/>
        </w:rPr>
        <w:t>证券简称：神农集团</w:t>
      </w:r>
    </w:p>
    <w:p w14:paraId="4C098F81" w14:textId="77777777" w:rsidR="00CA3D26" w:rsidRDefault="00CA3D26">
      <w:pPr>
        <w:pStyle w:val="p1"/>
        <w:widowControl/>
        <w:ind w:firstLine="0"/>
        <w:jc w:val="center"/>
        <w:rPr>
          <w:rFonts w:asciiTheme="majorEastAsia" w:eastAsiaTheme="majorEastAsia" w:hAnsiTheme="majorEastAsia"/>
        </w:rPr>
      </w:pPr>
    </w:p>
    <w:p w14:paraId="25D32467" w14:textId="77777777" w:rsidR="00CA3D26" w:rsidRDefault="00000000">
      <w:pPr>
        <w:pStyle w:val="p2"/>
        <w:widowControl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Style w:val="s2"/>
          <w:rFonts w:asciiTheme="majorEastAsia" w:eastAsiaTheme="majorEastAsia" w:hAnsiTheme="majorEastAsia"/>
          <w:b/>
          <w:bCs/>
          <w:sz w:val="28"/>
          <w:szCs w:val="28"/>
        </w:rPr>
        <w:t>云南神农农业产业集团股份有限公司投资者关系活动记录表</w:t>
      </w:r>
    </w:p>
    <w:p w14:paraId="30284368" w14:textId="77777777" w:rsidR="00CA3D26" w:rsidRDefault="00000000">
      <w:pPr>
        <w:pStyle w:val="p3"/>
        <w:widowControl/>
        <w:rPr>
          <w:rFonts w:ascii="宋体" w:eastAsia="宋体" w:hAnsi="宋体"/>
        </w:rPr>
      </w:pPr>
      <w:r>
        <w:rPr>
          <w:rStyle w:val="s1"/>
          <w:rFonts w:ascii="宋体" w:eastAsia="宋体" w:hAnsi="宋体" w:hint="default"/>
        </w:rPr>
        <w:t>编号：</w:t>
      </w:r>
      <w:r>
        <w:rPr>
          <w:rStyle w:val="s2"/>
          <w:rFonts w:ascii="宋体" w:eastAsia="宋体" w:hAnsi="宋体"/>
        </w:rPr>
        <w:t>202</w:t>
      </w:r>
      <w:r>
        <w:rPr>
          <w:rStyle w:val="s2"/>
          <w:rFonts w:ascii="宋体" w:eastAsia="宋体" w:hAnsi="宋体" w:hint="eastAsia"/>
        </w:rPr>
        <w:t>40517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301"/>
      </w:tblGrid>
      <w:tr w:rsidR="00CA3D26" w14:paraId="4CE72759" w14:textId="77777777">
        <w:trPr>
          <w:trHeight w:val="2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CB45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投资者关系活动类别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CB6B" w14:textId="77777777" w:rsidR="00CA3D26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特定对象调研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分析师会议</w:t>
            </w:r>
          </w:p>
          <w:p w14:paraId="536087EF" w14:textId="77777777" w:rsidR="00CA3D26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媒体采访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  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业绩说明会</w:t>
            </w:r>
          </w:p>
          <w:p w14:paraId="394BC147" w14:textId="77777777" w:rsidR="00CA3D26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新闻发布会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路演活动</w:t>
            </w:r>
          </w:p>
          <w:p w14:paraId="2A429863" w14:textId="77777777" w:rsidR="00CA3D26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4"/>
                <w:rFonts w:asciiTheme="minorEastAsia" w:eastAsiaTheme="minorEastAsia" w:hAnsiTheme="minorEastAsia" w:cs="Songti SC Regular"/>
              </w:rPr>
              <w:fldChar w:fldCharType="begin"/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instrText xml:space="preserve"> eq \o\ac(□</w:instrTex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instrText>,</w:instrText>
            </w:r>
            <w:r>
              <w:rPr>
                <w:rStyle w:val="s4"/>
                <w:rFonts w:asciiTheme="minorEastAsia" w:eastAsiaTheme="minorEastAsia" w:hAnsiTheme="minorEastAsia" w:cs="Songti SC Regular" w:hint="eastAsia"/>
                <w:position w:val="2"/>
                <w:sz w:val="16"/>
              </w:rPr>
              <w:instrText>√</w:instrTex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instrText>)</w:instrTex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fldChar w:fldCharType="end"/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现场参观</w:t>
            </w:r>
          </w:p>
          <w:p w14:paraId="57DCCE67" w14:textId="47CA3097" w:rsidR="00CA3D26" w:rsidRDefault="00000000">
            <w:pPr>
              <w:pStyle w:val="p6"/>
              <w:widowControl/>
              <w:spacing w:after="0" w:line="480" w:lineRule="auto"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3"/>
                <w:rFonts w:asciiTheme="minorEastAsia" w:eastAsiaTheme="minorEastAsia" w:hAnsiTheme="minorEastAsia" w:cs="Songti SC Regular"/>
              </w:rPr>
              <w:sym w:font="Wingdings 2" w:char="00A3"/>
            </w:r>
            <w:r>
              <w:rPr>
                <w:rStyle w:val="s2"/>
                <w:rFonts w:asciiTheme="minorEastAsia" w:eastAsiaTheme="minorEastAsia" w:hAnsiTheme="minorEastAsia" w:cs="Songti SC Regular"/>
              </w:rPr>
              <w:t>其他</w:t>
            </w:r>
          </w:p>
        </w:tc>
      </w:tr>
      <w:tr w:rsidR="00CA3D26" w14:paraId="26B43DCA" w14:textId="77777777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6AAE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参与单位名称及人员姓名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7DE2" w14:textId="77777777" w:rsidR="00CA3D26" w:rsidRDefault="00000000">
            <w:pPr>
              <w:pStyle w:val="p8"/>
              <w:widowControl/>
              <w:spacing w:after="0" w:line="360" w:lineRule="auto"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中金公司、长江证券、海通证券、长盛基金、上海证券报、个人投资者等投资者和媒体机构。</w:t>
            </w:r>
          </w:p>
        </w:tc>
      </w:tr>
      <w:tr w:rsidR="00CA3D26" w14:paraId="39D5C686" w14:textId="7777777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3D6E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时间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9700" w14:textId="77777777" w:rsidR="00CA3D26" w:rsidRDefault="00000000">
            <w:pPr>
              <w:pStyle w:val="p9"/>
              <w:widowControl/>
              <w:rPr>
                <w:rFonts w:asciiTheme="minorEastAsia" w:eastAsiaTheme="minorEastAsia" w:hAnsiTheme="minorEastAsia" w:cs="Songti SC Regular"/>
              </w:rPr>
            </w:pP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2024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年5月16日</w:t>
            </w:r>
          </w:p>
        </w:tc>
      </w:tr>
      <w:tr w:rsidR="00CA3D26" w14:paraId="1830ABA8" w14:textId="77777777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CF41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地点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E2E1" w14:textId="77777777" w:rsidR="00CA3D26" w:rsidRDefault="00000000">
            <w:pPr>
              <w:pStyle w:val="p4"/>
              <w:widowControl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昆明市东风东路23号昆明恒隆广场办公楼39层办公室</w:t>
            </w:r>
          </w:p>
        </w:tc>
      </w:tr>
      <w:tr w:rsidR="00CA3D26" w14:paraId="1839C5E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5FE4F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上市公司接待人员姓名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9F1F8" w14:textId="77777777" w:rsidR="00CA3D26" w:rsidRDefault="00000000">
            <w:pPr>
              <w:pStyle w:val="p10"/>
              <w:widowControl/>
              <w:spacing w:line="240" w:lineRule="auto"/>
              <w:rPr>
                <w:rStyle w:val="s1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董事长、总经理：何祖训</w:t>
            </w:r>
          </w:p>
          <w:p w14:paraId="337485B2" w14:textId="77777777" w:rsidR="00CA3D26" w:rsidRDefault="00000000">
            <w:pPr>
              <w:pStyle w:val="p10"/>
              <w:widowControl/>
              <w:spacing w:line="240" w:lineRule="auto"/>
              <w:rPr>
                <w:rStyle w:val="s1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董事会秘书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：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蒋宏</w:t>
            </w:r>
          </w:p>
        </w:tc>
      </w:tr>
      <w:tr w:rsidR="00CA3D26" w14:paraId="369EB7E1" w14:textId="77777777">
        <w:trPr>
          <w:trHeight w:val="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BFEC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投资者关系活动主要内容介绍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C9DB" w14:textId="77777777" w:rsidR="00CA3D26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【问答环节】</w:t>
            </w:r>
          </w:p>
          <w:p w14:paraId="23F0999F" w14:textId="77777777" w:rsidR="00CA3D26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1、公司目前最新的成本情况？</w:t>
            </w:r>
          </w:p>
          <w:p w14:paraId="6042320A" w14:textId="77777777" w:rsidR="00CA3D26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答：4月份公司最新完全成本约为14.2元/公斤，4月份仔猪断奶成本为320</w:t>
            </w:r>
            <w:r>
              <w:rPr>
                <w:rStyle w:val="s2"/>
                <w:rFonts w:asciiTheme="minorEastAsia" w:eastAsia="宋体" w:hAnsiTheme="minorEastAsia" w:cs="Songti SC Regular"/>
                <w:sz w:val="24"/>
              </w:rPr>
              <w:t>+</w:t>
            </w: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元。</w:t>
            </w:r>
          </w:p>
          <w:p w14:paraId="66869C32" w14:textId="77777777" w:rsidR="00CA3D26" w:rsidRDefault="00CA3D26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</w:p>
          <w:p w14:paraId="55231FF3" w14:textId="77777777" w:rsidR="00CA3D26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2、问：公司今年的产能规划？</w:t>
            </w:r>
          </w:p>
          <w:p w14:paraId="3F8D9BCC" w14:textId="77777777" w:rsidR="00CA3D26" w:rsidRDefault="00000000">
            <w:pPr>
              <w:widowControl/>
              <w:spacing w:line="360" w:lineRule="auto"/>
              <w:jc w:val="left"/>
              <w:rPr>
                <w:b/>
                <w:bCs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答：公司目前母猪场产能为10.6万头，随着广西崇左1</w:t>
            </w:r>
            <w:r>
              <w:rPr>
                <w:rStyle w:val="s2"/>
                <w:rFonts w:asciiTheme="minorEastAsia" w:eastAsia="宋体" w:hAnsiTheme="minorEastAsia" w:cs="Songti SC Regular"/>
                <w:sz w:val="24"/>
              </w:rPr>
              <w:t>.6万头规模母</w:t>
            </w: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猪场5月底完工交付，2024年5月末母猪场产能可达</w:t>
            </w:r>
            <w:r>
              <w:rPr>
                <w:rStyle w:val="s2"/>
                <w:rFonts w:asciiTheme="minorEastAsia" w:eastAsia="宋体" w:hAnsiTheme="minorEastAsia" w:cs="Songti SC Regular"/>
                <w:sz w:val="24"/>
              </w:rPr>
              <w:t>12.2</w:t>
            </w: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万头。</w:t>
            </w:r>
          </w:p>
        </w:tc>
      </w:tr>
      <w:tr w:rsidR="00CA3D26" w14:paraId="5C64E209" w14:textId="77777777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F341" w14:textId="75A41BC9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附件清单（如有）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C725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Fonts w:asciiTheme="minorEastAsia" w:eastAsiaTheme="minorEastAsia" w:hAnsiTheme="minorEastAsia" w:cs="Songti SC Regular"/>
              </w:rPr>
              <w:t>附后</w:t>
            </w:r>
          </w:p>
        </w:tc>
      </w:tr>
      <w:tr w:rsidR="00CA3D26" w14:paraId="4595F014" w14:textId="7777777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4CF6" w14:textId="77777777" w:rsidR="00CA3D26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日期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3D1B" w14:textId="77777777" w:rsidR="00CA3D26" w:rsidRDefault="00000000">
            <w:pPr>
              <w:pStyle w:val="p9"/>
              <w:widowControl/>
              <w:rPr>
                <w:rFonts w:asciiTheme="minorEastAsia" w:eastAsiaTheme="minorEastAsia" w:hAnsiTheme="minorEastAsia" w:cs="Songti SC Regular"/>
              </w:rPr>
            </w:pP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2024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年5月17日</w:t>
            </w:r>
          </w:p>
        </w:tc>
      </w:tr>
    </w:tbl>
    <w:p w14:paraId="2427FCBE" w14:textId="77777777" w:rsidR="00CA3D26" w:rsidRDefault="00000000">
      <w:pPr>
        <w:pStyle w:val="p14"/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3385"/>
      </w:tblGrid>
      <w:tr w:rsidR="00CA3D26" w14:paraId="7723CFAB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2D17D7D2" w14:textId="77777777" w:rsidR="00CA3D26" w:rsidRDefault="00000000">
            <w:pPr>
              <w:pStyle w:val="a6"/>
              <w:widowControl/>
              <w:spacing w:beforeAutospacing="0" w:afterAutospacing="0"/>
              <w:jc w:val="center"/>
              <w:rPr>
                <w:rFonts w:ascii="Songti SC Regular" w:eastAsia="Songti SC Regular" w:hAnsi="Songti SC Regular" w:cs="Songti SC Regular"/>
              </w:rPr>
            </w:pPr>
            <w:r>
              <w:rPr>
                <w:rFonts w:ascii="Songti SC Regular" w:eastAsia="Songti SC Regular" w:hAnsi="Songti SC Regular" w:cs="Songti SC Regular" w:hint="eastAsia"/>
              </w:rPr>
              <w:t>参加机构名单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6BF621E" w14:textId="77777777" w:rsidR="00CA3D26" w:rsidRDefault="00000000">
            <w:pPr>
              <w:pStyle w:val="a6"/>
              <w:widowControl/>
              <w:spacing w:beforeAutospacing="0" w:afterAutospacing="0"/>
              <w:jc w:val="center"/>
              <w:rPr>
                <w:rFonts w:ascii="Songti SC Regular" w:eastAsia="Songti SC Regular" w:hAnsi="Songti SC Regular" w:cs="Songti SC Regular"/>
              </w:rPr>
            </w:pPr>
            <w:r>
              <w:rPr>
                <w:rFonts w:ascii="Songti SC Regular" w:eastAsia="Songti SC Regular" w:hAnsi="Songti SC Regular" w:cs="Songti SC Regular" w:hint="eastAsia"/>
              </w:rPr>
              <w:t>参会人员</w:t>
            </w:r>
          </w:p>
        </w:tc>
      </w:tr>
      <w:tr w:rsidR="00CA3D26" w14:paraId="25CEC224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3E2CADC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中金公司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E8D1797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王思洋</w:t>
            </w:r>
          </w:p>
        </w:tc>
      </w:tr>
      <w:tr w:rsidR="00CA3D26" w14:paraId="4712B328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7FAA118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中金公司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502CA2B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龙友琪</w:t>
            </w:r>
          </w:p>
        </w:tc>
      </w:tr>
      <w:tr w:rsidR="00CA3D26" w14:paraId="4BF89E51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36FCFB6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长江证券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63804C36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高一岑</w:t>
            </w:r>
          </w:p>
        </w:tc>
      </w:tr>
      <w:tr w:rsidR="00CA3D26" w14:paraId="7A0CE481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BDE5614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乘风投资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B991023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朱文录</w:t>
            </w:r>
          </w:p>
        </w:tc>
      </w:tr>
      <w:tr w:rsidR="00CA3D26" w14:paraId="710DCB6C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5BA7283D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乘风投资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6BFA445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苏泽颜</w:t>
            </w:r>
          </w:p>
        </w:tc>
      </w:tr>
      <w:tr w:rsidR="00CA3D26" w14:paraId="177175A5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941DEB4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海通证券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2F096B98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巩健</w:t>
            </w:r>
          </w:p>
        </w:tc>
      </w:tr>
      <w:tr w:rsidR="00CA3D26" w14:paraId="6D5DE7DB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76BB0318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开源证券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7F72ACD8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陈雪丽</w:t>
            </w:r>
          </w:p>
        </w:tc>
      </w:tr>
      <w:tr w:rsidR="00CA3D26" w14:paraId="4A5D4E68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694B378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长盛基金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51B5E69F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郝征</w:t>
            </w:r>
          </w:p>
        </w:tc>
      </w:tr>
      <w:tr w:rsidR="00CA3D26" w14:paraId="34505881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7895D427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国投瑞银基金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26F8DD59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桑俊</w:t>
            </w:r>
          </w:p>
        </w:tc>
      </w:tr>
      <w:tr w:rsidR="00CA3D26" w14:paraId="0BB5610F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960170C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永安期货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660D417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孟元</w:t>
            </w:r>
          </w:p>
        </w:tc>
      </w:tr>
      <w:tr w:rsidR="00CA3D26" w14:paraId="0EA75A34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85922BD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长城证券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E967F89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易强</w:t>
            </w:r>
          </w:p>
        </w:tc>
      </w:tr>
      <w:tr w:rsidR="00CA3D26" w14:paraId="50E75FE1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53C2F8B" w14:textId="6CD03227" w:rsidR="00CA3D26" w:rsidRDefault="001C534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中国</w:t>
            </w:r>
            <w:r w:rsidR="00000000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证券报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0F8B93E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康曦</w:t>
            </w:r>
          </w:p>
        </w:tc>
      </w:tr>
      <w:tr w:rsidR="00CA3D26" w14:paraId="4B18E40F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57562B34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上海证券报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FC45C62" w14:textId="77777777" w:rsidR="00CA3D26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高屹</w:t>
            </w:r>
          </w:p>
        </w:tc>
      </w:tr>
    </w:tbl>
    <w:p w14:paraId="14F1DFBB" w14:textId="77777777" w:rsidR="00CA3D26" w:rsidRDefault="00CA3D26"/>
    <w:sectPr w:rsidR="00CA3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200001BF" w:csb1="4F01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ngti SC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2MjA4OTcyOGVlNTg2NmVmNTIwYzhlMTA1MjE5YmYifQ=="/>
  </w:docVars>
  <w:rsids>
    <w:rsidRoot w:val="1D6C1E45"/>
    <w:rsid w:val="001C534E"/>
    <w:rsid w:val="00455232"/>
    <w:rsid w:val="004E12AB"/>
    <w:rsid w:val="007669C5"/>
    <w:rsid w:val="00B17B71"/>
    <w:rsid w:val="00CA3D26"/>
    <w:rsid w:val="0BAB1872"/>
    <w:rsid w:val="0C7C73F5"/>
    <w:rsid w:val="0EAA0B1C"/>
    <w:rsid w:val="0ED73F12"/>
    <w:rsid w:val="18F83F3F"/>
    <w:rsid w:val="1C83796D"/>
    <w:rsid w:val="1CBC0BBE"/>
    <w:rsid w:val="1D6C1E45"/>
    <w:rsid w:val="1E466501"/>
    <w:rsid w:val="2043542A"/>
    <w:rsid w:val="22EF357B"/>
    <w:rsid w:val="25273987"/>
    <w:rsid w:val="25820095"/>
    <w:rsid w:val="285C4F59"/>
    <w:rsid w:val="2DC9107C"/>
    <w:rsid w:val="2F3D7F1F"/>
    <w:rsid w:val="317E5721"/>
    <w:rsid w:val="35DC5F21"/>
    <w:rsid w:val="36C80A37"/>
    <w:rsid w:val="387743D9"/>
    <w:rsid w:val="3A225A15"/>
    <w:rsid w:val="3CBE7BFC"/>
    <w:rsid w:val="407878BA"/>
    <w:rsid w:val="40882A06"/>
    <w:rsid w:val="42495610"/>
    <w:rsid w:val="44DF2E05"/>
    <w:rsid w:val="46582153"/>
    <w:rsid w:val="46FE2E1B"/>
    <w:rsid w:val="47613FBA"/>
    <w:rsid w:val="47C93D94"/>
    <w:rsid w:val="4AFE7360"/>
    <w:rsid w:val="4BC623CC"/>
    <w:rsid w:val="4ECB517D"/>
    <w:rsid w:val="4ED03489"/>
    <w:rsid w:val="4F805498"/>
    <w:rsid w:val="50D56CD4"/>
    <w:rsid w:val="544113E6"/>
    <w:rsid w:val="56DA7B2D"/>
    <w:rsid w:val="587C1DC6"/>
    <w:rsid w:val="5AA30AE1"/>
    <w:rsid w:val="5DFD550C"/>
    <w:rsid w:val="5F59523E"/>
    <w:rsid w:val="5F732F36"/>
    <w:rsid w:val="61A34083"/>
    <w:rsid w:val="627B663F"/>
    <w:rsid w:val="64086A19"/>
    <w:rsid w:val="64B41A79"/>
    <w:rsid w:val="65335008"/>
    <w:rsid w:val="65C90072"/>
    <w:rsid w:val="6CDB3952"/>
    <w:rsid w:val="6FAF1794"/>
    <w:rsid w:val="714E5B51"/>
    <w:rsid w:val="75EA4FE2"/>
    <w:rsid w:val="770726D5"/>
    <w:rsid w:val="7A450D78"/>
    <w:rsid w:val="7A5A1876"/>
    <w:rsid w:val="7B6A336C"/>
    <w:rsid w:val="7CDD7C81"/>
    <w:rsid w:val="7D2E485A"/>
    <w:rsid w:val="7D6668C5"/>
    <w:rsid w:val="7E4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AC99"/>
  <w15:docId w15:val="{55F3EDDC-5929-4344-B053-DA47155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autoRedefine/>
    <w:qFormat/>
    <w:pPr>
      <w:ind w:firstLine="480"/>
      <w:jc w:val="left"/>
    </w:pPr>
    <w:rPr>
      <w:rFonts w:ascii="Times" w:eastAsia="Times" w:hAnsi="Times" w:cs="Times New Roman"/>
      <w:color w:val="000000"/>
      <w:kern w:val="0"/>
      <w:sz w:val="24"/>
    </w:rPr>
  </w:style>
  <w:style w:type="character" w:customStyle="1" w:styleId="s1">
    <w:name w:val="s1"/>
    <w:basedOn w:val="a0"/>
    <w:autoRedefine/>
    <w:qFormat/>
    <w:rPr>
      <w:rFonts w:ascii="songti sc" w:eastAsia="songti sc" w:hAnsi="songti sc" w:cs="songti sc" w:hint="eastAsia"/>
      <w:sz w:val="24"/>
      <w:szCs w:val="24"/>
    </w:rPr>
  </w:style>
  <w:style w:type="character" w:customStyle="1" w:styleId="s2">
    <w:name w:val="s2"/>
    <w:basedOn w:val="a0"/>
    <w:autoRedefine/>
    <w:qFormat/>
  </w:style>
  <w:style w:type="paragraph" w:customStyle="1" w:styleId="p2">
    <w:name w:val="p2"/>
    <w:basedOn w:val="a"/>
    <w:autoRedefine/>
    <w:qFormat/>
    <w:pPr>
      <w:ind w:firstLine="480"/>
      <w:jc w:val="center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3">
    <w:name w:val="p3"/>
    <w:basedOn w:val="a"/>
    <w:autoRedefine/>
    <w:qFormat/>
    <w:pPr>
      <w:ind w:firstLine="480"/>
      <w:jc w:val="righ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4">
    <w:name w:val="p4"/>
    <w:basedOn w:val="a"/>
    <w:autoRedefine/>
    <w:qFormat/>
    <w:pPr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5">
    <w:name w:val="p5"/>
    <w:basedOn w:val="a"/>
    <w:autoRedefine/>
    <w:qFormat/>
    <w:pPr>
      <w:spacing w:after="100"/>
      <w:jc w:val="left"/>
    </w:pPr>
    <w:rPr>
      <w:rFonts w:ascii="songti sc" w:eastAsia="songti sc" w:hAnsi="songti sc" w:cs="Times New Roman"/>
      <w:color w:val="000000"/>
      <w:kern w:val="0"/>
      <w:sz w:val="24"/>
    </w:rPr>
  </w:style>
  <w:style w:type="character" w:customStyle="1" w:styleId="s3">
    <w:name w:val="s3"/>
    <w:basedOn w:val="a0"/>
    <w:autoRedefine/>
    <w:qFormat/>
    <w:rPr>
      <w:rFonts w:ascii="lucida grande" w:eastAsia="lucida grande" w:hAnsi="lucida grande" w:cs="lucida grande"/>
      <w:sz w:val="24"/>
      <w:szCs w:val="24"/>
    </w:rPr>
  </w:style>
  <w:style w:type="character" w:customStyle="1" w:styleId="s4">
    <w:name w:val="s4"/>
    <w:basedOn w:val="a0"/>
    <w:autoRedefine/>
    <w:qFormat/>
    <w:rPr>
      <w:rFonts w:ascii="Times" w:eastAsia="Times" w:hAnsi="Times" w:cs="Times"/>
      <w:sz w:val="24"/>
      <w:szCs w:val="24"/>
    </w:rPr>
  </w:style>
  <w:style w:type="paragraph" w:customStyle="1" w:styleId="p6">
    <w:name w:val="p6"/>
    <w:basedOn w:val="a"/>
    <w:autoRedefine/>
    <w:qFormat/>
    <w:pPr>
      <w:shd w:val="clear" w:color="auto" w:fill="FFFFFF"/>
      <w:spacing w:after="240" w:line="440" w:lineRule="atLeast"/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8">
    <w:name w:val="p8"/>
    <w:basedOn w:val="a"/>
    <w:autoRedefine/>
    <w:qFormat/>
    <w:pPr>
      <w:spacing w:after="240" w:line="420" w:lineRule="atLeast"/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9">
    <w:name w:val="p9"/>
    <w:basedOn w:val="a"/>
    <w:autoRedefine/>
    <w:qFormat/>
    <w:pPr>
      <w:jc w:val="lef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0">
    <w:name w:val="p10"/>
    <w:basedOn w:val="a"/>
    <w:autoRedefine/>
    <w:qFormat/>
    <w:pPr>
      <w:spacing w:line="420" w:lineRule="atLeast"/>
      <w:jc w:val="lef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2">
    <w:name w:val="p12"/>
    <w:basedOn w:val="a"/>
    <w:autoRedefine/>
    <w:qFormat/>
    <w:pPr>
      <w:jc w:val="center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13">
    <w:name w:val="p13"/>
    <w:basedOn w:val="a"/>
    <w:autoRedefine/>
    <w:qFormat/>
    <w:pPr>
      <w:jc w:val="center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4">
    <w:name w:val="p14"/>
    <w:basedOn w:val="a"/>
    <w:autoRedefine/>
    <w:qFormat/>
    <w:pPr>
      <w:jc w:val="center"/>
    </w:pPr>
    <w:rPr>
      <w:rFonts w:ascii="Trebuchet MS" w:hAnsi="Trebuchet MS" w:cs="Times New Roman"/>
      <w:color w:val="000000"/>
      <w:kern w:val="0"/>
      <w:sz w:val="24"/>
    </w:rPr>
  </w:style>
  <w:style w:type="character" w:customStyle="1" w:styleId="a4">
    <w:name w:val="批注框文本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1C534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Qssica</dc:creator>
  <cp:lastModifiedBy>栋兵 李</cp:lastModifiedBy>
  <cp:revision>4</cp:revision>
  <dcterms:created xsi:type="dcterms:W3CDTF">2023-11-09T13:23:00Z</dcterms:created>
  <dcterms:modified xsi:type="dcterms:W3CDTF">2024-05-17T07:38:00Z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96B948A66C544F379009E80EBE2AECE5_13</vt:lpwstr>
  </property>
</Properties>
</file>