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hint="eastAsia"/>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688707                             </w:t>
      </w:r>
      <w:r>
        <w:rPr>
          <w:rFonts w:hAnsi="宋体"/>
          <w:bCs/>
          <w:iCs/>
          <w:color w:val="000000"/>
          <w:sz w:val="24"/>
        </w:rPr>
        <w:t>证券简称：</w:t>
      </w:r>
      <w:r>
        <w:rPr>
          <w:color w:val="000000"/>
          <w:sz w:val="24"/>
        </w:rPr>
        <w:t>振华新材</w:t>
      </w:r>
    </w:p>
    <w:p>
      <w:pPr>
        <w:spacing w:before="156" w:beforeLines="50" w:after="156" w:afterLines="50" w:line="400" w:lineRule="exact"/>
        <w:jc w:val="center"/>
        <w:rPr>
          <w:rFonts w:hint="default" w:ascii="宋体" w:hAnsi="宋体"/>
          <w:b/>
          <w:bCs/>
          <w:iCs/>
          <w:color w:val="000000"/>
          <w:sz w:val="32"/>
          <w:szCs w:val="32"/>
        </w:rPr>
      </w:pPr>
      <w:r>
        <w:rPr>
          <w:rFonts w:hint="default" w:ascii="宋体" w:hAnsi="宋体"/>
          <w:b/>
          <w:bCs/>
          <w:iCs/>
          <w:color w:val="000000"/>
          <w:sz w:val="32"/>
          <w:szCs w:val="32"/>
        </w:rPr>
        <w:t>贵州振华新材料股份有限公司</w:t>
      </w:r>
    </w:p>
    <w:p>
      <w:pPr>
        <w:spacing w:before="156" w:beforeLines="50" w:after="156" w:afterLines="50" w:line="400" w:lineRule="exact"/>
        <w:jc w:val="center"/>
        <w:rPr>
          <w:rFonts w:hint="eastAsia" w:ascii="宋体" w:hAnsi="宋体"/>
          <w:b/>
          <w:bCs/>
          <w:iCs/>
          <w:color w:val="000000"/>
          <w:sz w:val="32"/>
          <w:szCs w:val="32"/>
        </w:rPr>
      </w:pPr>
      <w:r>
        <w:rPr>
          <w:rFonts w:hint="eastAsia" w:ascii="宋体" w:hAnsi="宋体"/>
          <w:b/>
          <w:bCs/>
          <w:iCs/>
          <w:color w:val="000000"/>
          <w:sz w:val="32"/>
          <w:szCs w:val="32"/>
        </w:rPr>
        <w:t>投资者关系活动记录表</w:t>
      </w:r>
    </w:p>
    <w:p>
      <w:pPr>
        <w:spacing w:line="400" w:lineRule="exact"/>
        <w:rPr>
          <w:bCs/>
          <w:iCs/>
          <w:color w:val="000000"/>
          <w:sz w:val="24"/>
        </w:rPr>
      </w:pPr>
      <w:r>
        <w:rPr>
          <w:rFonts w:hint="eastAsia" w:ascii="宋体" w:hAnsi="宋体"/>
          <w:bCs/>
          <w:iCs/>
          <w:color w:val="000000"/>
          <w:sz w:val="24"/>
        </w:rPr>
        <w:t xml:space="preserve">                                                     </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投资者关系活动类别</w:t>
            </w:r>
          </w:p>
          <w:p>
            <w:pPr>
              <w:spacing w:line="420" w:lineRule="exact"/>
              <w:rPr>
                <w:bCs/>
                <w:iCs/>
                <w:color w:val="000000"/>
                <w:sz w:val="24"/>
              </w:rPr>
            </w:pP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r>
              <w:rPr>
                <w:rFonts w:hint="eastAsia"/>
                <w:bCs/>
                <w:iCs/>
                <w:color w:val="000000"/>
                <w:kern w:val="0"/>
                <w:sz w:val="24"/>
                <w:lang w:eastAsia="zh-CN"/>
              </w:rPr>
              <w:t>☑</w:t>
            </w:r>
            <w:r>
              <w:rPr>
                <w:rFonts w:hint="eastAsia"/>
                <w:bCs/>
                <w:iCs/>
                <w:color w:val="000000"/>
                <w:kern w:val="0"/>
                <w:sz w:val="24"/>
                <w:lang w:val="en-US" w:eastAsia="zh-CN"/>
              </w:rPr>
              <w:t xml:space="preserve"> </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rFonts w:hint="eastAsia"/>
                <w:kern w:val="0"/>
                <w:sz w:val="24"/>
                <w:lang w:val="en-US" w:eastAsia="zh-CN"/>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Pr>
                <w:rFonts w:hAnsi="宋体"/>
                <w:kern w:val="0"/>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bCs/>
                <w:iCs/>
                <w:color w:val="000000"/>
                <w:sz w:val="24"/>
                <w:lang w:val="en-GB"/>
              </w:rPr>
            </w:pPr>
            <w:r>
              <w:rPr>
                <w:rFonts w:hint="eastAsia"/>
                <w:sz w:val="24"/>
                <w:lang w:val="en-US" w:eastAsia="zh-CN"/>
              </w:rPr>
              <w:t>东吴证券：阮巧燕</w:t>
            </w:r>
            <w:r>
              <w:rPr>
                <w:rFonts w:hint="eastAsia"/>
                <w:sz w:val="24"/>
                <w:lang w:val="en-US" w:eastAsia="zh-CN"/>
              </w:rPr>
              <w:br w:type="textWrapping"/>
            </w:r>
            <w:r>
              <w:rPr>
                <w:rFonts w:hint="eastAsia"/>
                <w:sz w:val="24"/>
                <w:lang w:val="en-US" w:eastAsia="zh-CN"/>
              </w:rPr>
              <w:t>鹏华基金：郑辉煌</w:t>
            </w:r>
            <w:r>
              <w:rPr>
                <w:rFonts w:hint="eastAsia"/>
                <w:sz w:val="24"/>
                <w:lang w:val="en-US" w:eastAsia="zh-CN"/>
              </w:rPr>
              <w:br w:type="textWrapping"/>
            </w:r>
            <w:r>
              <w:rPr>
                <w:rFonts w:hint="eastAsia"/>
                <w:sz w:val="24"/>
                <w:lang w:val="en-US" w:eastAsia="zh-CN"/>
              </w:rPr>
              <w:t>国盛电新：林卓欣</w:t>
            </w:r>
            <w:r>
              <w:rPr>
                <w:rFonts w:hint="eastAsia"/>
                <w:sz w:val="24"/>
                <w:lang w:val="en-US" w:eastAsia="zh-CN"/>
              </w:rPr>
              <w:br w:type="textWrapping"/>
            </w:r>
            <w:r>
              <w:rPr>
                <w:rFonts w:hint="eastAsia"/>
                <w:sz w:val="24"/>
                <w:lang w:val="en-US" w:eastAsia="zh-CN"/>
              </w:rPr>
              <w:t>平安养老：蓝逸翔、陈晓光、周光远、丁劲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时间</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r>
              <w:rPr>
                <w:rFonts w:hint="eastAsia"/>
                <w:sz w:val="24"/>
              </w:rPr>
              <w:t>202</w:t>
            </w:r>
            <w:r>
              <w:rPr>
                <w:rFonts w:hint="eastAsia"/>
                <w:sz w:val="24"/>
                <w:lang w:val="en-US" w:eastAsia="zh-CN"/>
              </w:rPr>
              <w:t>4</w:t>
            </w:r>
            <w:r>
              <w:rPr>
                <w:rFonts w:hint="eastAsia"/>
                <w:sz w:val="24"/>
              </w:rPr>
              <w:t>年</w:t>
            </w:r>
            <w:r>
              <w:rPr>
                <w:rFonts w:hint="eastAsia"/>
                <w:sz w:val="24"/>
                <w:lang w:val="en-US" w:eastAsia="zh-CN"/>
              </w:rPr>
              <w:t>5</w:t>
            </w:r>
            <w:r>
              <w:rPr>
                <w:rFonts w:hint="eastAsia"/>
                <w:sz w:val="24"/>
              </w:rPr>
              <w:t>月</w:t>
            </w:r>
            <w:r>
              <w:rPr>
                <w:rFonts w:hint="eastAsia"/>
                <w:sz w:val="24"/>
                <w:lang w:val="en-US" w:eastAsia="zh-CN"/>
              </w:rPr>
              <w:t>15日10:00-11:00、16</w:t>
            </w:r>
            <w:r>
              <w:rPr>
                <w:rFonts w:hint="eastAsia"/>
                <w:sz w:val="24"/>
              </w:rPr>
              <w:t>日9:30-1</w:t>
            </w:r>
            <w:r>
              <w:rPr>
                <w:rFonts w:hint="eastAsia"/>
                <w:sz w:val="24"/>
                <w:lang w:val="en-US" w:eastAsia="zh-CN"/>
              </w:rPr>
              <w:t>0</w:t>
            </w:r>
            <w:r>
              <w:rPr>
                <w:rFonts w:hint="eastAsia"/>
                <w:sz w:val="24"/>
              </w:rPr>
              <w:t>:</w:t>
            </w:r>
            <w:r>
              <w:rPr>
                <w:rFonts w:hint="eastAsia"/>
                <w:sz w:val="24"/>
                <w:lang w:val="en-US" w:eastAsia="zh-CN"/>
              </w:rPr>
              <w:t>3</w:t>
            </w: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地点</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r>
              <w:rPr>
                <w:rFonts w:hint="eastAsia" w:asciiTheme="minorEastAsia" w:hAnsiTheme="minorEastAsia" w:cstheme="minorEastAsia"/>
                <w:sz w:val="24"/>
                <w:szCs w:val="24"/>
                <w:lang w:val="en-US" w:eastAsia="zh-CN"/>
              </w:rPr>
              <w:t>线上/贵阳公司现场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cstheme="minorEastAsia"/>
                <w:sz w:val="24"/>
                <w:szCs w:val="24"/>
                <w:lang w:val="en-US" w:eastAsia="zh-CN"/>
              </w:rPr>
            </w:pPr>
            <w:r>
              <w:rPr>
                <w:rFonts w:hint="eastAsia"/>
                <w:sz w:val="24"/>
                <w:lang w:val="en-US" w:eastAsia="zh-CN"/>
              </w:rPr>
              <w:t>向黔新</w:t>
            </w:r>
            <w:r>
              <w:rPr>
                <w:rFonts w:hint="eastAsia"/>
                <w:sz w:val="24"/>
              </w:rPr>
              <w:t xml:space="preserve"> </w:t>
            </w:r>
            <w:r>
              <w:rPr>
                <w:rFonts w:hint="eastAsia"/>
                <w:sz w:val="24"/>
                <w:lang w:val="en-US" w:eastAsia="zh-CN"/>
              </w:rPr>
              <w:t xml:space="preserve">  </w:t>
            </w:r>
            <w:r>
              <w:rPr>
                <w:rFonts w:hint="eastAsia" w:asciiTheme="minorEastAsia" w:hAnsiTheme="minorEastAsia" w:cstheme="minorEastAsia"/>
                <w:sz w:val="24"/>
                <w:szCs w:val="24"/>
                <w:lang w:val="en-US" w:eastAsia="zh-CN"/>
              </w:rPr>
              <w:t>总经理</w:t>
            </w:r>
          </w:p>
          <w:p>
            <w:pP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王敬     副总经理/董事会秘书</w:t>
            </w:r>
          </w:p>
          <w:p>
            <w:pP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夏荧营   董事会办公室主任</w:t>
            </w:r>
          </w:p>
          <w:p>
            <w:pPr>
              <w:rPr>
                <w:rFonts w:hint="default" w:ascii="宋体" w:hAnsi="宋体"/>
                <w:bCs/>
                <w:sz w:val="24"/>
              </w:rPr>
            </w:pPr>
            <w:r>
              <w:rPr>
                <w:rFonts w:hint="eastAsia" w:ascii="Times New Roman" w:hAnsi="Times New Roman" w:cs="Times New Roman"/>
                <w:sz w:val="24"/>
                <w:lang w:val="en-US" w:eastAsia="zh-CN"/>
              </w:rPr>
              <w:t>俞丝丝   证券事务代表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kern w:val="0"/>
                <w:sz w:val="24"/>
              </w:rPr>
            </w:pPr>
            <w:r>
              <w:rPr>
                <w:rFonts w:hAnsi="宋体"/>
                <w:bCs/>
                <w:iCs/>
                <w:color w:val="000000"/>
                <w:kern w:val="0"/>
                <w:sz w:val="24"/>
              </w:rPr>
              <w:t>投资者关系活动主要内容介绍</w:t>
            </w:r>
          </w:p>
          <w:p>
            <w:pPr>
              <w:spacing w:line="420" w:lineRule="exact"/>
              <w:rPr>
                <w:bCs/>
                <w:iCs/>
                <w:color w:val="000000"/>
                <w:sz w:val="24"/>
              </w:rPr>
            </w:pPr>
          </w:p>
        </w:tc>
        <w:tc>
          <w:tcPr>
            <w:tcW w:w="68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b/>
                <w:bCs/>
                <w:color w:val="000000"/>
                <w:kern w:val="0"/>
                <w:sz w:val="24"/>
                <w:lang w:val="en-US" w:bidi="ar"/>
              </w:rPr>
            </w:pPr>
            <w:r>
              <w:rPr>
                <w:rFonts w:hint="eastAsia" w:ascii="宋体" w:hAnsi="宋体" w:eastAsia="宋体" w:cs="宋体"/>
                <w:b/>
                <w:bCs/>
                <w:color w:val="000000"/>
                <w:kern w:val="0"/>
                <w:sz w:val="24"/>
                <w:lang w:val="en-US" w:eastAsia="zh-CN" w:bidi="ar"/>
              </w:rPr>
              <w:t>问题1：请问公司2024年Q1亏损原因及后续改善计划？</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lang w:val="en-US" w:eastAsia="zh-CN" w:bidi="ar"/>
              </w:rPr>
            </w:pPr>
            <w:r>
              <w:rPr>
                <w:rFonts w:hint="default" w:ascii="宋体" w:hAnsi="宋体" w:eastAsia="宋体" w:cs="宋体"/>
                <w:color w:val="000000"/>
                <w:kern w:val="0"/>
                <w:sz w:val="24"/>
                <w:lang w:val="en-US" w:bidi="ar"/>
              </w:rPr>
              <w:t>答：受原材料价格、市场竞争影响，</w:t>
            </w:r>
            <w:r>
              <w:rPr>
                <w:rFonts w:hint="eastAsia" w:ascii="宋体" w:hAnsi="宋体" w:eastAsia="宋体" w:cs="宋体"/>
                <w:color w:val="000000"/>
                <w:kern w:val="0"/>
                <w:sz w:val="24"/>
                <w:lang w:val="en-US" w:eastAsia="zh-CN" w:bidi="ar"/>
              </w:rPr>
              <w:t>一季度</w:t>
            </w:r>
            <w:r>
              <w:rPr>
                <w:rFonts w:hint="default" w:ascii="宋体" w:hAnsi="宋体" w:eastAsia="宋体" w:cs="宋体"/>
                <w:color w:val="000000"/>
                <w:kern w:val="0"/>
                <w:sz w:val="24"/>
                <w:lang w:val="en-US" w:bidi="ar"/>
              </w:rPr>
              <w:t>公司销售价格下行，</w:t>
            </w:r>
            <w:r>
              <w:rPr>
                <w:rFonts w:hint="eastAsia" w:ascii="宋体" w:hAnsi="宋体" w:eastAsia="宋体" w:cs="宋体"/>
                <w:color w:val="000000"/>
                <w:kern w:val="0"/>
                <w:sz w:val="24"/>
                <w:lang w:val="en-US" w:eastAsia="zh-CN" w:bidi="ar"/>
              </w:rPr>
              <w:t>产能利用率</w:t>
            </w:r>
            <w:r>
              <w:rPr>
                <w:rFonts w:hint="default" w:ascii="宋体" w:hAnsi="宋体" w:eastAsia="宋体" w:cs="宋体"/>
                <w:color w:val="000000"/>
                <w:kern w:val="0"/>
                <w:sz w:val="24"/>
                <w:lang w:val="en-US" w:bidi="ar"/>
              </w:rPr>
              <w:t>下行，导致营业收入下滑、经营亏损</w:t>
            </w:r>
            <w:r>
              <w:rPr>
                <w:rFonts w:hint="eastAsia" w:ascii="宋体" w:hAnsi="宋体" w:eastAsia="宋体" w:cs="宋体"/>
                <w:color w:val="000000"/>
                <w:kern w:val="0"/>
                <w:sz w:val="24"/>
                <w:lang w:val="en-US" w:eastAsia="zh-CN" w:bidi="ar"/>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公司将加快推广适用于新能源汽车领域的6系高电压快充材料、钠离子电池正极材料、适用于无人机领域（低空经济）的高功率材料、适用于二轮车等领域的低成本材料，拓宽客户，力争获得更多的市场份额。</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b/>
                <w:bCs/>
                <w:color w:val="000000"/>
                <w:kern w:val="0"/>
                <w:sz w:val="24"/>
                <w:lang w:val="en-US" w:bidi="ar"/>
              </w:rPr>
            </w:pPr>
            <w:r>
              <w:rPr>
                <w:rFonts w:hint="eastAsia" w:ascii="宋体" w:hAnsi="宋体" w:eastAsia="宋体" w:cs="宋体"/>
                <w:b/>
                <w:bCs/>
                <w:color w:val="000000"/>
                <w:kern w:val="0"/>
                <w:sz w:val="24"/>
                <w:lang w:val="en-US" w:eastAsia="zh-CN" w:bidi="ar"/>
              </w:rPr>
              <w:t>问题2：请问公司现有产能及扩产计划？</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lang w:val="en-US" w:eastAsia="zh-CN" w:bidi="ar"/>
              </w:rPr>
            </w:pPr>
            <w:r>
              <w:rPr>
                <w:rFonts w:hint="default" w:ascii="宋体" w:hAnsi="宋体" w:eastAsia="宋体" w:cs="宋体"/>
                <w:color w:val="000000"/>
                <w:kern w:val="0"/>
                <w:sz w:val="24"/>
                <w:lang w:val="en-US" w:bidi="ar"/>
              </w:rPr>
              <w:t>答：</w:t>
            </w:r>
            <w:r>
              <w:rPr>
                <w:rFonts w:hint="eastAsia" w:ascii="宋体" w:hAnsi="宋体" w:eastAsia="宋体" w:cs="宋体"/>
                <w:color w:val="000000"/>
                <w:kern w:val="0"/>
                <w:sz w:val="24"/>
                <w:lang w:val="en-US" w:eastAsia="zh-CN" w:bidi="ar"/>
              </w:rPr>
              <w:t>公司现有产能6.6万吨/年，其中高镍三元产线为2.6万吨/年，其余的4万吨/年为中镍及中高镍三元产线兼容生产钠离子电池正极材料。</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扩产计划：沙文一期技改项目建成后将新增1.6万吨正极材料产能，预计2024年年内完成；义龙三期项目目前处于土地平整阶段，公司会根据下游市场需求的变化，审慎把握推进节奏。</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b/>
                <w:bCs/>
                <w:color w:val="000000"/>
                <w:kern w:val="0"/>
                <w:sz w:val="24"/>
                <w:lang w:val="en-US" w:bidi="ar"/>
              </w:rPr>
            </w:pPr>
            <w:r>
              <w:rPr>
                <w:rFonts w:hint="eastAsia" w:ascii="宋体" w:hAnsi="宋体" w:eastAsia="宋体" w:cs="宋体"/>
                <w:b/>
                <w:bCs/>
                <w:color w:val="000000"/>
                <w:kern w:val="0"/>
                <w:sz w:val="24"/>
                <w:lang w:val="en-US" w:eastAsia="zh-CN" w:bidi="ar"/>
              </w:rPr>
              <w:t>问题3：请问公司如何看碳酸锂及其他稀有金属的价格走势？</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default" w:ascii="宋体" w:hAnsi="宋体" w:eastAsia="宋体" w:cs="宋体"/>
                <w:color w:val="000000"/>
                <w:kern w:val="0"/>
                <w:sz w:val="24"/>
                <w:lang w:val="en-US" w:bidi="ar"/>
              </w:rPr>
              <w:t>答：</w:t>
            </w:r>
            <w:r>
              <w:rPr>
                <w:rFonts w:ascii="宋体" w:hAnsi="宋体" w:eastAsia="宋体" w:cs="宋体"/>
                <w:sz w:val="24"/>
                <w:szCs w:val="24"/>
              </w:rPr>
              <w:t>影响</w:t>
            </w:r>
            <w:r>
              <w:rPr>
                <w:rFonts w:hint="eastAsia" w:ascii="宋体" w:hAnsi="宋体" w:eastAsia="宋体" w:cs="宋体"/>
                <w:sz w:val="24"/>
                <w:szCs w:val="24"/>
                <w:lang w:val="en-US" w:eastAsia="zh-CN"/>
              </w:rPr>
              <w:t>锂、钴、镍</w:t>
            </w:r>
            <w:r>
              <w:rPr>
                <w:rFonts w:ascii="宋体" w:hAnsi="宋体" w:eastAsia="宋体" w:cs="宋体"/>
                <w:sz w:val="24"/>
                <w:szCs w:val="24"/>
              </w:rPr>
              <w:t>价格</w:t>
            </w:r>
            <w:r>
              <w:rPr>
                <w:rFonts w:hint="eastAsia" w:ascii="宋体" w:hAnsi="宋体" w:eastAsia="宋体" w:cs="宋体"/>
                <w:sz w:val="24"/>
                <w:szCs w:val="24"/>
                <w:lang w:val="en-US" w:eastAsia="zh-CN"/>
              </w:rPr>
              <w:t>波动</w:t>
            </w:r>
            <w:r>
              <w:rPr>
                <w:rFonts w:ascii="宋体" w:hAnsi="宋体" w:eastAsia="宋体" w:cs="宋体"/>
                <w:sz w:val="24"/>
                <w:szCs w:val="24"/>
              </w:rPr>
              <w:t>的因素</w:t>
            </w:r>
            <w:r>
              <w:rPr>
                <w:rFonts w:hint="eastAsia" w:ascii="宋体" w:hAnsi="宋体" w:eastAsia="宋体" w:cs="宋体"/>
                <w:sz w:val="24"/>
                <w:szCs w:val="24"/>
                <w:lang w:val="en-US" w:eastAsia="zh-CN"/>
              </w:rPr>
              <w:t>很多，加上国际地缘政治的影响，存在很多不确定性，造成公司经营难度加大。</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问题4：请问公司现有库存情况</w:t>
            </w:r>
            <w:r>
              <w:rPr>
                <w:rFonts w:hint="default" w:ascii="宋体" w:hAnsi="宋体" w:eastAsia="宋体" w:cs="宋体"/>
                <w:b/>
                <w:bCs/>
                <w:color w:val="000000"/>
                <w:kern w:val="0"/>
                <w:sz w:val="24"/>
                <w:lang w:val="en-US" w:bidi="ar"/>
              </w:rPr>
              <w:t>？</w:t>
            </w:r>
            <w:r>
              <w:rPr>
                <w:rFonts w:hint="eastAsia" w:ascii="宋体" w:hAnsi="宋体" w:eastAsia="宋体" w:cs="宋体"/>
                <w:b/>
                <w:bCs/>
                <w:color w:val="000000"/>
                <w:kern w:val="0"/>
                <w:sz w:val="24"/>
                <w:lang w:val="en-US" w:eastAsia="zh-CN" w:bidi="ar"/>
              </w:rPr>
              <w:t>Q2是否还会计提？</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lang w:val="en-US" w:eastAsia="zh-CN" w:bidi="ar"/>
              </w:rPr>
            </w:pPr>
            <w:r>
              <w:rPr>
                <w:rFonts w:hint="default" w:ascii="宋体" w:hAnsi="宋体" w:eastAsia="宋体" w:cs="宋体"/>
                <w:color w:val="000000"/>
                <w:kern w:val="0"/>
                <w:sz w:val="24"/>
                <w:lang w:val="en-US" w:eastAsia="zh-CN" w:bidi="ar"/>
              </w:rPr>
              <w:t>答：</w:t>
            </w:r>
            <w:r>
              <w:rPr>
                <w:rFonts w:hint="eastAsia" w:ascii="宋体" w:hAnsi="宋体" w:eastAsia="宋体" w:cs="宋体"/>
                <w:color w:val="000000"/>
                <w:kern w:val="0"/>
                <w:sz w:val="24"/>
                <w:lang w:val="en-US" w:eastAsia="zh-CN" w:bidi="ar"/>
              </w:rPr>
              <w:t>当前公司采取的是低库存高周转的存货管理策略，希望能尽量降低原材料价格波动对利润的影响。</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b/>
                <w:bCs/>
                <w:color w:val="000000"/>
                <w:kern w:val="0"/>
                <w:sz w:val="24"/>
                <w:lang w:val="en-US" w:eastAsia="zh-CN" w:bidi="ar"/>
              </w:rPr>
            </w:pPr>
            <w:r>
              <w:rPr>
                <w:rFonts w:hint="eastAsia" w:ascii="宋体" w:hAnsi="宋体" w:eastAsia="宋体" w:cs="宋体"/>
                <w:b/>
                <w:bCs/>
                <w:color w:val="000000"/>
                <w:kern w:val="0"/>
                <w:sz w:val="24"/>
                <w:lang w:val="en-US" w:eastAsia="zh-CN" w:bidi="ar"/>
              </w:rPr>
              <w:t>问题5：请判断5、6、8、9系三元正极材料未来市场占比情况</w:t>
            </w:r>
            <w:r>
              <w:rPr>
                <w:rFonts w:hint="default" w:ascii="宋体" w:hAnsi="宋体" w:eastAsia="宋体" w:cs="宋体"/>
                <w:b/>
                <w:bCs/>
                <w:color w:val="000000"/>
                <w:kern w:val="0"/>
                <w:sz w:val="24"/>
                <w:lang w:val="en-US" w:eastAsia="zh-CN" w:bidi="ar"/>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lang w:val="en-US" w:eastAsia="zh-CN" w:bidi="ar"/>
              </w:rPr>
            </w:pPr>
            <w:r>
              <w:rPr>
                <w:rFonts w:hint="default" w:ascii="宋体" w:hAnsi="宋体" w:eastAsia="宋体" w:cs="宋体"/>
                <w:color w:val="000000"/>
                <w:kern w:val="0"/>
                <w:sz w:val="24"/>
                <w:lang w:val="en-US" w:eastAsia="zh-CN" w:bidi="ar"/>
              </w:rPr>
              <w:t>答：</w:t>
            </w:r>
            <w:r>
              <w:rPr>
                <w:rFonts w:hint="eastAsia" w:ascii="宋体" w:hAnsi="宋体" w:eastAsia="宋体" w:cs="宋体"/>
                <w:color w:val="000000"/>
                <w:kern w:val="0"/>
                <w:sz w:val="24"/>
                <w:lang w:val="en-US" w:eastAsia="zh-CN" w:bidi="ar"/>
              </w:rPr>
              <w:t>6系单晶三元相较于5系单晶三元有更高的能量密度，同时相较于常规高镍而言，在循环及安全性能表现上更出色，其性价比得到车企认可和推广，因此目前中镍高电压6系市场份额提升较快。8系高镍三元未来也会往高电压发向发展，主要用在半固态/凝聚态电池上（匹配高续航里程要求的高端车型）。因此，根据目前情况，预计未来5系三元市场份额将逐步减少，6系和8系市场份额可能会进一步提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问题6：请简单介绍公司新产品的推广情况。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color w:val="auto"/>
                <w:sz w:val="24"/>
                <w:lang w:val="en-US" w:eastAsia="zh-CN"/>
              </w:rPr>
            </w:pPr>
            <w:r>
              <w:rPr>
                <w:rFonts w:hint="eastAsia" w:asciiTheme="minorEastAsia" w:hAnsiTheme="minorEastAsia" w:cstheme="minorEastAsia"/>
                <w:sz w:val="24"/>
                <w:lang w:val="en-US" w:eastAsia="zh-CN"/>
              </w:rPr>
              <w:t>答：钠离子电池正极材料方面，公司的钠离子电池正极材料凭借优异的性能表现和领先的性价比优势，与国内头部电芯客户达成了全面深度的合作关</w:t>
            </w:r>
            <w:r>
              <w:rPr>
                <w:rFonts w:hint="eastAsia" w:asciiTheme="minorEastAsia" w:hAnsiTheme="minorEastAsia" w:cstheme="minorEastAsia"/>
                <w:color w:val="auto"/>
                <w:sz w:val="24"/>
                <w:lang w:val="en-US" w:eastAsia="zh-CN"/>
              </w:rPr>
              <w:t>系，完成客户评估测试，并获得装车应用。公司将根据客户反馈，持续完善产品性能，做好产品规模化应用的准备。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default"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6系高电压三元方面，公司开发的6系高电压三元具有成本低、能量密度高、直流内阻低及循环性能好等优势，目前下游客户正在积极评估导入。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color w:val="auto"/>
                <w:sz w:val="24"/>
                <w:lang w:val="en-US" w:eastAsia="zh-CN"/>
              </w:rPr>
            </w:pPr>
            <w:r>
              <w:rPr>
                <w:rFonts w:hint="eastAsia" w:asciiTheme="minorEastAsia" w:hAnsiTheme="minorEastAsia" w:cstheme="minorEastAsia"/>
                <w:color w:val="auto"/>
                <w:sz w:val="24"/>
                <w:lang w:val="en-US" w:eastAsia="zh-CN"/>
              </w:rPr>
              <w:t>钴酸锂方面，公司推出的高电压钴酸锂，能量密度优势明显，相关材料已送样。</w:t>
            </w:r>
          </w:p>
          <w:p>
            <w:pPr>
              <w:pStyle w:val="8"/>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ascii="宋体" w:hAnsi="宋体"/>
                <w:bCs/>
                <w:iCs/>
                <w:color w:val="000000"/>
                <w:sz w:val="24"/>
              </w:rPr>
            </w:pPr>
            <w:bookmarkStart w:id="0" w:name="_GoBack"/>
            <w:bookmarkEnd w:id="0"/>
            <w:r>
              <w:rPr>
                <w:rFonts w:hint="eastAsia" w:asciiTheme="minorEastAsia" w:hAnsiTheme="minorEastAsia" w:cstheme="minorEastAsia"/>
                <w:color w:val="auto"/>
                <w:sz w:val="24"/>
                <w:lang w:val="en-US" w:eastAsia="zh-CN"/>
              </w:rPr>
              <w:t>其余材料方面，富锂锰基、磷酸锰铁锂、半固态/凝聚态电池用正极均在配合客户进行开发，且部分产品已送样</w:t>
            </w:r>
            <w:r>
              <w:rPr>
                <w:rFonts w:hint="default" w:asciiTheme="minorEastAsia" w:hAnsiTheme="minorEastAsia" w:cstheme="minorEastAsia"/>
                <w:color w:val="auto"/>
                <w:sz w:val="24"/>
                <w:lang w:val="en-US" w:eastAsia="zh-CN"/>
              </w:rPr>
              <w:t>。</w:t>
            </w:r>
          </w:p>
        </w:tc>
      </w:tr>
    </w:tbl>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ascii="仿宋" w:hAnsi="仿宋" w:eastAsia="仿宋"/>
        <w:sz w:val="24"/>
        <w:szCs w:val="24"/>
        <w:lang w:val="en-US" w:eastAsia="zh-Hans"/>
      </w:rPr>
      <w:t>深圳市全景网络有限公司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r>
      <w:drawing>
        <wp:inline distT="0" distB="0" distL="114300" distR="114300">
          <wp:extent cx="674370" cy="328295"/>
          <wp:effectExtent l="0" t="0" r="11430" b="190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674370" cy="3282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zMDYyNzdhZmYzYzgwZGE1MWM3ZmMwZTkyOGZhOTcifQ=="/>
  </w:docVars>
  <w:rsids>
    <w:rsidRoot w:val="006861C7"/>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101C61BF"/>
    <w:rsid w:val="1B2418A5"/>
    <w:rsid w:val="1D667883"/>
    <w:rsid w:val="1FBFC074"/>
    <w:rsid w:val="36FB9E1F"/>
    <w:rsid w:val="3BFA3B96"/>
    <w:rsid w:val="3CEF3472"/>
    <w:rsid w:val="3EFF16E9"/>
    <w:rsid w:val="56A80582"/>
    <w:rsid w:val="77CF73AC"/>
    <w:rsid w:val="78FF0116"/>
    <w:rsid w:val="B7DDD54D"/>
    <w:rsid w:val="E3FFE6ED"/>
    <w:rsid w:val="F5DB8A63"/>
    <w:rsid w:val="F797912E"/>
    <w:rsid w:val="FE7B48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12"/>
    <w:autoRedefine/>
    <w:qFormat/>
    <w:uiPriority w:val="0"/>
    <w:pPr>
      <w:tabs>
        <w:tab w:val="center" w:pos="4153"/>
        <w:tab w:val="right" w:pos="8306"/>
      </w:tabs>
      <w:snapToGrid w:val="0"/>
      <w:jc w:val="left"/>
    </w:pPr>
    <w:rPr>
      <w:sz w:val="18"/>
      <w:szCs w:val="18"/>
    </w:rPr>
  </w:style>
  <w:style w:type="paragraph" w:styleId="3">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_Style 6"/>
    <w:basedOn w:val="1"/>
    <w:autoRedefine/>
    <w:qFormat/>
    <w:uiPriority w:val="34"/>
    <w:pPr>
      <w:ind w:firstLine="420" w:firstLineChars="200"/>
    </w:pPr>
    <w:rPr>
      <w:rFonts w:ascii="Calibri" w:hAnsi="Calibri" w:eastAsia="宋体" w:cs="Times New Roman"/>
      <w:szCs w:val="22"/>
    </w:rPr>
  </w:style>
  <w:style w:type="paragraph" w:customStyle="1" w:styleId="9">
    <w:name w:val="Char Char Char"/>
    <w:basedOn w:val="1"/>
    <w:autoRedefine/>
    <w:qFormat/>
    <w:uiPriority w:val="0"/>
    <w:rPr>
      <w:szCs w:val="21"/>
    </w:rPr>
  </w:style>
  <w:style w:type="paragraph" w:customStyle="1" w:styleId="10">
    <w:name w:val="Char Char Char Char Char Char Char Char Char Char Char Char Char Char Char Char"/>
    <w:basedOn w:val="1"/>
    <w:autoRedefine/>
    <w:qFormat/>
    <w:uiPriority w:val="0"/>
  </w:style>
  <w:style w:type="paragraph" w:customStyle="1" w:styleId="11">
    <w:name w:val=" Char Char Char"/>
    <w:basedOn w:val="1"/>
    <w:autoRedefine/>
    <w:qFormat/>
    <w:uiPriority w:val="0"/>
  </w:style>
  <w:style w:type="character" w:customStyle="1" w:styleId="12">
    <w:name w:val="页脚 Char"/>
    <w:basedOn w:val="7"/>
    <w:link w:val="2"/>
    <w:autoRedefine/>
    <w:qFormat/>
    <w:uiPriority w:val="0"/>
    <w:rPr>
      <w:kern w:val="2"/>
      <w:sz w:val="18"/>
      <w:szCs w:val="18"/>
    </w:rPr>
  </w:style>
  <w:style w:type="character" w:customStyle="1" w:styleId="13">
    <w:name w:val="页眉 Char"/>
    <w:basedOn w:val="7"/>
    <w:link w:val="3"/>
    <w:autoRedefine/>
    <w:qFormat/>
    <w:uiPriority w:val="0"/>
    <w:rPr>
      <w:kern w:val="2"/>
      <w:sz w:val="18"/>
      <w:szCs w:val="18"/>
    </w:rPr>
  </w:style>
  <w:style w:type="table" w:customStyle="1" w:styleId="14">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4943</Words>
  <Characters>5115</Characters>
  <Lines>60</Lines>
  <Paragraphs>17</Paragraphs>
  <TotalTime>1</TotalTime>
  <ScaleCrop>false</ScaleCrop>
  <LinksUpToDate>false</LinksUpToDate>
  <CharactersWithSpaces>5253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2012-09-09T08:59:00Z</dcterms:created>
  <dc:creator>微软用户</dc:creator>
  <cp:lastModifiedBy>刘晨</cp:lastModifiedBy>
  <cp:lastPrinted>2014-02-21T05:34:00Z</cp:lastPrinted>
  <dcterms:modified xsi:type="dcterms:W3CDTF">2024-05-17T08:10:31Z</dcterms:modified>
  <cp:revision>262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3378DF92D5494EA79182626F58817F75</vt:lpwstr>
  </property>
</Properties>
</file>