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720" w:firstLineChars="300"/>
        <w:rPr>
          <w:bCs/>
          <w:iCs/>
          <w:color w:val="000000"/>
          <w:sz w:val="24"/>
        </w:rPr>
      </w:pPr>
      <w:r>
        <w:rPr>
          <w:rFonts w:hAnsi="宋体"/>
          <w:bCs/>
          <w:iCs/>
          <w:color w:val="000000"/>
          <w:sz w:val="24"/>
        </w:rPr>
        <w:t>证券代码：</w:t>
      </w:r>
      <w:r>
        <w:rPr>
          <w:rFonts w:hint="eastAsia" w:hAnsi="宋体"/>
          <w:bCs/>
          <w:iCs/>
          <w:color w:val="000000"/>
          <w:sz w:val="24"/>
        </w:rPr>
        <w:t>6</w:t>
      </w:r>
      <w:r>
        <w:rPr>
          <w:rFonts w:hAnsi="宋体"/>
          <w:bCs/>
          <w:iCs/>
          <w:color w:val="000000"/>
          <w:sz w:val="24"/>
        </w:rPr>
        <w:t>88793</w:t>
      </w:r>
      <w:r>
        <w:rPr>
          <w:bCs/>
          <w:iCs/>
          <w:color w:val="000000"/>
          <w:sz w:val="24"/>
        </w:rPr>
        <w:t xml:space="preserve">                    </w:t>
      </w:r>
      <w:r>
        <w:rPr>
          <w:rFonts w:hint="eastAsia"/>
          <w:bCs/>
          <w:iCs/>
          <w:color w:val="000000"/>
          <w:sz w:val="24"/>
        </w:rPr>
        <w:t xml:space="preserve">  </w:t>
      </w:r>
      <w:r>
        <w:rPr>
          <w:rFonts w:hAnsi="宋体"/>
          <w:bCs/>
          <w:iCs/>
          <w:color w:val="000000"/>
          <w:sz w:val="24"/>
        </w:rPr>
        <w:t>证券简称：</w:t>
      </w:r>
      <w:r>
        <w:rPr>
          <w:rFonts w:hint="eastAsia" w:hAnsi="宋体"/>
          <w:bCs/>
          <w:iCs/>
          <w:color w:val="000000"/>
          <w:sz w:val="24"/>
        </w:rPr>
        <w:t>倍轻松</w:t>
      </w:r>
    </w:p>
    <w:p>
      <w:pPr>
        <w:spacing w:before="156" w:beforeLines="50" w:after="156" w:afterLines="50" w:line="400" w:lineRule="exact"/>
        <w:ind w:firstLine="720" w:firstLineChars="300"/>
        <w:rPr>
          <w:bCs/>
          <w:iCs/>
          <w:color w:val="000000"/>
          <w:sz w:val="24"/>
        </w:rPr>
      </w:pPr>
    </w:p>
    <w:p>
      <w:pPr>
        <w:spacing w:before="156" w:beforeLines="50" w:after="156" w:afterLines="50" w:line="400" w:lineRule="exact"/>
        <w:jc w:val="center"/>
        <w:rPr>
          <w:rFonts w:hAnsi="宋体"/>
          <w:b/>
          <w:bCs/>
          <w:iCs/>
          <w:color w:val="000000"/>
          <w:sz w:val="32"/>
          <w:szCs w:val="32"/>
        </w:rPr>
      </w:pPr>
      <w:r>
        <w:rPr>
          <w:rFonts w:hint="eastAsia" w:hAnsi="宋体"/>
          <w:b/>
          <w:bCs/>
          <w:iCs/>
          <w:color w:val="000000"/>
          <w:sz w:val="32"/>
          <w:szCs w:val="32"/>
        </w:rPr>
        <w:t>深圳市倍轻松科技股份有限公司</w:t>
      </w:r>
    </w:p>
    <w:p>
      <w:pPr>
        <w:spacing w:before="156" w:beforeLines="50" w:after="156" w:afterLines="50" w:line="400" w:lineRule="exact"/>
        <w:jc w:val="center"/>
        <w:rPr>
          <w:b/>
          <w:bCs/>
          <w:iCs/>
          <w:color w:val="000000"/>
          <w:sz w:val="32"/>
          <w:szCs w:val="32"/>
        </w:rPr>
      </w:pPr>
      <w:r>
        <w:rPr>
          <w:rFonts w:hAnsi="宋体"/>
          <w:b/>
          <w:bCs/>
          <w:iCs/>
          <w:color w:val="000000"/>
          <w:sz w:val="32"/>
          <w:szCs w:val="32"/>
        </w:rPr>
        <w:t>投资者关系活动记录表</w:t>
      </w:r>
    </w:p>
    <w:p>
      <w:pPr>
        <w:spacing w:line="400" w:lineRule="exact"/>
        <w:rPr>
          <w:bCs/>
          <w:iCs/>
          <w:color w:val="000000"/>
          <w:sz w:val="24"/>
        </w:rPr>
      </w:pPr>
      <w:r>
        <w:rPr>
          <w:bCs/>
          <w:iCs/>
          <w:color w:val="000000"/>
          <w:sz w:val="24"/>
        </w:rPr>
        <w:t xml:space="preserve">                                                     </w:t>
      </w:r>
      <w:r>
        <w:rPr>
          <w:rFonts w:hAnsi="宋体"/>
          <w:bCs/>
          <w:iCs/>
          <w:color w:val="000000"/>
          <w:sz w:val="24"/>
        </w:rPr>
        <w:t>编号：</w:t>
      </w:r>
      <w:r>
        <w:rPr>
          <w:rFonts w:hint="eastAsia" w:hAnsi="宋体"/>
          <w:bCs/>
          <w:iCs/>
          <w:color w:val="000000"/>
          <w:sz w:val="24"/>
        </w:rPr>
        <w:t>2024-0</w:t>
      </w:r>
      <w:r>
        <w:rPr>
          <w:rFonts w:hAnsi="宋体"/>
          <w:bCs/>
          <w:iCs/>
          <w:color w:val="000000"/>
          <w:sz w:val="24"/>
        </w:rPr>
        <w:t>0</w:t>
      </w:r>
      <w:r>
        <w:rPr>
          <w:rFonts w:hint="eastAsia" w:hAnsi="宋体"/>
          <w:bCs/>
          <w:iCs/>
          <w:color w:val="000000"/>
          <w:sz w:val="24"/>
        </w:rPr>
        <w:t>2</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atLeast"/>
              <w:jc w:val="center"/>
              <w:rPr>
                <w:b/>
                <w:bCs/>
                <w:iCs/>
                <w:color w:val="000000"/>
                <w:sz w:val="24"/>
              </w:rPr>
            </w:pPr>
            <w:r>
              <w:rPr>
                <w:rFonts w:hAnsi="宋体"/>
                <w:b/>
                <w:bCs/>
                <w:iCs/>
                <w:color w:val="000000"/>
                <w:sz w:val="24"/>
              </w:rPr>
              <w:t>投资者关系活动类别</w:t>
            </w:r>
          </w:p>
        </w:tc>
        <w:tc>
          <w:tcPr>
            <w:tcW w:w="7087" w:type="dxa"/>
          </w:tcPr>
          <w:p>
            <w:pPr>
              <w:rPr>
                <w:bCs/>
                <w:iCs/>
                <w:color w:val="000000"/>
                <w:sz w:val="24"/>
              </w:rPr>
            </w:pPr>
            <w:r>
              <w:rPr>
                <w:bCs/>
                <w:iCs/>
                <w:color w:val="000000"/>
                <w:sz w:val="24"/>
                <w:highlight w:val="black"/>
              </w:rPr>
              <w:t>□</w:t>
            </w:r>
            <w:r>
              <w:rPr>
                <w:rFonts w:hAnsi="宋体"/>
                <w:bCs/>
                <w:iCs/>
                <w:color w:val="000000"/>
                <w:sz w:val="24"/>
              </w:rPr>
              <w:t>特定对象调研</w:t>
            </w:r>
            <w:r>
              <w:rPr>
                <w:bCs/>
                <w:iCs/>
                <w:color w:val="000000"/>
                <w:sz w:val="24"/>
              </w:rPr>
              <w:t xml:space="preserve">        </w:t>
            </w:r>
            <w:r>
              <w:rPr>
                <w:bCs/>
                <w:iCs/>
                <w:color w:val="000000"/>
                <w:sz w:val="24"/>
                <w:highlight w:val="black"/>
              </w:rPr>
              <w:t>□</w:t>
            </w:r>
            <w:r>
              <w:rPr>
                <w:rFonts w:hAnsi="宋体"/>
                <w:bCs/>
                <w:iCs/>
                <w:color w:val="000000"/>
                <w:sz w:val="24"/>
              </w:rPr>
              <w:t>分析师会议</w:t>
            </w:r>
          </w:p>
          <w:p>
            <w:pPr>
              <w:rPr>
                <w:bCs/>
                <w:iCs/>
                <w:color w:val="000000"/>
                <w:sz w:val="24"/>
              </w:rPr>
            </w:pPr>
            <w:r>
              <w:rPr>
                <w:bCs/>
                <w:iCs/>
                <w:color w:val="000000"/>
                <w:sz w:val="24"/>
              </w:rPr>
              <w:t>□</w:t>
            </w:r>
            <w:r>
              <w:rPr>
                <w:rFonts w:hAnsi="宋体"/>
                <w:bCs/>
                <w:iCs/>
                <w:color w:val="000000"/>
                <w:sz w:val="24"/>
              </w:rPr>
              <w:t>媒体采访</w:t>
            </w:r>
            <w:r>
              <w:rPr>
                <w:bCs/>
                <w:iCs/>
                <w:color w:val="000000"/>
                <w:sz w:val="24"/>
              </w:rPr>
              <w:t xml:space="preserve">            □</w:t>
            </w:r>
            <w:r>
              <w:rPr>
                <w:rFonts w:hAnsi="宋体"/>
                <w:bCs/>
                <w:iCs/>
                <w:color w:val="000000"/>
                <w:sz w:val="24"/>
              </w:rPr>
              <w:t>业绩说明会</w:t>
            </w:r>
          </w:p>
          <w:p>
            <w:pPr>
              <w:rPr>
                <w:bCs/>
                <w:iCs/>
                <w:color w:val="000000"/>
                <w:sz w:val="24"/>
              </w:rPr>
            </w:pPr>
            <w:r>
              <w:rPr>
                <w:bCs/>
                <w:iCs/>
                <w:color w:val="000000"/>
                <w:sz w:val="24"/>
              </w:rPr>
              <w:t>□</w:t>
            </w:r>
            <w:r>
              <w:rPr>
                <w:rFonts w:hAnsi="宋体"/>
                <w:bCs/>
                <w:iCs/>
                <w:color w:val="000000"/>
                <w:sz w:val="24"/>
              </w:rPr>
              <w:t>新闻发布会</w:t>
            </w:r>
            <w:r>
              <w:rPr>
                <w:bCs/>
                <w:iCs/>
                <w:color w:val="000000"/>
                <w:sz w:val="24"/>
              </w:rPr>
              <w:t xml:space="preserve">          □</w:t>
            </w:r>
            <w:r>
              <w:rPr>
                <w:rFonts w:hAnsi="宋体"/>
                <w:bCs/>
                <w:iCs/>
                <w:color w:val="000000"/>
                <w:sz w:val="24"/>
              </w:rPr>
              <w:t>路演活动</w:t>
            </w:r>
          </w:p>
          <w:p>
            <w:pPr>
              <w:rPr>
                <w:bCs/>
                <w:iCs/>
                <w:color w:val="000000"/>
                <w:sz w:val="24"/>
              </w:rPr>
            </w:pPr>
            <w:r>
              <w:rPr>
                <w:bCs/>
                <w:iCs/>
                <w:color w:val="000000"/>
                <w:sz w:val="24"/>
              </w:rPr>
              <w:t>□</w:t>
            </w:r>
            <w:r>
              <w:rPr>
                <w:rFonts w:hAnsi="宋体"/>
                <w:bCs/>
                <w:iCs/>
                <w:color w:val="000000"/>
                <w:sz w:val="24"/>
              </w:rPr>
              <w:t>现场参观</w:t>
            </w:r>
          </w:p>
          <w:p>
            <w:pPr>
              <w:rPr>
                <w:bCs/>
                <w:iCs/>
                <w:color w:val="000000"/>
                <w:sz w:val="24"/>
                <w:szCs w:val="24"/>
              </w:rPr>
            </w:pPr>
            <w:r>
              <w:rPr>
                <w:bCs/>
                <w:iCs/>
                <w:color w:val="000000"/>
                <w:sz w:val="24"/>
              </w:rPr>
              <w:t>□</w:t>
            </w:r>
            <w:r>
              <w:rPr>
                <w:rFonts w:hAnsi="宋体"/>
                <w:bCs/>
                <w:iCs/>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526" w:type="dxa"/>
            <w:vAlign w:val="center"/>
          </w:tcPr>
          <w:p>
            <w:pPr>
              <w:spacing w:line="480" w:lineRule="atLeast"/>
              <w:jc w:val="center"/>
              <w:rPr>
                <w:rFonts w:hAnsi="宋体"/>
                <w:b/>
                <w:bCs/>
                <w:iCs/>
                <w:color w:val="000000"/>
                <w:sz w:val="24"/>
              </w:rPr>
            </w:pPr>
            <w:r>
              <w:rPr>
                <w:rFonts w:hAnsi="宋体"/>
                <w:b/>
                <w:bCs/>
                <w:iCs/>
                <w:color w:val="000000"/>
                <w:sz w:val="24"/>
              </w:rPr>
              <w:t>参与单位</w:t>
            </w:r>
          </w:p>
          <w:p>
            <w:pPr>
              <w:spacing w:line="480" w:lineRule="atLeast"/>
              <w:jc w:val="center"/>
              <w:rPr>
                <w:b/>
                <w:bCs/>
                <w:iCs/>
                <w:color w:val="000000"/>
                <w:sz w:val="24"/>
              </w:rPr>
            </w:pPr>
            <w:r>
              <w:rPr>
                <w:rFonts w:hAnsi="宋体"/>
                <w:b/>
                <w:bCs/>
                <w:iCs/>
                <w:color w:val="000000"/>
                <w:sz w:val="24"/>
              </w:rPr>
              <w:t>名称</w:t>
            </w:r>
          </w:p>
        </w:tc>
        <w:tc>
          <w:tcPr>
            <w:tcW w:w="7087" w:type="dxa"/>
            <w:vAlign w:val="center"/>
          </w:tcPr>
          <w:p>
            <w:pPr>
              <w:spacing w:line="480" w:lineRule="atLeast"/>
              <w:rPr>
                <w:rFonts w:hint="eastAsia" w:eastAsia="宋体"/>
                <w:bCs/>
                <w:iCs/>
                <w:color w:val="000000"/>
                <w:sz w:val="24"/>
                <w:lang w:val="en-US" w:eastAsia="zh-CN"/>
              </w:rPr>
            </w:pPr>
            <w:r>
              <w:rPr>
                <w:rFonts w:hint="eastAsia"/>
                <w:bCs/>
                <w:iCs/>
                <w:color w:val="000000"/>
                <w:sz w:val="24"/>
              </w:rPr>
              <w:t>广发证券、招商</w:t>
            </w:r>
            <w:r>
              <w:rPr>
                <w:rFonts w:hint="eastAsia"/>
                <w:bCs/>
                <w:iCs/>
                <w:color w:val="000000"/>
                <w:sz w:val="24"/>
                <w:lang w:val="en-US" w:eastAsia="zh-CN"/>
              </w:rPr>
              <w:t>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atLeast"/>
              <w:jc w:val="center"/>
              <w:rPr>
                <w:b/>
                <w:bCs/>
                <w:iCs/>
                <w:color w:val="000000"/>
                <w:sz w:val="24"/>
              </w:rPr>
            </w:pPr>
            <w:r>
              <w:rPr>
                <w:rFonts w:hAnsi="宋体"/>
                <w:b/>
                <w:bCs/>
                <w:iCs/>
                <w:color w:val="000000"/>
                <w:sz w:val="24"/>
              </w:rPr>
              <w:t>时</w:t>
            </w:r>
            <w:r>
              <w:rPr>
                <w:b/>
                <w:bCs/>
                <w:iCs/>
                <w:color w:val="000000"/>
                <w:sz w:val="24"/>
              </w:rPr>
              <w:t xml:space="preserve">  </w:t>
            </w:r>
            <w:r>
              <w:rPr>
                <w:rFonts w:hAnsi="宋体"/>
                <w:b/>
                <w:bCs/>
                <w:iCs/>
                <w:color w:val="000000"/>
                <w:sz w:val="24"/>
              </w:rPr>
              <w:t>间</w:t>
            </w:r>
          </w:p>
        </w:tc>
        <w:tc>
          <w:tcPr>
            <w:tcW w:w="7087" w:type="dxa"/>
          </w:tcPr>
          <w:p>
            <w:pPr>
              <w:spacing w:line="480" w:lineRule="atLeast"/>
              <w:rPr>
                <w:bCs/>
                <w:iCs/>
                <w:color w:val="000000"/>
                <w:sz w:val="24"/>
              </w:rPr>
            </w:pPr>
            <w:r>
              <w:rPr>
                <w:rFonts w:hint="eastAsia"/>
                <w:bCs/>
                <w:iCs/>
                <w:color w:val="000000"/>
                <w:sz w:val="24"/>
              </w:rPr>
              <w:t>20</w:t>
            </w:r>
            <w:r>
              <w:rPr>
                <w:bCs/>
                <w:iCs/>
                <w:color w:val="000000"/>
                <w:sz w:val="24"/>
              </w:rPr>
              <w:t>2</w:t>
            </w:r>
            <w:r>
              <w:rPr>
                <w:rFonts w:hint="eastAsia"/>
                <w:bCs/>
                <w:iCs/>
                <w:color w:val="000000"/>
                <w:sz w:val="24"/>
              </w:rPr>
              <w:t>4年05月17日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480" w:lineRule="atLeast"/>
              <w:jc w:val="center"/>
              <w:rPr>
                <w:b/>
                <w:bCs/>
                <w:iCs/>
                <w:color w:val="000000"/>
                <w:sz w:val="24"/>
              </w:rPr>
            </w:pPr>
            <w:r>
              <w:rPr>
                <w:rFonts w:hAnsi="宋体"/>
                <w:b/>
                <w:bCs/>
                <w:iCs/>
                <w:color w:val="000000"/>
                <w:sz w:val="24"/>
              </w:rPr>
              <w:t>地</w:t>
            </w:r>
            <w:r>
              <w:rPr>
                <w:b/>
                <w:bCs/>
                <w:iCs/>
                <w:color w:val="000000"/>
                <w:sz w:val="24"/>
              </w:rPr>
              <w:t xml:space="preserve">  </w:t>
            </w:r>
            <w:r>
              <w:rPr>
                <w:rFonts w:hAnsi="宋体"/>
                <w:b/>
                <w:bCs/>
                <w:iCs/>
                <w:color w:val="000000"/>
                <w:sz w:val="24"/>
              </w:rPr>
              <w:t>点</w:t>
            </w:r>
          </w:p>
        </w:tc>
        <w:tc>
          <w:tcPr>
            <w:tcW w:w="7087" w:type="dxa"/>
          </w:tcPr>
          <w:p>
            <w:pPr>
              <w:spacing w:line="480" w:lineRule="atLeast"/>
              <w:rPr>
                <w:bCs/>
                <w:iCs/>
                <w:color w:val="000000"/>
                <w:sz w:val="24"/>
              </w:rPr>
            </w:pPr>
            <w:r>
              <w:rPr>
                <w:rFonts w:hint="eastAsia"/>
                <w:bCs/>
                <w:iCs/>
                <w:color w:val="000000"/>
                <w:sz w:val="24"/>
              </w:rPr>
              <w:t>线下交流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526" w:type="dxa"/>
            <w:vAlign w:val="center"/>
          </w:tcPr>
          <w:p>
            <w:pPr>
              <w:spacing w:line="480" w:lineRule="atLeast"/>
              <w:jc w:val="center"/>
              <w:rPr>
                <w:b/>
                <w:bCs/>
                <w:iCs/>
                <w:color w:val="000000"/>
                <w:sz w:val="24"/>
              </w:rPr>
            </w:pPr>
            <w:r>
              <w:rPr>
                <w:rFonts w:hAnsi="宋体"/>
                <w:b/>
                <w:bCs/>
                <w:iCs/>
                <w:color w:val="000000"/>
                <w:sz w:val="24"/>
              </w:rPr>
              <w:t>上市公司接待人员姓名</w:t>
            </w:r>
          </w:p>
        </w:tc>
        <w:tc>
          <w:tcPr>
            <w:tcW w:w="7087" w:type="dxa"/>
          </w:tcPr>
          <w:p>
            <w:pPr>
              <w:spacing w:line="480" w:lineRule="atLeast"/>
              <w:rPr>
                <w:bCs/>
                <w:iCs/>
                <w:color w:val="000000"/>
                <w:sz w:val="24"/>
              </w:rPr>
            </w:pPr>
            <w:r>
              <w:rPr>
                <w:rFonts w:hint="eastAsia"/>
                <w:bCs/>
                <w:iCs/>
                <w:color w:val="000000"/>
                <w:sz w:val="24"/>
              </w:rPr>
              <w:t>董事会秘书：刘林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26" w:type="dxa"/>
            <w:vAlign w:val="center"/>
          </w:tcPr>
          <w:p>
            <w:pPr>
              <w:spacing w:line="480" w:lineRule="atLeast"/>
              <w:rPr>
                <w:b/>
                <w:bCs/>
                <w:iCs/>
                <w:color w:val="000000"/>
                <w:sz w:val="24"/>
              </w:rPr>
            </w:pPr>
            <w:r>
              <w:rPr>
                <w:rFonts w:hAnsi="宋体"/>
                <w:b/>
                <w:bCs/>
                <w:iCs/>
                <w:color w:val="000000"/>
                <w:sz w:val="24"/>
              </w:rPr>
              <w:t>投资者关系活动主要内容介绍</w:t>
            </w:r>
          </w:p>
        </w:tc>
        <w:tc>
          <w:tcPr>
            <w:tcW w:w="7087" w:type="dxa"/>
          </w:tcPr>
          <w:p>
            <w:pPr>
              <w:snapToGrid w:val="0"/>
              <w:spacing w:line="360" w:lineRule="auto"/>
              <w:ind w:firstLine="482" w:firstLineChars="200"/>
              <w:rPr>
                <w:rFonts w:asciiTheme="majorEastAsia" w:hAnsiTheme="majorEastAsia" w:eastAsiaTheme="majorEastAsia"/>
                <w:b/>
                <w:iCs/>
                <w:color w:val="000000"/>
                <w:sz w:val="24"/>
                <w:szCs w:val="24"/>
                <w:lang w:eastAsia="zh-Hans"/>
              </w:rPr>
            </w:pPr>
            <w:r>
              <w:rPr>
                <w:rFonts w:hint="eastAsia" w:asciiTheme="majorEastAsia" w:hAnsiTheme="majorEastAsia" w:eastAsiaTheme="majorEastAsia"/>
                <w:b/>
                <w:iCs/>
                <w:color w:val="000000"/>
                <w:sz w:val="24"/>
                <w:szCs w:val="24"/>
                <w:lang w:eastAsia="zh-Hans"/>
              </w:rPr>
              <w:t>Q</w:t>
            </w:r>
            <w:r>
              <w:rPr>
                <w:rFonts w:asciiTheme="majorEastAsia" w:hAnsiTheme="majorEastAsia" w:eastAsiaTheme="majorEastAsia"/>
                <w:b/>
                <w:iCs/>
                <w:color w:val="000000"/>
                <w:sz w:val="24"/>
                <w:szCs w:val="24"/>
                <w:lang w:eastAsia="zh-Hans"/>
              </w:rPr>
              <w:t>1</w:t>
            </w:r>
            <w:r>
              <w:rPr>
                <w:rFonts w:hint="eastAsia" w:asciiTheme="majorEastAsia" w:hAnsiTheme="majorEastAsia" w:eastAsiaTheme="majorEastAsia"/>
                <w:b/>
                <w:iCs/>
                <w:color w:val="000000"/>
                <w:sz w:val="24"/>
                <w:szCs w:val="24"/>
                <w:lang w:eastAsia="zh-Hans"/>
              </w:rPr>
              <w:t>：</w:t>
            </w:r>
            <w:r>
              <w:rPr>
                <w:rFonts w:hint="eastAsia" w:asciiTheme="majorEastAsia" w:hAnsiTheme="majorEastAsia" w:eastAsiaTheme="majorEastAsia"/>
                <w:b/>
                <w:iCs/>
                <w:color w:val="000000"/>
                <w:sz w:val="24"/>
                <w:szCs w:val="24"/>
                <w:lang w:val="en-US" w:eastAsia="zh-CN"/>
              </w:rPr>
              <w:t>目前公司有哪些新的变化</w:t>
            </w:r>
            <w:r>
              <w:rPr>
                <w:rFonts w:hint="eastAsia" w:asciiTheme="majorEastAsia" w:hAnsiTheme="majorEastAsia" w:eastAsiaTheme="majorEastAsia"/>
                <w:b/>
                <w:iCs/>
                <w:color w:val="000000"/>
                <w:sz w:val="24"/>
                <w:szCs w:val="24"/>
                <w:lang w:eastAsia="zh-Hans"/>
              </w:rPr>
              <w:t>？</w:t>
            </w:r>
          </w:p>
          <w:p>
            <w:pPr>
              <w:spacing w:line="360" w:lineRule="auto"/>
              <w:ind w:firstLine="480"/>
              <w:rPr>
                <w:rFonts w:hint="default" w:asciiTheme="majorEastAsia" w:hAnsiTheme="majorEastAsia" w:eastAsiaTheme="majorEastAsia"/>
                <w:bCs/>
                <w:iCs/>
                <w:color w:val="000000"/>
                <w:sz w:val="22"/>
                <w:szCs w:val="22"/>
                <w:highlight w:val="none"/>
                <w:lang w:val="en-US" w:eastAsia="zh-CN"/>
              </w:rPr>
            </w:pPr>
            <w:r>
              <w:rPr>
                <w:rFonts w:hint="eastAsia"/>
                <w:b/>
                <w:bCs/>
                <w:szCs w:val="24"/>
              </w:rPr>
              <w:t>A：</w:t>
            </w:r>
            <w:r>
              <w:rPr>
                <w:rFonts w:hint="eastAsia" w:asciiTheme="majorEastAsia" w:hAnsiTheme="majorEastAsia" w:eastAsiaTheme="majorEastAsia"/>
                <w:bCs/>
                <w:iCs/>
                <w:color w:val="000000"/>
                <w:sz w:val="22"/>
                <w:szCs w:val="22"/>
                <w:lang w:val="en-US" w:eastAsia="zh-CN"/>
              </w:rPr>
              <w:t>公</w:t>
            </w:r>
            <w:r>
              <w:rPr>
                <w:rFonts w:hint="eastAsia" w:asciiTheme="majorEastAsia" w:hAnsiTheme="majorEastAsia" w:eastAsiaTheme="majorEastAsia"/>
                <w:bCs/>
                <w:iCs/>
                <w:color w:val="000000"/>
                <w:sz w:val="22"/>
                <w:szCs w:val="22"/>
                <w:highlight w:val="none"/>
                <w:lang w:val="en-US" w:eastAsia="zh-CN"/>
              </w:rPr>
              <w:t>司从</w:t>
            </w:r>
            <w:r>
              <w:rPr>
                <w:rFonts w:hint="eastAsia" w:asciiTheme="majorEastAsia" w:hAnsiTheme="majorEastAsia" w:eastAsiaTheme="majorEastAsia"/>
                <w:bCs/>
                <w:iCs/>
                <w:color w:val="000000"/>
                <w:sz w:val="22"/>
                <w:szCs w:val="22"/>
                <w:highlight w:val="none"/>
              </w:rPr>
              <w:t>2023年Q3开始策略</w:t>
            </w:r>
            <w:r>
              <w:rPr>
                <w:rFonts w:hint="eastAsia" w:asciiTheme="majorEastAsia" w:hAnsiTheme="majorEastAsia" w:eastAsiaTheme="majorEastAsia"/>
                <w:bCs/>
                <w:iCs/>
                <w:color w:val="000000"/>
                <w:sz w:val="22"/>
                <w:szCs w:val="22"/>
                <w:highlight w:val="none"/>
                <w:lang w:val="en-US" w:eastAsia="zh-CN"/>
              </w:rPr>
              <w:t>的调整</w:t>
            </w:r>
            <w:r>
              <w:rPr>
                <w:rFonts w:hint="eastAsia" w:asciiTheme="majorEastAsia" w:hAnsiTheme="majorEastAsia" w:eastAsiaTheme="majorEastAsia"/>
                <w:bCs/>
                <w:iCs/>
                <w:color w:val="000000"/>
                <w:sz w:val="22"/>
                <w:szCs w:val="22"/>
                <w:highlight w:val="none"/>
              </w:rPr>
              <w:t>，</w:t>
            </w:r>
            <w:r>
              <w:rPr>
                <w:rFonts w:hint="eastAsia" w:asciiTheme="majorEastAsia" w:hAnsiTheme="majorEastAsia" w:eastAsiaTheme="majorEastAsia"/>
                <w:bCs/>
                <w:iCs/>
                <w:color w:val="000000"/>
                <w:sz w:val="22"/>
                <w:szCs w:val="22"/>
                <w:highlight w:val="none"/>
                <w:lang w:val="en-US" w:eastAsia="zh-CN"/>
              </w:rPr>
              <w:t>例如营销渠道方面引进</w:t>
            </w:r>
            <w:r>
              <w:rPr>
                <w:rFonts w:hint="eastAsia" w:asciiTheme="majorEastAsia" w:hAnsiTheme="majorEastAsia" w:eastAsiaTheme="majorEastAsia"/>
                <w:bCs/>
                <w:iCs/>
                <w:color w:val="000000"/>
                <w:sz w:val="22"/>
                <w:szCs w:val="22"/>
                <w:highlight w:val="none"/>
              </w:rPr>
              <w:t>新团队，</w:t>
            </w:r>
            <w:r>
              <w:rPr>
                <w:rFonts w:hint="eastAsia" w:asciiTheme="majorEastAsia" w:hAnsiTheme="majorEastAsia" w:eastAsiaTheme="majorEastAsia"/>
                <w:bCs/>
                <w:iCs/>
                <w:color w:val="000000"/>
                <w:sz w:val="22"/>
                <w:szCs w:val="22"/>
                <w:highlight w:val="none"/>
                <w:lang w:val="en-US" w:eastAsia="zh-CN"/>
              </w:rPr>
              <w:t>新团队在</w:t>
            </w:r>
            <w:r>
              <w:rPr>
                <w:rFonts w:hint="eastAsia" w:asciiTheme="majorEastAsia" w:hAnsiTheme="majorEastAsia" w:eastAsiaTheme="majorEastAsia"/>
                <w:bCs/>
                <w:iCs/>
                <w:color w:val="000000"/>
                <w:sz w:val="22"/>
                <w:szCs w:val="22"/>
                <w:highlight w:val="none"/>
              </w:rPr>
              <w:t>Q4</w:t>
            </w:r>
            <w:r>
              <w:rPr>
                <w:rFonts w:hint="eastAsia" w:asciiTheme="majorEastAsia" w:hAnsiTheme="majorEastAsia" w:eastAsiaTheme="majorEastAsia"/>
                <w:bCs/>
                <w:iCs/>
                <w:color w:val="000000"/>
                <w:sz w:val="22"/>
                <w:szCs w:val="22"/>
                <w:highlight w:val="none"/>
                <w:lang w:val="en-US" w:eastAsia="zh-CN"/>
              </w:rPr>
              <w:t>也做了</w:t>
            </w:r>
            <w:r>
              <w:rPr>
                <w:rFonts w:hint="eastAsia" w:asciiTheme="majorEastAsia" w:hAnsiTheme="majorEastAsia" w:eastAsiaTheme="majorEastAsia"/>
                <w:bCs/>
                <w:iCs/>
                <w:color w:val="000000"/>
                <w:sz w:val="22"/>
                <w:szCs w:val="22"/>
                <w:highlight w:val="none"/>
              </w:rPr>
              <w:t>一些工作</w:t>
            </w:r>
            <w:r>
              <w:rPr>
                <w:rFonts w:hint="eastAsia" w:asciiTheme="majorEastAsia" w:hAnsiTheme="majorEastAsia" w:eastAsiaTheme="majorEastAsia"/>
                <w:bCs/>
                <w:iCs/>
                <w:color w:val="000000"/>
                <w:sz w:val="22"/>
                <w:szCs w:val="22"/>
                <w:highlight w:val="none"/>
                <w:lang w:val="en-US" w:eastAsia="zh-CN"/>
              </w:rPr>
              <w:t>布局</w:t>
            </w:r>
            <w:r>
              <w:rPr>
                <w:rFonts w:hint="eastAsia" w:asciiTheme="majorEastAsia" w:hAnsiTheme="majorEastAsia" w:eastAsiaTheme="majorEastAsia"/>
                <w:bCs/>
                <w:iCs/>
                <w:color w:val="000000"/>
                <w:sz w:val="22"/>
                <w:szCs w:val="22"/>
                <w:highlight w:val="none"/>
              </w:rPr>
              <w:t>，</w:t>
            </w:r>
            <w:r>
              <w:rPr>
                <w:rFonts w:hint="eastAsia" w:asciiTheme="majorEastAsia" w:hAnsiTheme="majorEastAsia" w:eastAsiaTheme="majorEastAsia"/>
                <w:bCs/>
                <w:iCs/>
                <w:color w:val="000000"/>
                <w:sz w:val="22"/>
                <w:szCs w:val="22"/>
                <w:highlight w:val="none"/>
                <w:lang w:val="en-US" w:eastAsia="zh-CN"/>
              </w:rPr>
              <w:t>相信大家从</w:t>
            </w:r>
            <w:r>
              <w:rPr>
                <w:rFonts w:hint="eastAsia" w:asciiTheme="majorEastAsia" w:hAnsiTheme="majorEastAsia" w:eastAsiaTheme="majorEastAsia"/>
                <w:bCs/>
                <w:iCs/>
                <w:color w:val="000000"/>
                <w:sz w:val="22"/>
                <w:szCs w:val="22"/>
                <w:highlight w:val="none"/>
              </w:rPr>
              <w:t>2024年Q1</w:t>
            </w:r>
            <w:r>
              <w:rPr>
                <w:rFonts w:hint="eastAsia" w:asciiTheme="majorEastAsia" w:hAnsiTheme="majorEastAsia" w:eastAsiaTheme="majorEastAsia"/>
                <w:bCs/>
                <w:iCs/>
                <w:color w:val="000000"/>
                <w:sz w:val="22"/>
                <w:szCs w:val="22"/>
                <w:highlight w:val="none"/>
                <w:lang w:val="en-US" w:eastAsia="zh-CN"/>
              </w:rPr>
              <w:t>财报也能感受出来。2024年公司逐步完善</w:t>
            </w:r>
            <w:r>
              <w:rPr>
                <w:rFonts w:hint="eastAsia" w:asciiTheme="majorEastAsia" w:hAnsiTheme="majorEastAsia" w:eastAsiaTheme="majorEastAsia"/>
                <w:bCs/>
                <w:iCs/>
                <w:color w:val="000000"/>
                <w:sz w:val="22"/>
                <w:szCs w:val="22"/>
                <w:highlight w:val="none"/>
              </w:rPr>
              <w:t>立体化营销网络</w:t>
            </w:r>
            <w:r>
              <w:rPr>
                <w:rFonts w:hint="eastAsia" w:asciiTheme="majorEastAsia" w:hAnsiTheme="majorEastAsia" w:eastAsiaTheme="majorEastAsia"/>
                <w:bCs/>
                <w:iCs/>
                <w:color w:val="000000"/>
                <w:sz w:val="22"/>
                <w:szCs w:val="22"/>
                <w:highlight w:val="none"/>
                <w:lang w:eastAsia="zh-CN"/>
              </w:rPr>
              <w:t>，</w:t>
            </w:r>
            <w:r>
              <w:rPr>
                <w:rFonts w:hint="eastAsia" w:asciiTheme="majorEastAsia" w:hAnsiTheme="majorEastAsia" w:eastAsiaTheme="majorEastAsia"/>
                <w:bCs/>
                <w:iCs/>
                <w:color w:val="000000"/>
                <w:sz w:val="22"/>
                <w:szCs w:val="22"/>
                <w:highlight w:val="none"/>
                <w:lang w:val="en-US" w:eastAsia="zh-CN"/>
              </w:rPr>
              <w:t>各渠道效益也将进一步提升，2024年全年业绩有望持续增长。</w:t>
            </w:r>
          </w:p>
          <w:p>
            <w:pPr>
              <w:spacing w:line="360" w:lineRule="auto"/>
              <w:ind w:firstLine="480"/>
              <w:rPr>
                <w:rFonts w:asciiTheme="majorEastAsia" w:hAnsiTheme="majorEastAsia" w:eastAsiaTheme="majorEastAsia"/>
                <w:bCs/>
                <w:iCs/>
                <w:color w:val="000000"/>
                <w:sz w:val="22"/>
                <w:szCs w:val="22"/>
              </w:rPr>
            </w:pPr>
          </w:p>
          <w:p>
            <w:pPr>
              <w:snapToGrid w:val="0"/>
              <w:spacing w:line="360" w:lineRule="auto"/>
              <w:ind w:firstLine="482" w:firstLineChars="200"/>
              <w:rPr>
                <w:rFonts w:asciiTheme="majorEastAsia" w:hAnsiTheme="majorEastAsia" w:eastAsiaTheme="majorEastAsia"/>
                <w:b/>
                <w:iCs/>
                <w:color w:val="000000"/>
                <w:sz w:val="24"/>
                <w:szCs w:val="24"/>
                <w:lang w:eastAsia="zh-Hans"/>
              </w:rPr>
            </w:pPr>
            <w:r>
              <w:rPr>
                <w:rFonts w:hint="eastAsia" w:asciiTheme="majorEastAsia" w:hAnsiTheme="majorEastAsia" w:eastAsiaTheme="majorEastAsia"/>
                <w:b/>
                <w:iCs/>
                <w:color w:val="000000"/>
                <w:sz w:val="24"/>
                <w:szCs w:val="24"/>
                <w:lang w:eastAsia="zh-Hans"/>
              </w:rPr>
              <w:t>Q2：</w:t>
            </w:r>
            <w:r>
              <w:rPr>
                <w:rFonts w:hint="eastAsia" w:asciiTheme="majorEastAsia" w:hAnsiTheme="majorEastAsia" w:eastAsiaTheme="majorEastAsia"/>
                <w:b/>
                <w:iCs/>
                <w:color w:val="000000"/>
                <w:sz w:val="24"/>
                <w:szCs w:val="24"/>
              </w:rPr>
              <w:t>公司2024年新品如何以及未来产品展望</w:t>
            </w:r>
            <w:r>
              <w:rPr>
                <w:rFonts w:hint="eastAsia" w:asciiTheme="majorEastAsia" w:hAnsiTheme="majorEastAsia" w:eastAsiaTheme="majorEastAsia"/>
                <w:b/>
                <w:iCs/>
                <w:color w:val="000000"/>
                <w:sz w:val="24"/>
                <w:szCs w:val="24"/>
                <w:lang w:eastAsia="zh-Hans"/>
              </w:rPr>
              <w:t>？</w:t>
            </w:r>
          </w:p>
          <w:p>
            <w:pPr>
              <w:spacing w:line="360" w:lineRule="auto"/>
              <w:ind w:firstLine="422" w:firstLineChars="200"/>
              <w:rPr>
                <w:rFonts w:hint="eastAsia" w:asciiTheme="majorEastAsia" w:hAnsiTheme="majorEastAsia" w:eastAsiaTheme="majorEastAsia"/>
                <w:bCs/>
                <w:iCs/>
                <w:color w:val="000000"/>
                <w:sz w:val="22"/>
                <w:szCs w:val="22"/>
              </w:rPr>
            </w:pPr>
            <w:r>
              <w:rPr>
                <w:rFonts w:hint="eastAsia"/>
                <w:b/>
                <w:bCs/>
                <w:szCs w:val="24"/>
              </w:rPr>
              <w:t>A：</w:t>
            </w:r>
            <w:r>
              <w:rPr>
                <w:rFonts w:hint="eastAsia" w:asciiTheme="majorEastAsia" w:hAnsiTheme="majorEastAsia" w:eastAsiaTheme="majorEastAsia"/>
                <w:bCs/>
                <w:iCs/>
                <w:color w:val="000000"/>
                <w:sz w:val="22"/>
                <w:szCs w:val="22"/>
              </w:rPr>
              <w:t>公司24年的新品较23年来说有所丰富，在各系列均有新品推出。公司一直以来不断的和相关科研院所展开技术合作，加强产品的核心技术及竞争力，致力给客户带来更好的产品和更舒适的体验感。</w:t>
            </w:r>
          </w:p>
          <w:p>
            <w:pPr>
              <w:pStyle w:val="5"/>
              <w:spacing w:line="360" w:lineRule="auto"/>
              <w:ind w:firstLine="420" w:firstLineChars="200"/>
              <w:rPr>
                <w:sz w:val="21"/>
              </w:rPr>
            </w:pPr>
          </w:p>
          <w:p>
            <w:pPr>
              <w:snapToGrid w:val="0"/>
              <w:spacing w:line="360" w:lineRule="auto"/>
              <w:ind w:firstLine="482" w:firstLineChars="200"/>
              <w:rPr>
                <w:rFonts w:asciiTheme="majorEastAsia" w:hAnsiTheme="majorEastAsia" w:eastAsiaTheme="majorEastAsia"/>
                <w:b/>
                <w:iCs/>
                <w:color w:val="000000"/>
                <w:sz w:val="24"/>
                <w:szCs w:val="24"/>
              </w:rPr>
            </w:pPr>
            <w:r>
              <w:rPr>
                <w:rFonts w:hint="eastAsia" w:asciiTheme="majorEastAsia" w:hAnsiTheme="majorEastAsia" w:eastAsiaTheme="majorEastAsia"/>
                <w:b/>
                <w:iCs/>
                <w:color w:val="000000"/>
                <w:sz w:val="24"/>
                <w:szCs w:val="24"/>
                <w:lang w:eastAsia="zh-Hans"/>
              </w:rPr>
              <w:t>Q3：</w:t>
            </w:r>
            <w:r>
              <w:rPr>
                <w:rFonts w:hint="eastAsia" w:asciiTheme="majorEastAsia" w:hAnsiTheme="majorEastAsia" w:eastAsiaTheme="majorEastAsia"/>
                <w:b/>
                <w:iCs/>
                <w:color w:val="000000"/>
                <w:sz w:val="24"/>
                <w:szCs w:val="24"/>
              </w:rPr>
              <w:t>公司是否在按摩器领域外拓展其他的赛道？</w:t>
            </w:r>
          </w:p>
          <w:p>
            <w:pPr>
              <w:spacing w:line="360" w:lineRule="auto"/>
              <w:ind w:firstLine="422" w:firstLineChars="200"/>
              <w:rPr>
                <w:rFonts w:hint="eastAsia" w:asciiTheme="majorEastAsia" w:hAnsiTheme="majorEastAsia" w:eastAsiaTheme="majorEastAsia"/>
                <w:bCs/>
                <w:iCs/>
                <w:color w:val="000000"/>
                <w:sz w:val="22"/>
                <w:szCs w:val="22"/>
              </w:rPr>
            </w:pPr>
            <w:r>
              <w:rPr>
                <w:rFonts w:hint="eastAsia"/>
                <w:b/>
                <w:bCs/>
                <w:szCs w:val="24"/>
              </w:rPr>
              <w:t>A：</w:t>
            </w:r>
            <w:r>
              <w:rPr>
                <w:rFonts w:hint="eastAsia" w:asciiTheme="majorEastAsia" w:hAnsiTheme="majorEastAsia" w:eastAsiaTheme="majorEastAsia"/>
                <w:bCs/>
                <w:iCs/>
                <w:color w:val="000000"/>
                <w:sz w:val="22"/>
                <w:szCs w:val="22"/>
              </w:rPr>
              <w:t>公司经历了2023年战略品牌建设年，已逐步确认公司未来的发展方向及战略布局。公司以“中医x科技”为基底，战略与定位持续升维，从单一的健康按摩小电器，逐步拓展医疗器械领域及个护健康AI</w:t>
            </w:r>
            <w:r>
              <w:rPr>
                <w:rFonts w:hint="eastAsia"/>
              </w:rPr>
              <w:t>及泛周边产品领域，形成了多元化的发展模式</w:t>
            </w:r>
            <w:r>
              <w:rPr>
                <w:rFonts w:hint="eastAsia" w:asciiTheme="majorEastAsia" w:hAnsiTheme="majorEastAsia" w:eastAsiaTheme="majorEastAsia"/>
                <w:bCs/>
                <w:iCs/>
                <w:color w:val="000000"/>
                <w:sz w:val="22"/>
                <w:szCs w:val="22"/>
              </w:rPr>
              <w:t>。</w:t>
            </w:r>
          </w:p>
          <w:p>
            <w:pPr>
              <w:pStyle w:val="5"/>
              <w:spacing w:line="360" w:lineRule="auto"/>
              <w:ind w:firstLine="420" w:firstLineChars="200"/>
              <w:rPr>
                <w:sz w:val="21"/>
              </w:rPr>
            </w:pPr>
          </w:p>
          <w:p>
            <w:pPr>
              <w:snapToGrid w:val="0"/>
              <w:spacing w:line="360" w:lineRule="auto"/>
              <w:ind w:firstLine="482" w:firstLineChars="200"/>
              <w:rPr>
                <w:rFonts w:asciiTheme="majorEastAsia" w:hAnsiTheme="majorEastAsia" w:eastAsiaTheme="majorEastAsia"/>
                <w:b/>
                <w:iCs/>
                <w:color w:val="000000"/>
                <w:sz w:val="24"/>
                <w:szCs w:val="24"/>
                <w:lang w:eastAsia="zh-Hans"/>
              </w:rPr>
            </w:pPr>
            <w:r>
              <w:rPr>
                <w:rFonts w:hint="eastAsia" w:asciiTheme="majorEastAsia" w:hAnsiTheme="majorEastAsia" w:eastAsiaTheme="majorEastAsia"/>
                <w:b/>
                <w:iCs/>
                <w:color w:val="000000"/>
                <w:sz w:val="24"/>
                <w:szCs w:val="24"/>
                <w:lang w:eastAsia="zh-Hans"/>
              </w:rPr>
              <w:t>Q</w:t>
            </w:r>
            <w:r>
              <w:rPr>
                <w:rFonts w:hint="eastAsia" w:asciiTheme="majorEastAsia" w:hAnsiTheme="majorEastAsia" w:eastAsiaTheme="majorEastAsia"/>
                <w:b/>
                <w:iCs/>
                <w:color w:val="000000"/>
                <w:sz w:val="24"/>
                <w:szCs w:val="24"/>
              </w:rPr>
              <w:t>4</w:t>
            </w:r>
            <w:r>
              <w:rPr>
                <w:rFonts w:hint="eastAsia" w:asciiTheme="majorEastAsia" w:hAnsiTheme="majorEastAsia" w:eastAsiaTheme="majorEastAsia"/>
                <w:b/>
                <w:iCs/>
                <w:color w:val="000000"/>
                <w:sz w:val="24"/>
                <w:szCs w:val="24"/>
                <w:lang w:eastAsia="zh-Hans"/>
              </w:rPr>
              <w:t>：</w:t>
            </w:r>
            <w:r>
              <w:rPr>
                <w:rFonts w:hint="eastAsia" w:asciiTheme="majorEastAsia" w:hAnsiTheme="majorEastAsia" w:eastAsiaTheme="majorEastAsia"/>
                <w:b/>
                <w:iCs/>
                <w:color w:val="000000"/>
                <w:sz w:val="24"/>
                <w:szCs w:val="24"/>
              </w:rPr>
              <w:t>公司一直以中医为核心，在这个领域上研究了这么多年，是否有形成自己一套的体系或模式</w:t>
            </w:r>
            <w:r>
              <w:rPr>
                <w:rFonts w:hint="eastAsia" w:asciiTheme="majorEastAsia" w:hAnsiTheme="majorEastAsia" w:eastAsiaTheme="majorEastAsia"/>
                <w:b/>
                <w:iCs/>
                <w:color w:val="000000"/>
                <w:sz w:val="24"/>
                <w:szCs w:val="24"/>
                <w:lang w:eastAsia="zh-Hans"/>
              </w:rPr>
              <w:t>？</w:t>
            </w:r>
          </w:p>
          <w:p>
            <w:pPr>
              <w:snapToGrid w:val="0"/>
              <w:spacing w:line="360" w:lineRule="auto"/>
              <w:ind w:firstLine="422" w:firstLineChars="200"/>
              <w:rPr>
                <w:rFonts w:asciiTheme="majorEastAsia" w:hAnsiTheme="majorEastAsia" w:eastAsiaTheme="majorEastAsia"/>
                <w:b/>
                <w:iCs/>
                <w:color w:val="FF0000"/>
                <w:sz w:val="24"/>
                <w:szCs w:val="24"/>
                <w:lang w:eastAsia="zh-Hans"/>
              </w:rPr>
            </w:pPr>
            <w:r>
              <w:rPr>
                <w:rFonts w:hint="eastAsia"/>
                <w:b/>
                <w:bCs/>
              </w:rPr>
              <w:t>A：</w:t>
            </w:r>
            <w:r>
              <w:rPr>
                <w:rFonts w:hint="eastAsia" w:asciiTheme="majorEastAsia" w:hAnsiTheme="majorEastAsia" w:eastAsiaTheme="majorEastAsia"/>
                <w:bCs/>
                <w:iCs/>
                <w:color w:val="000000"/>
                <w:sz w:val="22"/>
                <w:szCs w:val="22"/>
              </w:rPr>
              <w:t>公司一直坚定以中医为核心，做对人类健康有影响力的事。公司历经这些年的发展，逐步形成了自己的中医AI小模型，未来也将逐步探索中医AI大模型。相关产品也基于此有所突破，例如与相关科研院所联合开发的带有脑电波检测仪的头部按摩器等产品。</w:t>
            </w:r>
          </w:p>
          <w:p>
            <w:pPr>
              <w:pStyle w:val="5"/>
              <w:spacing w:line="360" w:lineRule="auto"/>
              <w:ind w:firstLine="420" w:firstLineChars="200"/>
              <w:rPr>
                <w:sz w:val="21"/>
              </w:rPr>
            </w:pPr>
          </w:p>
          <w:p>
            <w:pPr>
              <w:snapToGrid w:val="0"/>
              <w:spacing w:line="360" w:lineRule="auto"/>
              <w:ind w:firstLine="482" w:firstLineChars="200"/>
              <w:rPr>
                <w:rFonts w:hint="eastAsia" w:asciiTheme="majorEastAsia" w:hAnsiTheme="majorEastAsia" w:eastAsiaTheme="majorEastAsia"/>
                <w:b/>
                <w:iCs/>
                <w:color w:val="000000"/>
                <w:sz w:val="24"/>
                <w:szCs w:val="24"/>
              </w:rPr>
            </w:pPr>
            <w:r>
              <w:rPr>
                <w:rFonts w:hint="eastAsia" w:asciiTheme="majorEastAsia" w:hAnsiTheme="majorEastAsia" w:eastAsiaTheme="majorEastAsia"/>
                <w:b/>
                <w:iCs/>
                <w:color w:val="000000"/>
                <w:sz w:val="24"/>
                <w:szCs w:val="24"/>
                <w:lang w:eastAsia="zh-Hans"/>
              </w:rPr>
              <w:t>Q5：</w:t>
            </w:r>
            <w:r>
              <w:rPr>
                <w:rFonts w:hint="eastAsia" w:asciiTheme="majorEastAsia" w:hAnsiTheme="majorEastAsia" w:eastAsiaTheme="majorEastAsia"/>
                <w:b/>
                <w:iCs/>
                <w:color w:val="000000"/>
                <w:sz w:val="24"/>
                <w:szCs w:val="24"/>
              </w:rPr>
              <w:t>关于今年加盟店的开拓计划？</w:t>
            </w:r>
          </w:p>
          <w:p>
            <w:pPr>
              <w:pStyle w:val="5"/>
              <w:spacing w:line="360" w:lineRule="auto"/>
              <w:ind w:firstLine="422" w:firstLineChars="200"/>
              <w:rPr>
                <w:rFonts w:hint="default"/>
                <w:sz w:val="21"/>
                <w:lang w:val="en-US" w:eastAsia="zh-CN"/>
              </w:rPr>
            </w:pPr>
            <w:r>
              <w:rPr>
                <w:rFonts w:hint="eastAsia"/>
                <w:b/>
                <w:bCs/>
                <w:sz w:val="21"/>
              </w:rPr>
              <w:t>A：</w:t>
            </w:r>
            <w:r>
              <w:rPr>
                <w:rFonts w:hint="eastAsia"/>
                <w:sz w:val="21"/>
                <w:lang w:val="en-US" w:eastAsia="zh-CN"/>
              </w:rPr>
              <w:t>2023年底招商加盟店数</w:t>
            </w:r>
            <w:r>
              <w:rPr>
                <w:rFonts w:hint="eastAsia"/>
                <w:sz w:val="21"/>
                <w:lang w:val="en-US" w:eastAsia="zh-CN"/>
              </w:rPr>
              <w:t>并不多，2024年随着各渠道运营效能</w:t>
            </w:r>
            <w:r>
              <w:rPr>
                <w:rFonts w:hint="eastAsia"/>
                <w:sz w:val="21"/>
                <w:lang w:val="en-US" w:eastAsia="zh-CN"/>
              </w:rPr>
              <w:t>的不断优化</w:t>
            </w:r>
            <w:r>
              <w:rPr>
                <w:rFonts w:hint="eastAsia"/>
                <w:sz w:val="21"/>
                <w:lang w:val="en-US" w:eastAsia="zh-CN"/>
              </w:rPr>
              <w:t>，加盟店也将扩大</w:t>
            </w:r>
            <w:bookmarkStart w:id="0" w:name="_GoBack"/>
            <w:bookmarkEnd w:id="0"/>
            <w:r>
              <w:rPr>
                <w:rFonts w:hint="eastAsia"/>
                <w:sz w:val="21"/>
                <w:lang w:val="en-US" w:eastAsia="zh-CN"/>
              </w:rPr>
              <w:t>力度去开拓。公司将</w:t>
            </w:r>
            <w:r>
              <w:rPr>
                <w:rFonts w:hint="eastAsia"/>
                <w:sz w:val="21"/>
                <w:lang w:val="en-US" w:eastAsia="zh-CN"/>
              </w:rPr>
              <w:t>通过加盟店的扩张，有效开发市场盲区，特别是对二三级城市乃至下沉市</w:t>
            </w:r>
            <w:r>
              <w:rPr>
                <w:rFonts w:hint="default"/>
                <w:sz w:val="21"/>
                <w:lang w:val="en-US" w:eastAsia="zh-CN"/>
              </w:rPr>
              <w:t>场的渗透开发，提高国内倍轻松品牌认知率</w:t>
            </w:r>
            <w:r>
              <w:rPr>
                <w:rFonts w:hint="eastAsia"/>
                <w:sz w:val="21"/>
                <w:lang w:val="en-US" w:eastAsia="zh-CN"/>
              </w:rPr>
              <w:t>。未来也将逐步实现直营门店+加盟店双渠道发展，计划形成连锁模式。逐步</w:t>
            </w:r>
            <w:r>
              <w:rPr>
                <w:rFonts w:hint="default"/>
                <w:sz w:val="21"/>
                <w:lang w:val="en-US" w:eastAsia="zh-CN"/>
              </w:rPr>
              <w:t>在</w:t>
            </w:r>
            <w:r>
              <w:rPr>
                <w:rFonts w:hint="eastAsia"/>
                <w:sz w:val="21"/>
                <w:lang w:val="en-US" w:eastAsia="zh-CN"/>
              </w:rPr>
              <w:t>国</w:t>
            </w:r>
            <w:r>
              <w:rPr>
                <w:rFonts w:hint="default"/>
                <w:sz w:val="21"/>
                <w:lang w:val="en-US" w:eastAsia="zh-CN"/>
              </w:rPr>
              <w:t>内多网点渗透布局，“以点带面”，发挥品牌与门店的协同作用。</w:t>
            </w:r>
          </w:p>
          <w:p>
            <w:pPr>
              <w:pStyle w:val="5"/>
              <w:spacing w:line="360" w:lineRule="auto"/>
              <w:rPr>
                <w:sz w:val="21"/>
              </w:rPr>
            </w:pPr>
          </w:p>
          <w:p>
            <w:pPr>
              <w:pStyle w:val="5"/>
              <w:spacing w:line="360" w:lineRule="auto"/>
              <w:ind w:firstLine="422" w:firstLineChars="200"/>
              <w:rPr>
                <w:rFonts w:hint="eastAsia"/>
                <w:b/>
                <w:bCs/>
                <w:sz w:val="21"/>
              </w:rPr>
            </w:pPr>
            <w:r>
              <w:rPr>
                <w:rFonts w:hint="eastAsia"/>
                <w:b/>
                <w:bCs/>
                <w:sz w:val="21"/>
              </w:rPr>
              <w:t>Q</w:t>
            </w:r>
            <w:r>
              <w:rPr>
                <w:rFonts w:hint="eastAsia"/>
                <w:b/>
                <w:bCs/>
                <w:sz w:val="21"/>
                <w:lang w:val="en-US" w:eastAsia="zh-CN"/>
              </w:rPr>
              <w:t>6</w:t>
            </w:r>
            <w:r>
              <w:rPr>
                <w:rFonts w:hint="eastAsia"/>
                <w:b/>
                <w:bCs/>
                <w:sz w:val="21"/>
              </w:rPr>
              <w:t>：去年抖音渠道表现抢眼，今年公司对这个渠道的展望如何？</w:t>
            </w:r>
          </w:p>
          <w:p>
            <w:pPr>
              <w:pStyle w:val="5"/>
              <w:spacing w:line="360" w:lineRule="auto"/>
              <w:ind w:firstLine="420" w:firstLineChars="200"/>
              <w:rPr>
                <w:rFonts w:hint="eastAsia"/>
                <w:sz w:val="21"/>
              </w:rPr>
            </w:pPr>
            <w:r>
              <w:rPr>
                <w:rFonts w:hint="eastAsia"/>
                <w:sz w:val="21"/>
              </w:rPr>
              <w:t>A：</w:t>
            </w:r>
            <w:r>
              <w:rPr>
                <w:rFonts w:hint="eastAsia"/>
                <w:sz w:val="21"/>
                <w:lang w:val="en-US" w:eastAsia="zh-CN"/>
              </w:rPr>
              <w:t>2024年公司将更加进一步</w:t>
            </w:r>
            <w:r>
              <w:rPr>
                <w:rFonts w:hint="eastAsia"/>
                <w:sz w:val="21"/>
              </w:rPr>
              <w:t>严控投</w:t>
            </w:r>
            <w:r>
              <w:rPr>
                <w:rFonts w:hint="eastAsia"/>
                <w:sz w:val="21"/>
                <w:lang w:val="en-US" w:eastAsia="zh-CN"/>
              </w:rPr>
              <w:t>入</w:t>
            </w:r>
            <w:r>
              <w:rPr>
                <w:rFonts w:hint="eastAsia"/>
                <w:sz w:val="21"/>
              </w:rPr>
              <w:t>产出，</w:t>
            </w:r>
            <w:r>
              <w:rPr>
                <w:rFonts w:hint="eastAsia"/>
                <w:sz w:val="21"/>
                <w:lang w:val="en-US" w:eastAsia="zh-CN"/>
              </w:rPr>
              <w:t>将抖音渠道</w:t>
            </w:r>
            <w:r>
              <w:rPr>
                <w:rFonts w:hint="eastAsia"/>
                <w:sz w:val="21"/>
              </w:rPr>
              <w:t>作为引流渠道发挥</w:t>
            </w:r>
            <w:r>
              <w:rPr>
                <w:rFonts w:hint="eastAsia"/>
                <w:sz w:val="21"/>
                <w:lang w:val="en-US" w:eastAsia="zh-CN"/>
              </w:rPr>
              <w:t>其</w:t>
            </w:r>
            <w:r>
              <w:rPr>
                <w:rFonts w:hint="eastAsia"/>
                <w:sz w:val="21"/>
              </w:rPr>
              <w:t>推送</w:t>
            </w:r>
            <w:r>
              <w:rPr>
                <w:rFonts w:hint="eastAsia"/>
                <w:sz w:val="21"/>
                <w:lang w:val="en-US" w:eastAsia="zh-CN"/>
              </w:rPr>
              <w:t>及引流</w:t>
            </w:r>
            <w:r>
              <w:rPr>
                <w:rFonts w:hint="eastAsia"/>
                <w:sz w:val="21"/>
              </w:rPr>
              <w:t>效应，</w:t>
            </w:r>
            <w:r>
              <w:rPr>
                <w:rFonts w:hint="eastAsia"/>
                <w:sz w:val="21"/>
                <w:lang w:val="en-US" w:eastAsia="zh-CN"/>
              </w:rPr>
              <w:t>配合节假日、大促、推新等节奏</w:t>
            </w:r>
            <w:r>
              <w:rPr>
                <w:rFonts w:hint="eastAsia"/>
                <w:sz w:val="21"/>
              </w:rPr>
              <w:t>，</w:t>
            </w:r>
            <w:r>
              <w:rPr>
                <w:rFonts w:hint="eastAsia"/>
                <w:sz w:val="21"/>
                <w:lang w:val="en-US" w:eastAsia="zh-CN"/>
              </w:rPr>
              <w:t>在这些节点更好的利用抖音渠道的作用</w:t>
            </w:r>
            <w:r>
              <w:rPr>
                <w:rFonts w:hint="eastAsia"/>
                <w:sz w:val="21"/>
              </w:rPr>
              <w:t>。</w:t>
            </w:r>
          </w:p>
          <w:p>
            <w:pPr>
              <w:pStyle w:val="5"/>
              <w:spacing w:line="360" w:lineRule="auto"/>
              <w:ind w:firstLine="420" w:firstLineChars="200"/>
              <w:rPr>
                <w:rFonts w:hint="eastAsia"/>
                <w:sz w:val="21"/>
              </w:rPr>
            </w:pPr>
          </w:p>
          <w:p>
            <w:pPr>
              <w:pStyle w:val="5"/>
              <w:spacing w:line="360" w:lineRule="auto"/>
              <w:ind w:firstLine="420" w:firstLineChars="20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526" w:type="dxa"/>
            <w:vAlign w:val="center"/>
          </w:tcPr>
          <w:p>
            <w:pPr>
              <w:spacing w:line="480" w:lineRule="atLeast"/>
              <w:rPr>
                <w:b/>
                <w:bCs/>
                <w:iCs/>
                <w:color w:val="000000"/>
                <w:sz w:val="24"/>
              </w:rPr>
            </w:pPr>
            <w:r>
              <w:rPr>
                <w:rFonts w:hAnsi="宋体"/>
                <w:b/>
                <w:bCs/>
                <w:iCs/>
                <w:color w:val="000000"/>
                <w:sz w:val="24"/>
              </w:rPr>
              <w:t>附件清单（如有）</w:t>
            </w:r>
          </w:p>
        </w:tc>
        <w:tc>
          <w:tcPr>
            <w:tcW w:w="7087" w:type="dxa"/>
          </w:tcPr>
          <w:p>
            <w:pPr>
              <w:spacing w:line="480" w:lineRule="atLeast"/>
              <w:rPr>
                <w:bCs/>
                <w:iCs/>
                <w:color w:val="000000"/>
                <w:sz w:val="24"/>
              </w:rPr>
            </w:pPr>
          </w:p>
        </w:tc>
      </w:tr>
    </w:tbl>
    <w:p>
      <w:pPr>
        <w:spacing w:line="480" w:lineRule="atLeast"/>
      </w:pPr>
    </w:p>
    <w:sectPr>
      <w:foot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5MDI4M2QxOWM1MjQ0ODBiNzM1MDE0NzRiMmU1MDYifQ=="/>
  </w:docVars>
  <w:rsids>
    <w:rsidRoot w:val="00172A27"/>
    <w:rsid w:val="00007FA2"/>
    <w:rsid w:val="00014E56"/>
    <w:rsid w:val="000339D2"/>
    <w:rsid w:val="00055846"/>
    <w:rsid w:val="00075C98"/>
    <w:rsid w:val="000843E5"/>
    <w:rsid w:val="000B64CF"/>
    <w:rsid w:val="000C40C7"/>
    <w:rsid w:val="000D580D"/>
    <w:rsid w:val="000E221F"/>
    <w:rsid w:val="000E3E2A"/>
    <w:rsid w:val="000E7713"/>
    <w:rsid w:val="000F0BB0"/>
    <w:rsid w:val="000F5CC1"/>
    <w:rsid w:val="000F6467"/>
    <w:rsid w:val="0010717F"/>
    <w:rsid w:val="001145CE"/>
    <w:rsid w:val="00114FBE"/>
    <w:rsid w:val="00115106"/>
    <w:rsid w:val="00117012"/>
    <w:rsid w:val="001263CA"/>
    <w:rsid w:val="00140CED"/>
    <w:rsid w:val="00147E51"/>
    <w:rsid w:val="00165B75"/>
    <w:rsid w:val="00166D29"/>
    <w:rsid w:val="00172A27"/>
    <w:rsid w:val="00174E61"/>
    <w:rsid w:val="00184288"/>
    <w:rsid w:val="001A67A1"/>
    <w:rsid w:val="001C413B"/>
    <w:rsid w:val="001D1FF5"/>
    <w:rsid w:val="001D5C41"/>
    <w:rsid w:val="001D5D67"/>
    <w:rsid w:val="001E1699"/>
    <w:rsid w:val="001E31A9"/>
    <w:rsid w:val="001E53C9"/>
    <w:rsid w:val="0024044D"/>
    <w:rsid w:val="002422BE"/>
    <w:rsid w:val="00254E9F"/>
    <w:rsid w:val="0026070F"/>
    <w:rsid w:val="00264E86"/>
    <w:rsid w:val="0028462D"/>
    <w:rsid w:val="002B1903"/>
    <w:rsid w:val="002C6D2F"/>
    <w:rsid w:val="00302D08"/>
    <w:rsid w:val="00314FD5"/>
    <w:rsid w:val="003374A3"/>
    <w:rsid w:val="00346B85"/>
    <w:rsid w:val="00350EC7"/>
    <w:rsid w:val="00362EAF"/>
    <w:rsid w:val="003A4F18"/>
    <w:rsid w:val="003B3132"/>
    <w:rsid w:val="003C6540"/>
    <w:rsid w:val="003E4369"/>
    <w:rsid w:val="003E6FB7"/>
    <w:rsid w:val="00427F5E"/>
    <w:rsid w:val="00435066"/>
    <w:rsid w:val="00453A1E"/>
    <w:rsid w:val="0047657D"/>
    <w:rsid w:val="004A51DD"/>
    <w:rsid w:val="004D4D3D"/>
    <w:rsid w:val="004E2617"/>
    <w:rsid w:val="004E3F77"/>
    <w:rsid w:val="004E6447"/>
    <w:rsid w:val="004F777F"/>
    <w:rsid w:val="00501FD8"/>
    <w:rsid w:val="0051067B"/>
    <w:rsid w:val="0051391E"/>
    <w:rsid w:val="005151AC"/>
    <w:rsid w:val="00534FCA"/>
    <w:rsid w:val="0055347E"/>
    <w:rsid w:val="00580F88"/>
    <w:rsid w:val="005A237F"/>
    <w:rsid w:val="005A267D"/>
    <w:rsid w:val="005D3C70"/>
    <w:rsid w:val="005E30DB"/>
    <w:rsid w:val="00622216"/>
    <w:rsid w:val="00631122"/>
    <w:rsid w:val="00640EDB"/>
    <w:rsid w:val="006728DB"/>
    <w:rsid w:val="00683FED"/>
    <w:rsid w:val="006A0B47"/>
    <w:rsid w:val="006B164F"/>
    <w:rsid w:val="006B71C8"/>
    <w:rsid w:val="006C1C46"/>
    <w:rsid w:val="007063C7"/>
    <w:rsid w:val="00706C3C"/>
    <w:rsid w:val="007238C1"/>
    <w:rsid w:val="00724126"/>
    <w:rsid w:val="0076265E"/>
    <w:rsid w:val="00762C4B"/>
    <w:rsid w:val="0079116B"/>
    <w:rsid w:val="00796585"/>
    <w:rsid w:val="007B26FB"/>
    <w:rsid w:val="007C338F"/>
    <w:rsid w:val="007C352D"/>
    <w:rsid w:val="007C3F6C"/>
    <w:rsid w:val="007E2CD7"/>
    <w:rsid w:val="00800036"/>
    <w:rsid w:val="00800873"/>
    <w:rsid w:val="00800DE3"/>
    <w:rsid w:val="00803640"/>
    <w:rsid w:val="008154BB"/>
    <w:rsid w:val="00816656"/>
    <w:rsid w:val="00820223"/>
    <w:rsid w:val="008361A9"/>
    <w:rsid w:val="008701C4"/>
    <w:rsid w:val="00887153"/>
    <w:rsid w:val="008D1938"/>
    <w:rsid w:val="008D7A2D"/>
    <w:rsid w:val="008E3052"/>
    <w:rsid w:val="00914631"/>
    <w:rsid w:val="009322A1"/>
    <w:rsid w:val="0093647E"/>
    <w:rsid w:val="00936881"/>
    <w:rsid w:val="009416D5"/>
    <w:rsid w:val="00942B29"/>
    <w:rsid w:val="009800B7"/>
    <w:rsid w:val="00981084"/>
    <w:rsid w:val="009A3F4B"/>
    <w:rsid w:val="009A677E"/>
    <w:rsid w:val="009A6A0C"/>
    <w:rsid w:val="009F0C4B"/>
    <w:rsid w:val="009F473E"/>
    <w:rsid w:val="00A05FE5"/>
    <w:rsid w:val="00A072BB"/>
    <w:rsid w:val="00A10CB5"/>
    <w:rsid w:val="00A2717A"/>
    <w:rsid w:val="00A315DE"/>
    <w:rsid w:val="00A6238D"/>
    <w:rsid w:val="00A633BF"/>
    <w:rsid w:val="00A642EA"/>
    <w:rsid w:val="00A8623C"/>
    <w:rsid w:val="00A902B1"/>
    <w:rsid w:val="00A95EE9"/>
    <w:rsid w:val="00AB3700"/>
    <w:rsid w:val="00AE13D6"/>
    <w:rsid w:val="00AF1B44"/>
    <w:rsid w:val="00AF6F79"/>
    <w:rsid w:val="00B009C0"/>
    <w:rsid w:val="00B009C4"/>
    <w:rsid w:val="00B0444A"/>
    <w:rsid w:val="00B203F7"/>
    <w:rsid w:val="00B33532"/>
    <w:rsid w:val="00B40122"/>
    <w:rsid w:val="00B41E3A"/>
    <w:rsid w:val="00B47BD3"/>
    <w:rsid w:val="00B54F3B"/>
    <w:rsid w:val="00B8046E"/>
    <w:rsid w:val="00B81FB7"/>
    <w:rsid w:val="00BA0715"/>
    <w:rsid w:val="00BA7F0A"/>
    <w:rsid w:val="00BC0FCD"/>
    <w:rsid w:val="00BD4FCC"/>
    <w:rsid w:val="00BE00B5"/>
    <w:rsid w:val="00BE61DE"/>
    <w:rsid w:val="00BF3CF1"/>
    <w:rsid w:val="00C14413"/>
    <w:rsid w:val="00C20449"/>
    <w:rsid w:val="00C2138E"/>
    <w:rsid w:val="00C3326B"/>
    <w:rsid w:val="00C60143"/>
    <w:rsid w:val="00C65821"/>
    <w:rsid w:val="00C706FD"/>
    <w:rsid w:val="00CB67C8"/>
    <w:rsid w:val="00CC3CFC"/>
    <w:rsid w:val="00CD3CE5"/>
    <w:rsid w:val="00CE1329"/>
    <w:rsid w:val="00CE65E1"/>
    <w:rsid w:val="00CF7CB0"/>
    <w:rsid w:val="00D06B3A"/>
    <w:rsid w:val="00D33FBB"/>
    <w:rsid w:val="00D3497C"/>
    <w:rsid w:val="00D35303"/>
    <w:rsid w:val="00D44D06"/>
    <w:rsid w:val="00D5472F"/>
    <w:rsid w:val="00D66E89"/>
    <w:rsid w:val="00D77B70"/>
    <w:rsid w:val="00D80A29"/>
    <w:rsid w:val="00D80C8F"/>
    <w:rsid w:val="00D81D93"/>
    <w:rsid w:val="00D87672"/>
    <w:rsid w:val="00D92CF7"/>
    <w:rsid w:val="00DA6617"/>
    <w:rsid w:val="00DB14BC"/>
    <w:rsid w:val="00DC6684"/>
    <w:rsid w:val="00DD3DC1"/>
    <w:rsid w:val="00DF1F95"/>
    <w:rsid w:val="00DF2F52"/>
    <w:rsid w:val="00DF7AE3"/>
    <w:rsid w:val="00E004A1"/>
    <w:rsid w:val="00E10734"/>
    <w:rsid w:val="00E13D55"/>
    <w:rsid w:val="00E41BCC"/>
    <w:rsid w:val="00E4651A"/>
    <w:rsid w:val="00E66795"/>
    <w:rsid w:val="00E80249"/>
    <w:rsid w:val="00E931E5"/>
    <w:rsid w:val="00EB2225"/>
    <w:rsid w:val="00EB6AF2"/>
    <w:rsid w:val="00EB6B07"/>
    <w:rsid w:val="00ED0D47"/>
    <w:rsid w:val="00ED6D34"/>
    <w:rsid w:val="00EF13AC"/>
    <w:rsid w:val="00EF2697"/>
    <w:rsid w:val="00F03B9C"/>
    <w:rsid w:val="00F119FC"/>
    <w:rsid w:val="00F51B5E"/>
    <w:rsid w:val="00F625B7"/>
    <w:rsid w:val="00F62C86"/>
    <w:rsid w:val="00F67CEF"/>
    <w:rsid w:val="00F75CE2"/>
    <w:rsid w:val="00FB49FA"/>
    <w:rsid w:val="00FD0D7C"/>
    <w:rsid w:val="00FD12FB"/>
    <w:rsid w:val="00FD290F"/>
    <w:rsid w:val="00FD5518"/>
    <w:rsid w:val="00FD5B56"/>
    <w:rsid w:val="00FF373C"/>
    <w:rsid w:val="00FF4ACE"/>
    <w:rsid w:val="021E497E"/>
    <w:rsid w:val="0D5C636E"/>
    <w:rsid w:val="25A504F9"/>
    <w:rsid w:val="287153DB"/>
    <w:rsid w:val="33D43F81"/>
    <w:rsid w:val="34A66311"/>
    <w:rsid w:val="426F53E0"/>
    <w:rsid w:val="4D822B1B"/>
    <w:rsid w:val="50507457"/>
    <w:rsid w:val="5B1E58A3"/>
    <w:rsid w:val="63F31E28"/>
    <w:rsid w:val="6A8F6D47"/>
    <w:rsid w:val="6C825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qFormat/>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paragraph" w:styleId="7">
    <w:name w:val="annotation subject"/>
    <w:basedOn w:val="2"/>
    <w:next w:val="2"/>
    <w:link w:val="21"/>
    <w:qFormat/>
    <w:uiPriority w:val="0"/>
    <w:rPr>
      <w:b/>
      <w:bCs/>
    </w:rPr>
  </w:style>
  <w:style w:type="character" w:styleId="10">
    <w:name w:val="page number"/>
    <w:basedOn w:val="9"/>
    <w:qFormat/>
    <w:uiPriority w:val="0"/>
  </w:style>
  <w:style w:type="character" w:styleId="11">
    <w:name w:val="Emphasis"/>
    <w:qFormat/>
    <w:uiPriority w:val="20"/>
    <w:rPr>
      <w:color w:val="CC0000"/>
    </w:rPr>
  </w:style>
  <w:style w:type="character" w:styleId="12">
    <w:name w:val="Hyperlink"/>
    <w:unhideWhenUsed/>
    <w:uiPriority w:val="99"/>
    <w:rPr>
      <w:color w:val="0000FF"/>
      <w:u w:val="single"/>
    </w:rPr>
  </w:style>
  <w:style w:type="character" w:styleId="13">
    <w:name w:val="annotation reference"/>
    <w:basedOn w:val="9"/>
    <w:qFormat/>
    <w:uiPriority w:val="0"/>
    <w:rPr>
      <w:sz w:val="21"/>
      <w:szCs w:val="21"/>
    </w:rPr>
  </w:style>
  <w:style w:type="paragraph" w:customStyle="1" w:styleId="14">
    <w:name w:val="p0"/>
    <w:basedOn w:val="1"/>
    <w:qFormat/>
    <w:uiPriority w:val="0"/>
    <w:pPr>
      <w:widowControl/>
    </w:pPr>
    <w:rPr>
      <w:kern w:val="0"/>
      <w:szCs w:val="21"/>
    </w:rPr>
  </w:style>
  <w:style w:type="character" w:customStyle="1" w:styleId="15">
    <w:name w:val="西矿招股书正文 Char"/>
    <w:link w:val="16"/>
    <w:qFormat/>
    <w:uiPriority w:val="0"/>
    <w:rPr>
      <w:rFonts w:eastAsia="宋体"/>
      <w:kern w:val="2"/>
      <w:sz w:val="24"/>
      <w:szCs w:val="24"/>
      <w:lang w:val="en-US" w:eastAsia="zh-CN" w:bidi="ar-SA"/>
    </w:rPr>
  </w:style>
  <w:style w:type="paragraph" w:customStyle="1" w:styleId="16">
    <w:name w:val="西矿招股书正文"/>
    <w:basedOn w:val="1"/>
    <w:link w:val="15"/>
    <w:qFormat/>
    <w:uiPriority w:val="0"/>
    <w:pPr>
      <w:overflowPunct w:val="0"/>
      <w:autoSpaceDE w:val="0"/>
      <w:autoSpaceDN w:val="0"/>
      <w:adjustRightInd w:val="0"/>
      <w:snapToGrid w:val="0"/>
      <w:spacing w:before="120" w:line="360" w:lineRule="auto"/>
      <w:ind w:firstLine="200" w:firstLineChars="200"/>
      <w:jc w:val="left"/>
    </w:pPr>
    <w:rPr>
      <w:sz w:val="24"/>
      <w:szCs w:val="24"/>
    </w:rPr>
  </w:style>
  <w:style w:type="paragraph" w:customStyle="1" w:styleId="17">
    <w:name w:val="Char"/>
    <w:basedOn w:val="1"/>
    <w:qFormat/>
    <w:uiPriority w:val="0"/>
    <w:pPr>
      <w:tabs>
        <w:tab w:val="left" w:pos="360"/>
      </w:tabs>
    </w:p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列表段落1"/>
    <w:basedOn w:val="1"/>
    <w:qFormat/>
    <w:uiPriority w:val="34"/>
    <w:pPr>
      <w:ind w:firstLine="420" w:firstLineChars="200"/>
    </w:pPr>
    <w:rPr>
      <w:rFonts w:ascii="Calibri" w:hAnsi="Calibri"/>
      <w:szCs w:val="22"/>
    </w:rPr>
  </w:style>
  <w:style w:type="character" w:customStyle="1" w:styleId="20">
    <w:name w:val="批注文字 字符"/>
    <w:basedOn w:val="9"/>
    <w:link w:val="2"/>
    <w:qFormat/>
    <w:uiPriority w:val="0"/>
    <w:rPr>
      <w:kern w:val="2"/>
      <w:sz w:val="21"/>
    </w:rPr>
  </w:style>
  <w:style w:type="character" w:customStyle="1" w:styleId="21">
    <w:name w:val="批注主题 字符"/>
    <w:basedOn w:val="20"/>
    <w:link w:val="7"/>
    <w:qFormat/>
    <w:uiPriority w:val="0"/>
    <w:rPr>
      <w:b/>
      <w:bCs/>
      <w:kern w:val="2"/>
      <w:sz w:val="21"/>
    </w:rPr>
  </w:style>
  <w:style w:type="paragraph" w:customStyle="1" w:styleId="22">
    <w:name w:val="修订1"/>
    <w:hidden/>
    <w:semiHidden/>
    <w:qFormat/>
    <w:uiPriority w:val="99"/>
    <w:rPr>
      <w:rFonts w:ascii="Times New Roman" w:hAnsi="Times New Roman" w:eastAsia="宋体" w:cs="Times New Roman"/>
      <w:kern w:val="2"/>
      <w:sz w:val="21"/>
      <w:lang w:val="en-US" w:eastAsia="zh-CN" w:bidi="ar-SA"/>
    </w:rPr>
  </w:style>
  <w:style w:type="paragraph" w:customStyle="1" w:styleId="23">
    <w:name w:val="修订2"/>
    <w:hidden/>
    <w:semiHidden/>
    <w:qFormat/>
    <w:uiPriority w:val="99"/>
    <w:rPr>
      <w:rFonts w:ascii="Times New Roman" w:hAnsi="Times New Roman" w:eastAsia="宋体" w:cs="Times New Roman"/>
      <w:kern w:val="2"/>
      <w:sz w:val="21"/>
      <w:lang w:val="en-US" w:eastAsia="zh-CN" w:bidi="ar-SA"/>
    </w:rPr>
  </w:style>
  <w:style w:type="paragraph" w:styleId="2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991</Words>
  <Characters>1049</Characters>
  <Lines>15</Lines>
  <Paragraphs>4</Paragraphs>
  <TotalTime>11</TotalTime>
  <ScaleCrop>false</ScaleCrop>
  <LinksUpToDate>false</LinksUpToDate>
  <CharactersWithSpaces>1158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2023-09-13T07:30:00Z</dcterms:created>
  <dc:creator>User</dc:creator>
  <cp:lastModifiedBy>Brittany</cp:lastModifiedBy>
  <cp:lastPrinted>2017-11-28T08:20:00Z</cp:lastPrinted>
  <dcterms:modified xsi:type="dcterms:W3CDTF">2024-05-17T09:57:04Z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2155146DF8EC43888DD88F630C1C8C8B_13</vt:lpwstr>
  </property>
</Properties>
</file>