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00" w:lineRule="exact"/>
        <w:rPr>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600717                             </w:t>
      </w:r>
      <w:r>
        <w:rPr>
          <w:rFonts w:hAnsi="宋体"/>
          <w:bCs/>
          <w:iCs/>
          <w:color w:val="000000"/>
          <w:sz w:val="24"/>
        </w:rPr>
        <w:t>证券简称：</w:t>
      </w:r>
      <w:r>
        <w:rPr>
          <w:color w:val="000000"/>
          <w:sz w:val="24"/>
        </w:rPr>
        <w:t>天津港</w:t>
      </w:r>
    </w:p>
    <w:p>
      <w:pPr>
        <w:spacing w:beforeLines="50" w:afterLines="50" w:line="400" w:lineRule="exact"/>
        <w:jc w:val="center"/>
        <w:rPr>
          <w:rFonts w:ascii="宋体" w:hAnsi="宋体"/>
          <w:b/>
          <w:bCs/>
          <w:iCs/>
          <w:color w:val="000000"/>
          <w:sz w:val="32"/>
          <w:szCs w:val="32"/>
        </w:rPr>
      </w:pPr>
      <w:r>
        <w:rPr>
          <w:rFonts w:ascii="宋体" w:hAnsi="宋体"/>
          <w:b/>
          <w:bCs/>
          <w:iCs/>
          <w:color w:val="000000"/>
          <w:sz w:val="32"/>
          <w:szCs w:val="32"/>
        </w:rPr>
        <w:t>天津港股份有限公司</w:t>
      </w:r>
      <w:r>
        <w:rPr>
          <w:rFonts w:hint="eastAsia" w:ascii="宋体" w:hAnsi="宋体"/>
          <w:b/>
          <w:bCs/>
          <w:iCs/>
          <w:color w:val="000000"/>
          <w:sz w:val="32"/>
          <w:szCs w:val="32"/>
        </w:rPr>
        <w:t>投资者关系活动记录表</w:t>
      </w:r>
    </w:p>
    <w:p>
      <w:pPr>
        <w:spacing w:line="400" w:lineRule="exact"/>
        <w:rPr>
          <w:bCs/>
          <w:iCs/>
          <w:color w:val="000000"/>
          <w:sz w:val="24"/>
        </w:rPr>
      </w:pPr>
      <w:r>
        <w:rPr>
          <w:rFonts w:hint="eastAsia" w:ascii="宋体" w:hAnsi="宋体"/>
          <w:bCs/>
          <w:iCs/>
          <w:color w:val="000000"/>
          <w:sz w:val="24"/>
        </w:rPr>
        <w:t xml:space="preserve">                                                     </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6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20" w:lineRule="exact"/>
              <w:rPr>
                <w:bCs/>
                <w:iCs/>
                <w:color w:val="000000"/>
                <w:kern w:val="0"/>
                <w:sz w:val="24"/>
              </w:rPr>
            </w:pPr>
            <w:r>
              <w:rPr>
                <w:rFonts w:hAnsi="宋体"/>
                <w:bCs/>
                <w:iCs/>
                <w:color w:val="000000"/>
                <w:kern w:val="0"/>
                <w:sz w:val="24"/>
              </w:rPr>
              <w:t>投资者关系活动类别</w:t>
            </w:r>
          </w:p>
          <w:p>
            <w:pPr>
              <w:spacing w:line="420" w:lineRule="exact"/>
              <w:rPr>
                <w:bCs/>
                <w:iCs/>
                <w:color w:val="000000"/>
                <w:sz w:val="24"/>
              </w:rPr>
            </w:pPr>
          </w:p>
        </w:tc>
        <w:tc>
          <w:tcPr>
            <w:tcW w:w="6847" w:type="dxa"/>
            <w:tcBorders>
              <w:top w:val="single" w:color="auto" w:sz="4" w:space="0"/>
              <w:left w:val="single" w:color="auto" w:sz="4" w:space="0"/>
              <w:bottom w:val="single" w:color="auto" w:sz="4" w:space="0"/>
              <w:right w:val="single" w:color="auto" w:sz="4" w:space="0"/>
            </w:tcBorders>
          </w:tcPr>
          <w:p>
            <w:pPr>
              <w:spacing w:line="420" w:lineRule="exact"/>
              <w:rPr>
                <w:bCs/>
                <w:iCs/>
                <w:color w:val="000000"/>
                <w:sz w:val="24"/>
              </w:rPr>
            </w:pPr>
            <w:r>
              <w:rPr>
                <w:bCs/>
                <w:iCs/>
                <w:color w:val="000000"/>
                <w:kern w:val="0"/>
                <w:sz w:val="24"/>
              </w:rPr>
              <w:t>□</w:t>
            </w:r>
            <w:r>
              <w:rPr>
                <w:rFonts w:hint="eastAsia"/>
                <w:bCs/>
                <w:iCs/>
                <w:color w:val="000000"/>
                <w:kern w:val="0"/>
                <w:sz w:val="24"/>
                <w:lang w:val="en-US" w:eastAsia="zh-CN"/>
              </w:rPr>
              <w:t xml:space="preserve"> </w:t>
            </w:r>
            <w:r>
              <w:rPr>
                <w:rFonts w:hAnsi="宋体"/>
                <w:kern w:val="0"/>
                <w:sz w:val="24"/>
              </w:rPr>
              <w:t>特定对象调研</w:t>
            </w:r>
            <w:r>
              <w:rPr>
                <w:kern w:val="0"/>
                <w:sz w:val="24"/>
              </w:rPr>
              <w:t xml:space="preserve">       </w:t>
            </w:r>
            <w:r>
              <w:rPr>
                <w:rFonts w:hint="eastAsia"/>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rFonts w:hint="eastAsia"/>
                <w:bCs/>
                <w:iCs/>
                <w:color w:val="000000"/>
                <w:kern w:val="0"/>
                <w:sz w:val="24"/>
                <w:lang w:eastAsia="zh-CN"/>
              </w:rPr>
              <w:t>☑</w:t>
            </w:r>
            <w:r>
              <w:rPr>
                <w:rFonts w:hint="eastAsia"/>
                <w:bCs/>
                <w:iCs/>
                <w:color w:val="000000"/>
                <w:kern w:val="0"/>
                <w:sz w:val="24"/>
              </w:rPr>
              <w:t xml:space="preserve">  </w:t>
            </w:r>
            <w:r>
              <w:rPr>
                <w:rFonts w:hAnsi="宋体"/>
                <w:kern w:val="0"/>
                <w:sz w:val="24"/>
              </w:rPr>
              <w:t>业绩说明会</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rFonts w:hint="eastAsia"/>
                <w:kern w:val="0"/>
                <w:sz w:val="24"/>
                <w:lang w:val="en-US" w:eastAsia="zh-CN"/>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r>
              <w:rPr>
                <w:rFonts w:hAnsi="宋体"/>
                <w:kern w:val="0"/>
                <w:sz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20" w:lineRule="exact"/>
              <w:rPr>
                <w:bCs/>
                <w:iCs/>
                <w:color w:val="000000"/>
                <w:kern w:val="0"/>
                <w:sz w:val="24"/>
              </w:rPr>
            </w:pPr>
            <w:r>
              <w:rPr>
                <w:rFonts w:hAnsi="宋体"/>
                <w:bCs/>
                <w:iCs/>
                <w:color w:val="000000"/>
                <w:kern w:val="0"/>
                <w:sz w:val="24"/>
              </w:rPr>
              <w:t>时间</w:t>
            </w:r>
          </w:p>
        </w:tc>
        <w:tc>
          <w:tcPr>
            <w:tcW w:w="6847" w:type="dxa"/>
            <w:tcBorders>
              <w:top w:val="single" w:color="auto" w:sz="4" w:space="0"/>
              <w:left w:val="single" w:color="auto" w:sz="4" w:space="0"/>
              <w:bottom w:val="single" w:color="auto" w:sz="4" w:space="0"/>
              <w:right w:val="single" w:color="auto" w:sz="4" w:space="0"/>
            </w:tcBorders>
          </w:tcPr>
          <w:p>
            <w:pPr>
              <w:spacing w:beforeLines="50" w:afterLines="50" w:line="420" w:lineRule="exact"/>
              <w:rPr>
                <w:bCs/>
                <w:iCs/>
                <w:color w:val="000000"/>
                <w:sz w:val="24"/>
              </w:rPr>
            </w:pPr>
            <w:r>
              <w:rPr>
                <w:bCs/>
                <w:iCs/>
                <w:color w:val="000000"/>
                <w:sz w:val="24"/>
              </w:rPr>
              <w:t>202</w:t>
            </w:r>
            <w:r>
              <w:rPr>
                <w:rFonts w:hint="eastAsia"/>
                <w:bCs/>
                <w:iCs/>
                <w:color w:val="000000"/>
                <w:sz w:val="24"/>
              </w:rPr>
              <w:t>4</w:t>
            </w:r>
            <w:r>
              <w:rPr>
                <w:bCs/>
                <w:iCs/>
                <w:color w:val="000000"/>
                <w:sz w:val="24"/>
              </w:rPr>
              <w:t>年</w:t>
            </w:r>
            <w:r>
              <w:rPr>
                <w:rFonts w:hint="eastAsia"/>
                <w:bCs/>
                <w:iCs/>
                <w:color w:val="000000"/>
                <w:sz w:val="24"/>
                <w:lang w:val="en-US" w:eastAsia="zh-CN"/>
              </w:rPr>
              <w:t>5</w:t>
            </w:r>
            <w:r>
              <w:rPr>
                <w:bCs/>
                <w:iCs/>
                <w:color w:val="000000"/>
                <w:sz w:val="24"/>
              </w:rPr>
              <w:t>月</w:t>
            </w:r>
            <w:r>
              <w:rPr>
                <w:rFonts w:hint="eastAsia"/>
                <w:bCs/>
                <w:iCs/>
                <w:color w:val="000000"/>
                <w:sz w:val="24"/>
                <w:lang w:val="en-US" w:eastAsia="zh-CN"/>
              </w:rPr>
              <w:t>17</w:t>
            </w:r>
            <w:r>
              <w:rPr>
                <w:bCs/>
                <w:iCs/>
                <w:color w:val="000000"/>
                <w:sz w:val="24"/>
              </w:rPr>
              <w:t>日 (周</w:t>
            </w:r>
            <w:r>
              <w:rPr>
                <w:rFonts w:hint="eastAsia"/>
                <w:bCs/>
                <w:iCs/>
                <w:color w:val="000000"/>
                <w:sz w:val="24"/>
                <w:lang w:val="en-US" w:eastAsia="zh-CN"/>
              </w:rPr>
              <w:t>五</w:t>
            </w:r>
            <w:r>
              <w:rPr>
                <w:bCs/>
                <w:iCs/>
                <w:color w:val="000000"/>
                <w:sz w:val="24"/>
              </w:rPr>
              <w:t>) 1</w:t>
            </w:r>
            <w:r>
              <w:rPr>
                <w:rFonts w:hint="eastAsia"/>
                <w:bCs/>
                <w:iCs/>
                <w:color w:val="000000"/>
                <w:sz w:val="24"/>
                <w:lang w:val="en-US" w:eastAsia="zh-CN"/>
              </w:rPr>
              <w:t>5</w:t>
            </w:r>
            <w:r>
              <w:rPr>
                <w:bCs/>
                <w:iCs/>
                <w:color w:val="000000"/>
                <w:sz w:val="24"/>
              </w:rPr>
              <w:t>:</w:t>
            </w:r>
            <w:r>
              <w:rPr>
                <w:rFonts w:hint="eastAsia"/>
                <w:bCs/>
                <w:iCs/>
                <w:color w:val="000000"/>
                <w:sz w:val="24"/>
                <w:lang w:val="en-US" w:eastAsia="zh-CN"/>
              </w:rPr>
              <w:t>0</w:t>
            </w:r>
            <w:r>
              <w:rPr>
                <w:bCs/>
                <w:iCs/>
                <w:color w:val="000000"/>
                <w:sz w:val="24"/>
              </w:rPr>
              <w:t>0~1</w:t>
            </w:r>
            <w:r>
              <w:rPr>
                <w:rFonts w:hint="eastAsia"/>
                <w:bCs/>
                <w:iCs/>
                <w:color w:val="000000"/>
                <w:sz w:val="24"/>
                <w:lang w:val="en-US" w:eastAsia="zh-CN"/>
              </w:rPr>
              <w:t>6</w:t>
            </w:r>
            <w:r>
              <w:rPr>
                <w:bCs/>
                <w:iCs/>
                <w:color w:val="000000"/>
                <w:sz w:val="24"/>
              </w:rPr>
              <w:t>:</w:t>
            </w:r>
            <w:r>
              <w:rPr>
                <w:rFonts w:hint="eastAsia"/>
                <w:bCs/>
                <w:iCs/>
                <w:color w:val="000000"/>
                <w:sz w:val="24"/>
                <w:lang w:val="en-US" w:eastAsia="zh-CN"/>
              </w:rPr>
              <w:t>0</w:t>
            </w:r>
            <w:r>
              <w:rPr>
                <w:bCs/>
                <w:iCs/>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20" w:lineRule="exact"/>
              <w:rPr>
                <w:bCs/>
                <w:iCs/>
                <w:color w:val="000000"/>
                <w:kern w:val="0"/>
                <w:sz w:val="24"/>
              </w:rPr>
            </w:pPr>
            <w:r>
              <w:rPr>
                <w:rFonts w:hAnsi="宋体"/>
                <w:bCs/>
                <w:iCs/>
                <w:color w:val="000000"/>
                <w:kern w:val="0"/>
                <w:sz w:val="24"/>
              </w:rPr>
              <w:t>地点</w:t>
            </w:r>
          </w:p>
        </w:tc>
        <w:tc>
          <w:tcPr>
            <w:tcW w:w="6847" w:type="dxa"/>
            <w:tcBorders>
              <w:top w:val="single" w:color="auto" w:sz="4" w:space="0"/>
              <w:left w:val="single" w:color="auto" w:sz="4" w:space="0"/>
              <w:bottom w:val="single" w:color="auto" w:sz="4" w:space="0"/>
              <w:right w:val="single" w:color="auto" w:sz="4" w:space="0"/>
            </w:tcBorders>
          </w:tcPr>
          <w:p>
            <w:pPr>
              <w:spacing w:beforeLines="50" w:afterLines="50" w:line="420" w:lineRule="exact"/>
              <w:rPr>
                <w:rFonts w:hint="default" w:eastAsia="宋体"/>
                <w:bCs/>
                <w:iCs/>
                <w:color w:val="000000"/>
                <w:sz w:val="24"/>
                <w:lang w:val="en-US" w:eastAsia="zh-CN"/>
              </w:rPr>
            </w:pPr>
            <w:r>
              <w:rPr>
                <w:rFonts w:hint="eastAsia"/>
                <w:bCs/>
                <w:iCs/>
                <w:color w:val="000000"/>
                <w:sz w:val="24"/>
                <w:lang w:val="en-US" w:eastAsia="zh-CN"/>
              </w:rPr>
              <w:t>上证路演中心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60" w:lineRule="auto"/>
              <w:jc w:val="left"/>
              <w:rPr>
                <w:rFonts w:ascii="宋体" w:hAnsi="宋体"/>
                <w:sz w:val="24"/>
              </w:rPr>
            </w:pPr>
            <w:r>
              <w:rPr>
                <w:rFonts w:hint="eastAsia" w:ascii="宋体" w:hAnsi="宋体"/>
                <w:sz w:val="24"/>
              </w:rPr>
              <w:t>1、董事、总裁</w:t>
            </w:r>
            <w:r>
              <w:rPr>
                <w:rFonts w:hint="eastAsia" w:ascii="宋体" w:hAnsi="宋体"/>
                <w:sz w:val="24"/>
                <w:lang w:eastAsia="zh-CN"/>
              </w:rPr>
              <w:t>：</w:t>
            </w:r>
            <w:r>
              <w:rPr>
                <w:rFonts w:hint="eastAsia" w:ascii="宋体" w:hAnsi="宋体"/>
                <w:sz w:val="24"/>
                <w:lang w:val="en-US" w:eastAsia="zh-CN"/>
              </w:rPr>
              <w:t>陈涛</w:t>
            </w:r>
          </w:p>
          <w:p>
            <w:pPr>
              <w:adjustRightInd w:val="0"/>
              <w:snapToGrid w:val="0"/>
              <w:spacing w:beforeLines="50" w:line="360" w:lineRule="auto"/>
              <w:jc w:val="left"/>
              <w:rPr>
                <w:rFonts w:hint="default" w:ascii="宋体" w:hAnsi="宋体" w:eastAsia="宋体"/>
                <w:sz w:val="24"/>
                <w:lang w:val="en-US" w:eastAsia="zh-CN"/>
              </w:rPr>
            </w:pPr>
            <w:r>
              <w:rPr>
                <w:rFonts w:hint="eastAsia" w:ascii="宋体" w:hAnsi="宋体"/>
                <w:sz w:val="24"/>
              </w:rPr>
              <w:t>2、独立董事</w:t>
            </w:r>
            <w:r>
              <w:rPr>
                <w:rFonts w:hint="eastAsia" w:ascii="宋体" w:hAnsi="宋体"/>
                <w:sz w:val="24"/>
                <w:lang w:eastAsia="zh-CN"/>
              </w:rPr>
              <w:t>：</w:t>
            </w:r>
            <w:r>
              <w:rPr>
                <w:rFonts w:hint="eastAsia" w:ascii="宋体" w:hAnsi="宋体"/>
                <w:sz w:val="24"/>
                <w:lang w:val="en-US" w:eastAsia="zh-CN"/>
              </w:rPr>
              <w:t>张玉利</w:t>
            </w:r>
          </w:p>
          <w:p>
            <w:pPr>
              <w:adjustRightInd w:val="0"/>
              <w:snapToGrid w:val="0"/>
              <w:spacing w:beforeLines="50" w:line="360" w:lineRule="auto"/>
              <w:jc w:val="left"/>
              <w:rPr>
                <w:rFonts w:hint="default" w:ascii="宋体" w:hAnsi="宋体"/>
                <w:sz w:val="24"/>
                <w:lang w:val="en-US" w:eastAsia="zh-CN"/>
              </w:rPr>
            </w:pPr>
            <w:r>
              <w:rPr>
                <w:rFonts w:hint="eastAsia" w:ascii="宋体" w:hAnsi="宋体"/>
                <w:sz w:val="24"/>
                <w:lang w:val="en-US" w:eastAsia="zh-CN"/>
              </w:rPr>
              <w:t>3、副总裁、财务负责人：方胜</w:t>
            </w:r>
          </w:p>
          <w:p>
            <w:pPr>
              <w:adjustRightInd w:val="0"/>
              <w:snapToGrid w:val="0"/>
              <w:spacing w:beforeLines="50" w:line="360" w:lineRule="auto"/>
              <w:jc w:val="left"/>
              <w:rPr>
                <w:rFonts w:hint="default" w:ascii="宋体" w:hAnsi="宋体"/>
                <w:sz w:val="24"/>
                <w:lang w:val="en-US" w:eastAsia="zh-CN"/>
              </w:rPr>
            </w:pPr>
            <w:r>
              <w:rPr>
                <w:rFonts w:hint="eastAsia" w:ascii="宋体" w:hAnsi="宋体"/>
                <w:sz w:val="24"/>
                <w:lang w:val="en-US" w:eastAsia="zh-CN"/>
              </w:rPr>
              <w:t>4、</w:t>
            </w:r>
            <w:r>
              <w:rPr>
                <w:rFonts w:hint="eastAsia" w:ascii="宋体" w:hAnsi="宋体"/>
                <w:sz w:val="24"/>
              </w:rPr>
              <w:t>董事会秘书：郭小薇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20" w:lineRule="exact"/>
              <w:rPr>
                <w:bCs/>
                <w:iCs/>
                <w:color w:val="000000"/>
                <w:kern w:val="0"/>
                <w:sz w:val="24"/>
              </w:rPr>
            </w:pPr>
            <w:r>
              <w:rPr>
                <w:rFonts w:hAnsi="宋体"/>
                <w:bCs/>
                <w:iCs/>
                <w:color w:val="000000"/>
                <w:kern w:val="0"/>
                <w:sz w:val="24"/>
              </w:rPr>
              <w:t>投资者关系活动主要内容介绍</w:t>
            </w:r>
          </w:p>
          <w:p>
            <w:pPr>
              <w:spacing w:line="420" w:lineRule="exact"/>
              <w:rPr>
                <w:bCs/>
                <w:iCs/>
                <w:color w:val="000000"/>
                <w:sz w:val="24"/>
              </w:rPr>
            </w:pPr>
          </w:p>
        </w:tc>
        <w:tc>
          <w:tcPr>
            <w:tcW w:w="6847" w:type="dxa"/>
            <w:tcBorders>
              <w:top w:val="single" w:color="auto" w:sz="4" w:space="0"/>
              <w:left w:val="single" w:color="auto" w:sz="4" w:space="0"/>
              <w:bottom w:val="single" w:color="auto" w:sz="4" w:space="0"/>
              <w:right w:val="single" w:color="auto" w:sz="4" w:space="0"/>
            </w:tcBorders>
          </w:tcPr>
          <w:p>
            <w:pPr>
              <w:spacing w:beforeLines="50" w:line="460" w:lineRule="exact"/>
              <w:ind w:firstLine="600" w:firstLineChars="249"/>
              <w:rPr>
                <w:rFonts w:ascii="宋体" w:hAnsi="宋体"/>
                <w:b/>
                <w:sz w:val="24"/>
              </w:rPr>
            </w:pPr>
            <w:r>
              <w:rPr>
                <w:rFonts w:ascii="宋体" w:hAnsi="宋体"/>
                <w:b/>
                <w:sz w:val="24"/>
              </w:rPr>
              <w:t>投资者提出的问题及公司回复情况</w:t>
            </w:r>
          </w:p>
          <w:p>
            <w:pPr>
              <w:spacing w:line="460" w:lineRule="exact"/>
              <w:ind w:firstLine="480" w:firstLineChars="200"/>
              <w:rPr>
                <w:rFonts w:ascii="宋体" w:hAnsi="宋体"/>
                <w:sz w:val="24"/>
              </w:rPr>
            </w:pPr>
            <w:r>
              <w:rPr>
                <w:rFonts w:ascii="宋体" w:hAnsi="宋体"/>
                <w:sz w:val="24"/>
              </w:rPr>
              <w:t xml:space="preserve"> </w:t>
            </w:r>
            <w:r>
              <w:rPr>
                <w:rFonts w:ascii="宋体" w:hAnsi="宋体" w:cs="宋体"/>
                <w:sz w:val="24"/>
              </w:rPr>
              <w:t>公司就投资者在本次</w:t>
            </w:r>
            <w:r>
              <w:rPr>
                <w:rFonts w:hint="eastAsia" w:ascii="宋体" w:hAnsi="宋体" w:cs="宋体"/>
                <w:sz w:val="24"/>
                <w:lang w:val="en-US" w:eastAsia="zh-CN"/>
              </w:rPr>
              <w:t>业绩说明会中</w:t>
            </w:r>
            <w:r>
              <w:rPr>
                <w:rFonts w:ascii="宋体" w:hAnsi="宋体" w:cs="宋体"/>
                <w:sz w:val="24"/>
              </w:rPr>
              <w:t>提出的问题进行了回复：</w:t>
            </w:r>
          </w:p>
          <w:p>
            <w:pPr>
              <w:pStyle w:val="7"/>
              <w:spacing w:line="460" w:lineRule="exact"/>
              <w:ind w:left="-2" w:leftChars="-1" w:firstLine="482"/>
              <w:rPr>
                <w:rFonts w:hint="default" w:ascii="宋体" w:hAnsi="宋体" w:eastAsia="宋体"/>
                <w:sz w:val="24"/>
                <w:szCs w:val="24"/>
                <w:lang w:val="en-US" w:eastAsia="zh-CN"/>
              </w:rPr>
            </w:pPr>
            <w:r>
              <w:rPr>
                <w:rFonts w:ascii="宋体" w:hAnsi="宋体"/>
                <w:b/>
                <w:sz w:val="24"/>
                <w:szCs w:val="24"/>
              </w:rPr>
              <w:t>1、</w:t>
            </w:r>
            <w:r>
              <w:rPr>
                <w:rFonts w:hint="eastAsia" w:ascii="宋体" w:hAnsi="宋体"/>
                <w:b/>
                <w:sz w:val="24"/>
                <w:szCs w:val="24"/>
              </w:rPr>
              <w:t>guest_31bYVI7IU问 ：</w:t>
            </w:r>
            <w:r>
              <w:rPr>
                <w:rFonts w:hint="eastAsia" w:ascii="宋体" w:hAnsi="宋体"/>
                <w:b/>
                <w:sz w:val="24"/>
                <w:szCs w:val="24"/>
                <w:lang w:val="en-US" w:eastAsia="zh-CN"/>
              </w:rPr>
              <w:t>禁止汽运煤政策多年 是否有松动的迹象，公司航运主要货物有哪些？ 公司有无发展第二副业的计划，比如和工业机器人项目进行现场实地合作测试等等的可能？ 和其他港口的合作竞争情况如何。各省都在整合省内的港口，公司是否有一些应对措施？</w:t>
            </w:r>
          </w:p>
          <w:p>
            <w:pPr>
              <w:pStyle w:val="7"/>
              <w:spacing w:line="460" w:lineRule="exact"/>
              <w:ind w:left="-2" w:leftChars="-1" w:firstLine="480"/>
              <w:rPr>
                <w:rFonts w:hint="eastAsia" w:ascii="宋体" w:hAnsi="宋体"/>
                <w:sz w:val="24"/>
                <w:szCs w:val="24"/>
                <w:lang w:val="en-US" w:eastAsia="zh-CN"/>
              </w:rPr>
            </w:pPr>
            <w:r>
              <w:rPr>
                <w:rFonts w:hint="eastAsia" w:ascii="宋体" w:hAnsi="宋体"/>
                <w:sz w:val="24"/>
                <w:szCs w:val="24"/>
                <w:lang w:val="en-US" w:eastAsia="zh-CN"/>
              </w:rPr>
              <w:t>关于汽运煤禁运政策：近日，市交委、发改委、公安局、生态环境局发布天津市加强公路煤炭运输环境污染治理工作方案，研究推进从产地到港口全程可监控的新能源汽车运输煤炭集港方式。公司做好相关政策跟踪工作。</w:t>
            </w:r>
          </w:p>
          <w:p>
            <w:pPr>
              <w:pStyle w:val="7"/>
              <w:spacing w:line="460" w:lineRule="exact"/>
              <w:ind w:left="-2" w:leftChars="-1" w:firstLine="480"/>
              <w:rPr>
                <w:rFonts w:hint="eastAsia" w:ascii="宋体" w:hAnsi="宋体"/>
                <w:sz w:val="24"/>
                <w:szCs w:val="24"/>
                <w:lang w:val="en-US" w:eastAsia="zh-CN"/>
              </w:rPr>
            </w:pPr>
            <w:r>
              <w:rPr>
                <w:rFonts w:hint="eastAsia" w:ascii="宋体" w:hAnsi="宋体"/>
                <w:sz w:val="24"/>
                <w:szCs w:val="24"/>
                <w:lang w:val="en-US" w:eastAsia="zh-CN"/>
              </w:rPr>
              <w:t>关于公司装卸货物类型：主要有集装箱、铁矿石、有色矿、油品、钢材、煤炭、焦炭、汽车、粮食、化肥、设备。</w:t>
            </w:r>
          </w:p>
          <w:p>
            <w:pPr>
              <w:pStyle w:val="7"/>
              <w:spacing w:line="460" w:lineRule="exact"/>
              <w:ind w:left="-2" w:leftChars="-1" w:firstLine="480"/>
              <w:rPr>
                <w:rFonts w:hint="eastAsia" w:ascii="宋体" w:hAnsi="宋体"/>
                <w:sz w:val="24"/>
                <w:szCs w:val="24"/>
                <w:lang w:val="en-US" w:eastAsia="zh-CN"/>
              </w:rPr>
            </w:pPr>
            <w:r>
              <w:rPr>
                <w:rFonts w:hint="eastAsia" w:ascii="宋体" w:hAnsi="宋体"/>
                <w:sz w:val="24"/>
                <w:szCs w:val="24"/>
                <w:lang w:val="en-US" w:eastAsia="zh-CN"/>
              </w:rPr>
              <w:t>关于公司主营业务情况：公司目前发展方向是聚焦装卸主业，做好销售、港口物流、港口服务及其他等业务。同时，公司致力于智慧港口建设，持续推动传统集装箱码头全流程自动化作业升级、散货码头自动化改造、港口信息化建设，充分发挥数字化技术与数据驱动作用，赋能提效、拓能创效，推动公司高质量发展。</w:t>
            </w:r>
          </w:p>
          <w:p>
            <w:pPr>
              <w:pStyle w:val="7"/>
              <w:spacing w:line="460" w:lineRule="exact"/>
              <w:ind w:left="-2" w:leftChars="-1" w:firstLine="480"/>
              <w:rPr>
                <w:rFonts w:hint="default" w:ascii="宋体" w:hAnsi="宋体" w:eastAsia="宋体"/>
                <w:sz w:val="24"/>
                <w:szCs w:val="24"/>
                <w:lang w:val="en-US" w:eastAsia="zh-CN"/>
              </w:rPr>
            </w:pPr>
            <w:r>
              <w:rPr>
                <w:rFonts w:hint="eastAsia" w:ascii="宋体" w:hAnsi="宋体"/>
                <w:sz w:val="24"/>
                <w:szCs w:val="24"/>
                <w:lang w:val="en-US" w:eastAsia="zh-CN"/>
              </w:rPr>
              <w:t>关于和其他港口合作竞争情况：近年来，公司携手广州、厦门、北部湾等国内港口，打造“海上高速-FAST”品牌，推出“两港一航”精品航线，持续增强南北港口协同联动；加强津冀沿海、山东沿海、辽宁沿海港口群的协同合作，共同打造环渤海“天天班”品牌，做强以天津港为中心的环渤海内支线运输网络。</w:t>
            </w:r>
          </w:p>
          <w:p>
            <w:pPr>
              <w:pStyle w:val="7"/>
              <w:spacing w:line="460" w:lineRule="exact"/>
              <w:ind w:firstLineChars="0"/>
              <w:rPr>
                <w:rFonts w:hint="default" w:ascii="宋体" w:hAnsi="宋体" w:eastAsia="宋体"/>
                <w:b/>
                <w:sz w:val="24"/>
                <w:szCs w:val="24"/>
                <w:lang w:val="en-US" w:eastAsia="zh-CN"/>
              </w:rPr>
            </w:pPr>
            <w:r>
              <w:rPr>
                <w:rFonts w:hint="eastAsia" w:ascii="宋体" w:hAnsi="宋体"/>
                <w:b/>
                <w:sz w:val="24"/>
                <w:szCs w:val="24"/>
              </w:rPr>
              <w:t>2、</w:t>
            </w:r>
            <w:r>
              <w:rPr>
                <w:rFonts w:hint="eastAsia" w:ascii="宋体" w:hAnsi="宋体"/>
                <w:b/>
                <w:sz w:val="24"/>
                <w:szCs w:val="24"/>
                <w:lang w:val="en-US" w:eastAsia="zh-CN"/>
              </w:rPr>
              <w:t>guest_JfHh0ULy8 问 陈涛：您好，不知道您是否关注了公司的ESG表现？华证给贵公司2024年第一季度的ESG评分为BB，好像有所下降。公司对此有什么解决方案吗？</w:t>
            </w:r>
          </w:p>
          <w:p>
            <w:pPr>
              <w:pStyle w:val="7"/>
              <w:spacing w:line="460" w:lineRule="exact"/>
              <w:ind w:left="-2" w:leftChars="-1" w:firstLine="480"/>
              <w:rPr>
                <w:rFonts w:hint="default" w:ascii="宋体" w:hAnsi="宋体" w:eastAsia="宋体"/>
                <w:sz w:val="24"/>
                <w:szCs w:val="24"/>
                <w:lang w:val="en-US" w:eastAsia="zh-CN"/>
              </w:rPr>
            </w:pPr>
            <w:r>
              <w:rPr>
                <w:rFonts w:hint="eastAsia" w:ascii="宋体" w:hAnsi="宋体"/>
                <w:sz w:val="24"/>
                <w:szCs w:val="24"/>
                <w:lang w:val="en-US" w:eastAsia="zh-CN"/>
              </w:rPr>
              <w:t>公司一向关注ESG工作，今年在WIND咨询开展的ESG评级工作中，公司评级由BBB级提升至A级，和招商港口、辽港股份、秦港股份同属A级第一阵列，在交通基础设施行业的68家公司中评级得分位列第5名。公司将继续强化ESG管理，坚持绿色发展理念，积极践行社会责任，不断提升公司治理水平，推动公司更高质量可持续发展。</w:t>
            </w:r>
          </w:p>
          <w:p>
            <w:pPr>
              <w:pStyle w:val="7"/>
              <w:spacing w:line="460" w:lineRule="exact"/>
              <w:ind w:firstLineChars="0"/>
              <w:rPr>
                <w:rFonts w:ascii="宋体" w:hAnsi="宋体"/>
                <w:b/>
                <w:sz w:val="24"/>
                <w:szCs w:val="24"/>
              </w:rPr>
            </w:pPr>
            <w:r>
              <w:rPr>
                <w:rFonts w:hint="eastAsia" w:ascii="宋体" w:hAnsi="宋体"/>
                <w:b/>
                <w:sz w:val="24"/>
                <w:szCs w:val="24"/>
              </w:rPr>
              <w:t>3、guest_7F8esP57l 问 陈涛：公司未来的分红计划和派息政策？</w:t>
            </w:r>
          </w:p>
          <w:p>
            <w:pPr>
              <w:spacing w:line="460" w:lineRule="exact"/>
              <w:ind w:firstLine="480" w:firstLineChars="200"/>
              <w:rPr>
                <w:rFonts w:hint="eastAsia" w:ascii="宋体" w:hAnsi="宋体" w:cs="宋体"/>
                <w:sz w:val="24"/>
              </w:rPr>
            </w:pPr>
            <w:r>
              <w:rPr>
                <w:rFonts w:hint="eastAsia" w:ascii="宋体" w:hAnsi="宋体" w:cs="宋体"/>
                <w:sz w:val="24"/>
              </w:rPr>
              <w:t>在本月召开的2023年度股东大会上公司审议通过了2023年度利润分配预案，拟以2023年末股本总额28.94亿股为基数，按照归属于上市公司普通股股东的净利润计算，向全体股东每10股派发现金红利1.02元（含税）。在公司上市后的28年间，累计实施现金分红25次，分红金额达到48亿元，近五年通过现金和送股方式分红，实施的分红金额达到了同期归母净利润的52%。</w:t>
            </w:r>
          </w:p>
          <w:p>
            <w:pPr>
              <w:spacing w:line="460" w:lineRule="exact"/>
              <w:ind w:firstLine="480" w:firstLineChars="200"/>
              <w:rPr>
                <w:rFonts w:hint="default" w:ascii="宋体" w:hAnsi="宋体" w:eastAsia="宋体" w:cs="宋体"/>
                <w:sz w:val="24"/>
                <w:lang w:val="en-US" w:eastAsia="zh-CN"/>
              </w:rPr>
            </w:pPr>
            <w:r>
              <w:rPr>
                <w:rFonts w:hint="eastAsia" w:ascii="宋体" w:hAnsi="宋体" w:cs="宋体"/>
                <w:sz w:val="24"/>
              </w:rPr>
              <w:t>《公司章程》明确了利润分配的基本原则、具体政策、审议程序及实施等几项内容，现金分红的标准和比例明确清晰。公司的利润分配政策保持连续性和稳定性前提下，将兼顾公司的长远利益、全体股东的整体利益及公司的可持续发展。后续公司还将进一步跟踪监管对市值管理的要求和港口行业上市公司分红水平，结合公司发展资金需求，做好现金分红工作。</w:t>
            </w:r>
          </w:p>
          <w:p>
            <w:pPr>
              <w:pStyle w:val="7"/>
              <w:spacing w:line="460" w:lineRule="exact"/>
              <w:rPr>
                <w:rFonts w:ascii="宋体" w:hAnsi="宋体"/>
                <w:b/>
                <w:sz w:val="24"/>
                <w:szCs w:val="24"/>
              </w:rPr>
            </w:pPr>
            <w:r>
              <w:rPr>
                <w:rFonts w:hint="eastAsia" w:ascii="宋体" w:hAnsi="宋体"/>
                <w:b/>
                <w:sz w:val="24"/>
                <w:szCs w:val="24"/>
              </w:rPr>
              <w:t>4</w:t>
            </w:r>
            <w:r>
              <w:rPr>
                <w:rFonts w:ascii="宋体" w:hAnsi="宋体"/>
                <w:b/>
                <w:sz w:val="24"/>
                <w:szCs w:val="24"/>
              </w:rPr>
              <w:t>、</w:t>
            </w:r>
            <w:r>
              <w:rPr>
                <w:rFonts w:hint="eastAsia" w:ascii="宋体" w:hAnsi="宋体"/>
                <w:b/>
                <w:sz w:val="24"/>
                <w:szCs w:val="24"/>
              </w:rPr>
              <w:t>guest_7F8esP57l 问 陈涛：请问公司未来的战略规划是什么</w:t>
            </w:r>
          </w:p>
          <w:p>
            <w:pPr>
              <w:pStyle w:val="7"/>
              <w:spacing w:line="460" w:lineRule="exact"/>
              <w:rPr>
                <w:rFonts w:hint="eastAsia" w:ascii="宋体" w:hAnsi="宋体"/>
                <w:sz w:val="24"/>
                <w:szCs w:val="24"/>
                <w:lang w:val="en-US" w:eastAsia="zh-CN"/>
              </w:rPr>
            </w:pPr>
            <w:r>
              <w:rPr>
                <w:rFonts w:hint="eastAsia" w:ascii="宋体" w:hAnsi="宋体"/>
                <w:sz w:val="24"/>
                <w:szCs w:val="24"/>
                <w:lang w:val="en-US" w:eastAsia="zh-CN"/>
              </w:rPr>
              <w:t>公司积极适应外部政策、环境变化，主动投身到助力京津冀、共建“一带一路”大局的谋划推动中，全面增强辐射带动功能，服务新发展格局，巩固提升“天下港口、津通世界”的国际枢纽港优势，持续开创天津港世界一流港口蓬勃兴盛新篇章。</w:t>
            </w:r>
          </w:p>
          <w:p>
            <w:pPr>
              <w:pStyle w:val="7"/>
              <w:spacing w:line="460" w:lineRule="exact"/>
              <w:rPr>
                <w:rFonts w:hint="default" w:ascii="宋体" w:hAnsi="宋体"/>
                <w:sz w:val="24"/>
                <w:szCs w:val="24"/>
                <w:lang w:val="en-US" w:eastAsia="zh-CN"/>
              </w:rPr>
            </w:pPr>
            <w:r>
              <w:rPr>
                <w:rFonts w:hint="eastAsia" w:ascii="宋体" w:hAnsi="宋体"/>
                <w:sz w:val="24"/>
                <w:szCs w:val="24"/>
                <w:lang w:val="en-US" w:eastAsia="zh-CN"/>
              </w:rPr>
              <w:t>公司目前发展方向是聚焦装卸主业，做好销售、港口物流、港口服务及其他等业务。</w:t>
            </w:r>
          </w:p>
          <w:p>
            <w:pPr>
              <w:pStyle w:val="7"/>
              <w:spacing w:line="460" w:lineRule="exact"/>
              <w:rPr>
                <w:rFonts w:ascii="宋体" w:hAnsi="宋体"/>
                <w:b/>
                <w:sz w:val="24"/>
                <w:szCs w:val="24"/>
              </w:rPr>
            </w:pPr>
            <w:r>
              <w:rPr>
                <w:rFonts w:hint="eastAsia" w:ascii="宋体" w:hAnsi="宋体"/>
                <w:b/>
                <w:sz w:val="24"/>
                <w:szCs w:val="24"/>
              </w:rPr>
              <w:t>5</w:t>
            </w:r>
            <w:r>
              <w:rPr>
                <w:rFonts w:ascii="宋体" w:hAnsi="宋体"/>
                <w:b/>
                <w:sz w:val="24"/>
                <w:szCs w:val="24"/>
              </w:rPr>
              <w:t>、</w:t>
            </w:r>
            <w:r>
              <w:rPr>
                <w:rFonts w:hint="eastAsia" w:ascii="宋体" w:hAnsi="宋体"/>
                <w:b/>
                <w:sz w:val="24"/>
                <w:szCs w:val="24"/>
              </w:rPr>
              <w:t>韭菜培育 问 郭小薇：想了解一下贵司是如何构建ESG治理架构的？</w:t>
            </w:r>
          </w:p>
          <w:p>
            <w:pPr>
              <w:pStyle w:val="7"/>
              <w:spacing w:line="460" w:lineRule="exact"/>
              <w:ind w:firstLineChars="0"/>
              <w:rPr>
                <w:rFonts w:hint="default" w:ascii="宋体" w:hAnsi="宋体"/>
                <w:bCs/>
                <w:iCs/>
                <w:color w:val="000000"/>
                <w:sz w:val="24"/>
                <w:lang w:val="en-US"/>
              </w:rPr>
            </w:pPr>
            <w:r>
              <w:rPr>
                <w:rFonts w:hint="eastAsia" w:ascii="宋体" w:hAnsi="宋体"/>
                <w:bCs/>
                <w:iCs/>
                <w:color w:val="000000"/>
                <w:sz w:val="24"/>
                <w:lang w:val="en-US" w:eastAsia="zh-CN"/>
              </w:rPr>
              <w:t>2023年，公司建立了董事会为决策层、董事会战略委员会为研究建议层、ESG工作领导小组为执行层的三层ESG管理架构，持续提升ESG管理水平，推动公司高质量发展。</w:t>
            </w:r>
          </w:p>
          <w:p>
            <w:pPr>
              <w:pStyle w:val="7"/>
              <w:spacing w:line="460" w:lineRule="exact"/>
              <w:rPr>
                <w:rFonts w:ascii="宋体" w:hAnsi="宋体"/>
                <w:b/>
                <w:sz w:val="24"/>
                <w:szCs w:val="24"/>
              </w:rPr>
            </w:pPr>
            <w:r>
              <w:rPr>
                <w:rFonts w:hint="eastAsia" w:ascii="宋体" w:hAnsi="宋体"/>
                <w:b/>
                <w:sz w:val="24"/>
                <w:szCs w:val="24"/>
                <w:lang w:val="en-US" w:eastAsia="zh-CN"/>
              </w:rPr>
              <w:t>6</w:t>
            </w:r>
            <w:r>
              <w:rPr>
                <w:rFonts w:ascii="宋体" w:hAnsi="宋体"/>
                <w:b/>
                <w:sz w:val="24"/>
                <w:szCs w:val="24"/>
              </w:rPr>
              <w:t>、</w:t>
            </w:r>
            <w:r>
              <w:rPr>
                <w:rFonts w:hint="eastAsia" w:ascii="宋体" w:hAnsi="宋体"/>
                <w:b/>
                <w:sz w:val="24"/>
                <w:szCs w:val="24"/>
              </w:rPr>
              <w:t>小小星 问 陈涛：公司2023年业绩增长的主要原因是什么？能否继续保持增长势头？</w:t>
            </w:r>
          </w:p>
          <w:p>
            <w:pPr>
              <w:pStyle w:val="7"/>
              <w:spacing w:line="460" w:lineRule="exact"/>
              <w:ind w:firstLineChars="0"/>
              <w:rPr>
                <w:rFonts w:hint="eastAsia" w:ascii="宋体" w:hAnsi="宋体"/>
                <w:bCs/>
                <w:iCs/>
                <w:color w:val="000000"/>
                <w:sz w:val="24"/>
                <w:lang w:val="en-US" w:eastAsia="zh-CN"/>
              </w:rPr>
            </w:pPr>
            <w:r>
              <w:rPr>
                <w:rFonts w:hint="eastAsia" w:ascii="宋体" w:hAnsi="宋体"/>
                <w:bCs/>
                <w:iCs/>
                <w:color w:val="000000"/>
                <w:sz w:val="24"/>
                <w:lang w:val="en-US" w:eastAsia="zh-CN"/>
              </w:rPr>
              <w:t>2023年公司业绩增长的主要原因为：一是紧抓市场开发，在吞吐量增长的基础上，提升高附加值货类权重；二是防疫支出、财务费用支出大幅压降。</w:t>
            </w:r>
          </w:p>
          <w:p>
            <w:pPr>
              <w:pStyle w:val="7"/>
              <w:spacing w:line="460" w:lineRule="exact"/>
              <w:ind w:firstLineChars="0"/>
              <w:rPr>
                <w:rFonts w:hint="default" w:ascii="宋体" w:hAnsi="宋体" w:eastAsia="宋体"/>
                <w:bCs/>
                <w:iCs/>
                <w:color w:val="000000"/>
                <w:sz w:val="24"/>
                <w:lang w:val="en-US" w:eastAsia="zh-CN"/>
              </w:rPr>
            </w:pPr>
            <w:r>
              <w:rPr>
                <w:rFonts w:hint="eastAsia" w:ascii="宋体" w:hAnsi="宋体"/>
                <w:bCs/>
                <w:iCs/>
                <w:color w:val="000000"/>
                <w:sz w:val="24"/>
                <w:lang w:val="en-US" w:eastAsia="zh-CN"/>
              </w:rPr>
              <w:t>在2024年一季度公司业绩实现“开门红”的基础上，公司将持续推进一流绿色港口升级版建设、持续推进一流枢纽港口升级版建设、持续推进一流智慧港口升级版建设、持续推进规范高效上市公司建设新实践、持续推进党建引领高质量发展强港兴企新实践。</w:t>
            </w:r>
          </w:p>
          <w:p>
            <w:pPr>
              <w:pStyle w:val="7"/>
              <w:spacing w:line="460" w:lineRule="exact"/>
              <w:rPr>
                <w:rFonts w:ascii="宋体" w:hAnsi="宋体"/>
                <w:b/>
                <w:sz w:val="24"/>
                <w:szCs w:val="24"/>
              </w:rPr>
            </w:pPr>
            <w:r>
              <w:rPr>
                <w:rFonts w:hint="eastAsia" w:ascii="宋体" w:hAnsi="宋体"/>
                <w:b/>
                <w:sz w:val="24"/>
                <w:szCs w:val="24"/>
                <w:lang w:val="en-US" w:eastAsia="zh-CN"/>
              </w:rPr>
              <w:t>7</w:t>
            </w:r>
            <w:r>
              <w:rPr>
                <w:rFonts w:ascii="宋体" w:hAnsi="宋体"/>
                <w:b/>
                <w:sz w:val="24"/>
                <w:szCs w:val="24"/>
              </w:rPr>
              <w:t>、</w:t>
            </w:r>
            <w:r>
              <w:rPr>
                <w:rFonts w:hint="eastAsia" w:ascii="宋体" w:hAnsi="宋体"/>
                <w:b/>
                <w:sz w:val="24"/>
                <w:szCs w:val="24"/>
              </w:rPr>
              <w:t>气宇轩昂在路上 问 陈涛：尊敬的总裁您好：请介绍一下贵司多式联运的优势，以及未来的发展潜力有哪些，谢谢。</w:t>
            </w:r>
          </w:p>
          <w:p>
            <w:pPr>
              <w:pStyle w:val="7"/>
              <w:spacing w:line="460" w:lineRule="exact"/>
              <w:ind w:firstLineChars="0"/>
              <w:rPr>
                <w:rFonts w:hint="default" w:ascii="宋体" w:hAnsi="宋体"/>
                <w:bCs/>
                <w:iCs/>
                <w:color w:val="000000"/>
                <w:sz w:val="24"/>
                <w:lang w:val="en-US" w:eastAsia="zh-CN"/>
              </w:rPr>
            </w:pPr>
            <w:r>
              <w:rPr>
                <w:rFonts w:hint="eastAsia" w:ascii="宋体" w:hAnsi="宋体"/>
                <w:bCs/>
                <w:iCs/>
                <w:color w:val="000000"/>
                <w:sz w:val="24"/>
                <w:lang w:val="en-US" w:eastAsia="zh-CN"/>
              </w:rPr>
              <w:t>公司充分发挥中蒙俄经济走廊东端桥头堡和三条大陆桥过境通道优势，以做强海铁联运为纽带，强化东西贯通。2023年，公司拥有海铁联运班列40余条，其中陆桥国际班列4 条，完成海铁联运量122.7万标箱、完成陆桥国际班列量8.5万标箱，进一步巩固了天津港陆桥国际班列运量居全国沿海港口的领先地位。</w:t>
            </w:r>
          </w:p>
          <w:p>
            <w:pPr>
              <w:pStyle w:val="7"/>
              <w:spacing w:line="460" w:lineRule="exact"/>
              <w:rPr>
                <w:rFonts w:ascii="宋体" w:hAnsi="宋体"/>
                <w:b/>
                <w:sz w:val="24"/>
                <w:szCs w:val="24"/>
              </w:rPr>
            </w:pPr>
            <w:r>
              <w:rPr>
                <w:rFonts w:hint="eastAsia" w:ascii="宋体" w:hAnsi="宋体"/>
                <w:b/>
                <w:sz w:val="24"/>
                <w:szCs w:val="24"/>
                <w:lang w:val="en-US" w:eastAsia="zh-CN"/>
              </w:rPr>
              <w:t>8</w:t>
            </w:r>
            <w:r>
              <w:rPr>
                <w:rFonts w:ascii="宋体" w:hAnsi="宋体"/>
                <w:b/>
                <w:sz w:val="24"/>
                <w:szCs w:val="24"/>
              </w:rPr>
              <w:t>、</w:t>
            </w:r>
            <w:r>
              <w:rPr>
                <w:rFonts w:hint="eastAsia" w:ascii="宋体" w:hAnsi="宋体"/>
                <w:b/>
                <w:sz w:val="24"/>
                <w:szCs w:val="24"/>
              </w:rPr>
              <w:t>韭菜培育 问 陈涛：看到贵司建设绿色港口已经有些年头了，贵司的碳排量情况如何？</w:t>
            </w:r>
          </w:p>
          <w:p>
            <w:pPr>
              <w:pStyle w:val="7"/>
              <w:spacing w:line="460" w:lineRule="exact"/>
              <w:ind w:firstLineChars="0"/>
              <w:rPr>
                <w:rFonts w:hint="eastAsia" w:ascii="宋体" w:hAnsi="宋体"/>
                <w:bCs/>
                <w:iCs/>
                <w:color w:val="000000"/>
                <w:sz w:val="24"/>
                <w:lang w:val="en-US" w:eastAsia="zh-CN"/>
              </w:rPr>
            </w:pPr>
            <w:r>
              <w:rPr>
                <w:rFonts w:hint="eastAsia" w:ascii="宋体" w:hAnsi="宋体"/>
                <w:bCs/>
                <w:iCs/>
                <w:color w:val="000000"/>
                <w:sz w:val="24"/>
                <w:lang w:val="en-US" w:eastAsia="zh-CN"/>
              </w:rPr>
              <w:t>2023年，公司在收入和吞吐量增长的同时，温室气体排放总量为228,994吨二氧化碳当量，排放强度为19.57吨二氧化碳当量/百万营收，分别同比下降1.9%和10.12%，温室气体排放得到有效控制。</w:t>
            </w:r>
          </w:p>
          <w:p>
            <w:pPr>
              <w:pStyle w:val="7"/>
              <w:spacing w:line="460" w:lineRule="exact"/>
              <w:ind w:firstLineChars="0"/>
              <w:rPr>
                <w:rFonts w:hint="eastAsia" w:ascii="宋体" w:hAnsi="宋体"/>
                <w:bCs/>
                <w:iCs/>
                <w:color w:val="000000"/>
                <w:sz w:val="24"/>
              </w:rPr>
            </w:pPr>
            <w:r>
              <w:rPr>
                <w:rFonts w:hint="eastAsia" w:ascii="宋体" w:hAnsi="宋体"/>
                <w:bCs/>
                <w:iCs/>
                <w:color w:val="000000"/>
                <w:sz w:val="24"/>
                <w:lang w:val="en-US" w:eastAsia="zh-CN"/>
              </w:rPr>
              <w:t>未来，公司将继续坚持将</w:t>
            </w:r>
            <w:bookmarkStart w:id="0" w:name="_GoBack"/>
            <w:bookmarkEnd w:id="0"/>
            <w:r>
              <w:rPr>
                <w:rFonts w:hint="eastAsia" w:ascii="宋体" w:hAnsi="宋体"/>
                <w:bCs/>
                <w:iCs/>
                <w:color w:val="000000"/>
                <w:sz w:val="24"/>
                <w:lang w:val="en-US" w:eastAsia="zh-CN"/>
              </w:rPr>
              <w:t>绿色发展理念贯穿到港口建设、运营全过程，努力践行“双碳”战略，不断探索节能降碳的绿色生产方式，落实生态环境保护，走绿色低碳发展道路。</w:t>
            </w:r>
          </w:p>
          <w:p>
            <w:pPr>
              <w:pStyle w:val="7"/>
              <w:spacing w:line="460" w:lineRule="exact"/>
              <w:ind w:firstLineChars="0"/>
              <w:rPr>
                <w:rFonts w:hint="eastAsia" w:ascii="宋体" w:hAnsi="宋体"/>
                <w:bCs/>
                <w:iCs/>
                <w:color w:val="000000"/>
                <w:sz w:val="24"/>
              </w:rPr>
            </w:pPr>
          </w:p>
          <w:p>
            <w:pPr>
              <w:pStyle w:val="7"/>
              <w:spacing w:line="460" w:lineRule="exact"/>
              <w:ind w:firstLineChars="0"/>
              <w:rPr>
                <w:rFonts w:hint="eastAsia" w:ascii="宋体" w:hAnsi="宋体"/>
                <w:bCs/>
                <w:iCs/>
                <w:color w:val="000000"/>
                <w:sz w:val="24"/>
              </w:rPr>
            </w:pPr>
          </w:p>
          <w:p>
            <w:pPr>
              <w:pStyle w:val="7"/>
              <w:spacing w:line="460" w:lineRule="exact"/>
              <w:ind w:firstLineChars="0"/>
              <w:rPr>
                <w:rFonts w:hint="eastAsia" w:ascii="宋体" w:hAnsi="宋体"/>
                <w:bCs/>
                <w:iCs/>
                <w:color w:val="000000"/>
                <w:sz w:val="24"/>
              </w:rPr>
            </w:pPr>
          </w:p>
          <w:p>
            <w:pPr>
              <w:pStyle w:val="7"/>
              <w:spacing w:line="460" w:lineRule="exact"/>
              <w:ind w:firstLineChars="0"/>
              <w:rPr>
                <w:rFonts w:hint="eastAsia" w:ascii="宋体" w:hAnsi="宋体"/>
                <w:bCs/>
                <w:iCs/>
                <w:color w:val="000000"/>
                <w:sz w:val="24"/>
              </w:rPr>
            </w:pPr>
          </w:p>
          <w:p>
            <w:pPr>
              <w:pStyle w:val="7"/>
              <w:spacing w:line="460" w:lineRule="exact"/>
              <w:ind w:firstLineChars="0"/>
              <w:rPr>
                <w:rFonts w:ascii="宋体" w:hAnsi="宋体"/>
                <w:bCs/>
                <w:iCs/>
                <w:color w:val="000000"/>
                <w:sz w:val="24"/>
              </w:rPr>
            </w:pPr>
          </w:p>
        </w:tc>
      </w:tr>
    </w:tbl>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k1NzQzMzBiM2IyN2YxMjM0NjFkY2UzMzNiZDMzMjEifQ=="/>
  </w:docVars>
  <w:rsids>
    <w:rsidRoot w:val="006861C7"/>
    <w:rsid w:val="000268C0"/>
    <w:rsid w:val="00026A12"/>
    <w:rsid w:val="000363B5"/>
    <w:rsid w:val="000375D7"/>
    <w:rsid w:val="00043015"/>
    <w:rsid w:val="00046DDE"/>
    <w:rsid w:val="00047EB9"/>
    <w:rsid w:val="00060A74"/>
    <w:rsid w:val="00067110"/>
    <w:rsid w:val="0009298A"/>
    <w:rsid w:val="000A2808"/>
    <w:rsid w:val="000A3BAC"/>
    <w:rsid w:val="000C26FD"/>
    <w:rsid w:val="000C2D85"/>
    <w:rsid w:val="000C6E35"/>
    <w:rsid w:val="000E5700"/>
    <w:rsid w:val="000F0C4B"/>
    <w:rsid w:val="000F0E22"/>
    <w:rsid w:val="00105A04"/>
    <w:rsid w:val="001169A9"/>
    <w:rsid w:val="00125EB2"/>
    <w:rsid w:val="00142A4C"/>
    <w:rsid w:val="00144279"/>
    <w:rsid w:val="001452FF"/>
    <w:rsid w:val="0016617A"/>
    <w:rsid w:val="00167E99"/>
    <w:rsid w:val="001975AB"/>
    <w:rsid w:val="001A00F5"/>
    <w:rsid w:val="001A1F65"/>
    <w:rsid w:val="001A5CE9"/>
    <w:rsid w:val="001C50AD"/>
    <w:rsid w:val="001D198C"/>
    <w:rsid w:val="001D22EE"/>
    <w:rsid w:val="001D4C89"/>
    <w:rsid w:val="001E1838"/>
    <w:rsid w:val="001E3145"/>
    <w:rsid w:val="001E6509"/>
    <w:rsid w:val="001E71FF"/>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2497"/>
    <w:rsid w:val="003030BF"/>
    <w:rsid w:val="00304F89"/>
    <w:rsid w:val="00306023"/>
    <w:rsid w:val="003118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44828"/>
    <w:rsid w:val="0045767F"/>
    <w:rsid w:val="00463E9B"/>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35D86"/>
    <w:rsid w:val="00537C53"/>
    <w:rsid w:val="00540787"/>
    <w:rsid w:val="005438F5"/>
    <w:rsid w:val="00544901"/>
    <w:rsid w:val="005474D3"/>
    <w:rsid w:val="00550737"/>
    <w:rsid w:val="00555DD2"/>
    <w:rsid w:val="00565ED9"/>
    <w:rsid w:val="005760C6"/>
    <w:rsid w:val="00585A1B"/>
    <w:rsid w:val="00591260"/>
    <w:rsid w:val="00591314"/>
    <w:rsid w:val="00593D40"/>
    <w:rsid w:val="00595187"/>
    <w:rsid w:val="00595F1B"/>
    <w:rsid w:val="005A3BE0"/>
    <w:rsid w:val="005B1026"/>
    <w:rsid w:val="005B642F"/>
    <w:rsid w:val="005C04C1"/>
    <w:rsid w:val="005C1785"/>
    <w:rsid w:val="005D2D87"/>
    <w:rsid w:val="005D6A09"/>
    <w:rsid w:val="005E2B4B"/>
    <w:rsid w:val="005E5F63"/>
    <w:rsid w:val="005E6BA1"/>
    <w:rsid w:val="005F6CCF"/>
    <w:rsid w:val="006039E2"/>
    <w:rsid w:val="0060779A"/>
    <w:rsid w:val="00622F13"/>
    <w:rsid w:val="00625503"/>
    <w:rsid w:val="0062662D"/>
    <w:rsid w:val="00632E78"/>
    <w:rsid w:val="006344F1"/>
    <w:rsid w:val="00637186"/>
    <w:rsid w:val="0064616F"/>
    <w:rsid w:val="00646DF4"/>
    <w:rsid w:val="00651DE6"/>
    <w:rsid w:val="006523BB"/>
    <w:rsid w:val="0065347E"/>
    <w:rsid w:val="00654B49"/>
    <w:rsid w:val="00662505"/>
    <w:rsid w:val="0066674C"/>
    <w:rsid w:val="006760F7"/>
    <w:rsid w:val="006861C7"/>
    <w:rsid w:val="00686DDF"/>
    <w:rsid w:val="00697B12"/>
    <w:rsid w:val="006A55BB"/>
    <w:rsid w:val="006A7613"/>
    <w:rsid w:val="006B0CC1"/>
    <w:rsid w:val="006B661A"/>
    <w:rsid w:val="006B7D00"/>
    <w:rsid w:val="006C6BC5"/>
    <w:rsid w:val="006D61A2"/>
    <w:rsid w:val="006E1DB4"/>
    <w:rsid w:val="00753DB6"/>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6B50"/>
    <w:rsid w:val="0080741A"/>
    <w:rsid w:val="00814B5B"/>
    <w:rsid w:val="00836F34"/>
    <w:rsid w:val="00843E73"/>
    <w:rsid w:val="00844EBF"/>
    <w:rsid w:val="00854F61"/>
    <w:rsid w:val="00864202"/>
    <w:rsid w:val="00873B59"/>
    <w:rsid w:val="0087701F"/>
    <w:rsid w:val="0089283D"/>
    <w:rsid w:val="008A0ADC"/>
    <w:rsid w:val="008A1BAB"/>
    <w:rsid w:val="008A30E1"/>
    <w:rsid w:val="008B38B7"/>
    <w:rsid w:val="008B458E"/>
    <w:rsid w:val="008C4D4A"/>
    <w:rsid w:val="008E11AE"/>
    <w:rsid w:val="008E1708"/>
    <w:rsid w:val="008E4844"/>
    <w:rsid w:val="00904492"/>
    <w:rsid w:val="00904DFB"/>
    <w:rsid w:val="00910774"/>
    <w:rsid w:val="0091457B"/>
    <w:rsid w:val="00923763"/>
    <w:rsid w:val="00930ED6"/>
    <w:rsid w:val="0093293F"/>
    <w:rsid w:val="00933105"/>
    <w:rsid w:val="00936C19"/>
    <w:rsid w:val="009474EF"/>
    <w:rsid w:val="00951C24"/>
    <w:rsid w:val="00962626"/>
    <w:rsid w:val="00975A2C"/>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8775A"/>
    <w:rsid w:val="00AA5998"/>
    <w:rsid w:val="00AB07E7"/>
    <w:rsid w:val="00AD1BA8"/>
    <w:rsid w:val="00B02A29"/>
    <w:rsid w:val="00B03522"/>
    <w:rsid w:val="00B04AD6"/>
    <w:rsid w:val="00B14CAA"/>
    <w:rsid w:val="00B257CE"/>
    <w:rsid w:val="00B4746C"/>
    <w:rsid w:val="00B54527"/>
    <w:rsid w:val="00B6265E"/>
    <w:rsid w:val="00B65354"/>
    <w:rsid w:val="00B71A0E"/>
    <w:rsid w:val="00B81765"/>
    <w:rsid w:val="00B832F5"/>
    <w:rsid w:val="00B91A0A"/>
    <w:rsid w:val="00BA1895"/>
    <w:rsid w:val="00BA2FAB"/>
    <w:rsid w:val="00BB5E28"/>
    <w:rsid w:val="00BD15F3"/>
    <w:rsid w:val="00BD53EF"/>
    <w:rsid w:val="00BD7986"/>
    <w:rsid w:val="00BD79D3"/>
    <w:rsid w:val="00BF5884"/>
    <w:rsid w:val="00C04F82"/>
    <w:rsid w:val="00C15AC0"/>
    <w:rsid w:val="00C26030"/>
    <w:rsid w:val="00C41091"/>
    <w:rsid w:val="00C51D58"/>
    <w:rsid w:val="00C63056"/>
    <w:rsid w:val="00C661D1"/>
    <w:rsid w:val="00C775BA"/>
    <w:rsid w:val="00C85331"/>
    <w:rsid w:val="00C85500"/>
    <w:rsid w:val="00C85A50"/>
    <w:rsid w:val="00C94D46"/>
    <w:rsid w:val="00CA443A"/>
    <w:rsid w:val="00CB2461"/>
    <w:rsid w:val="00CB37FD"/>
    <w:rsid w:val="00CC4D65"/>
    <w:rsid w:val="00CC61E7"/>
    <w:rsid w:val="00CD25AD"/>
    <w:rsid w:val="00CD3FFC"/>
    <w:rsid w:val="00CE61BF"/>
    <w:rsid w:val="00CF565C"/>
    <w:rsid w:val="00D016A3"/>
    <w:rsid w:val="00D14E74"/>
    <w:rsid w:val="00D251AA"/>
    <w:rsid w:val="00D512E3"/>
    <w:rsid w:val="00D602C9"/>
    <w:rsid w:val="00DA26A9"/>
    <w:rsid w:val="00DB01FF"/>
    <w:rsid w:val="00DB5AA6"/>
    <w:rsid w:val="00DC7778"/>
    <w:rsid w:val="00DE7391"/>
    <w:rsid w:val="00DF2DB5"/>
    <w:rsid w:val="00DF6560"/>
    <w:rsid w:val="00E04CC0"/>
    <w:rsid w:val="00E136FF"/>
    <w:rsid w:val="00E32528"/>
    <w:rsid w:val="00E35F26"/>
    <w:rsid w:val="00E53165"/>
    <w:rsid w:val="00E61EF7"/>
    <w:rsid w:val="00E663B4"/>
    <w:rsid w:val="00E71759"/>
    <w:rsid w:val="00E73C19"/>
    <w:rsid w:val="00E80CEB"/>
    <w:rsid w:val="00EA5103"/>
    <w:rsid w:val="00EA6FB9"/>
    <w:rsid w:val="00EB5E6A"/>
    <w:rsid w:val="00EC2AD7"/>
    <w:rsid w:val="00ED7DE0"/>
    <w:rsid w:val="00EE7891"/>
    <w:rsid w:val="00EF49FE"/>
    <w:rsid w:val="00EF5341"/>
    <w:rsid w:val="00EF5E71"/>
    <w:rsid w:val="00F01D38"/>
    <w:rsid w:val="00F022C1"/>
    <w:rsid w:val="00F04908"/>
    <w:rsid w:val="00F07C21"/>
    <w:rsid w:val="00F12EF6"/>
    <w:rsid w:val="00F21065"/>
    <w:rsid w:val="00F225A5"/>
    <w:rsid w:val="00F24CB4"/>
    <w:rsid w:val="00F31E44"/>
    <w:rsid w:val="00F43465"/>
    <w:rsid w:val="00F45475"/>
    <w:rsid w:val="00F64E72"/>
    <w:rsid w:val="00F65424"/>
    <w:rsid w:val="00F70C7D"/>
    <w:rsid w:val="00F9272E"/>
    <w:rsid w:val="00F97743"/>
    <w:rsid w:val="00FA6DAF"/>
    <w:rsid w:val="00FC6884"/>
    <w:rsid w:val="00FE62F3"/>
    <w:rsid w:val="00FF71D2"/>
    <w:rsid w:val="04610B65"/>
    <w:rsid w:val="05C14C3D"/>
    <w:rsid w:val="06D870D9"/>
    <w:rsid w:val="09293304"/>
    <w:rsid w:val="0DB43078"/>
    <w:rsid w:val="0DFA5B87"/>
    <w:rsid w:val="13877630"/>
    <w:rsid w:val="140C1569"/>
    <w:rsid w:val="19040FC4"/>
    <w:rsid w:val="1B2418A5"/>
    <w:rsid w:val="1DB63878"/>
    <w:rsid w:val="1FBFC074"/>
    <w:rsid w:val="20243BCC"/>
    <w:rsid w:val="21283172"/>
    <w:rsid w:val="24DB1E16"/>
    <w:rsid w:val="255F2A47"/>
    <w:rsid w:val="25652EDE"/>
    <w:rsid w:val="31014425"/>
    <w:rsid w:val="32C24615"/>
    <w:rsid w:val="33645A78"/>
    <w:rsid w:val="33B14BC3"/>
    <w:rsid w:val="35902FA2"/>
    <w:rsid w:val="36C720A4"/>
    <w:rsid w:val="36FB9E1F"/>
    <w:rsid w:val="381946E1"/>
    <w:rsid w:val="39B003B6"/>
    <w:rsid w:val="3A50345B"/>
    <w:rsid w:val="3B9D79CE"/>
    <w:rsid w:val="3BFA3B96"/>
    <w:rsid w:val="3CEF3472"/>
    <w:rsid w:val="3D670293"/>
    <w:rsid w:val="3E120292"/>
    <w:rsid w:val="3EFF16E9"/>
    <w:rsid w:val="40FC0CF2"/>
    <w:rsid w:val="420E5181"/>
    <w:rsid w:val="434A043B"/>
    <w:rsid w:val="47D74267"/>
    <w:rsid w:val="47FA75D9"/>
    <w:rsid w:val="4A8232F8"/>
    <w:rsid w:val="519A07DF"/>
    <w:rsid w:val="567D5022"/>
    <w:rsid w:val="58534E8B"/>
    <w:rsid w:val="5A0C5FF2"/>
    <w:rsid w:val="5B7F07AB"/>
    <w:rsid w:val="5DA14CA4"/>
    <w:rsid w:val="63100A20"/>
    <w:rsid w:val="644A563F"/>
    <w:rsid w:val="64AA4AE5"/>
    <w:rsid w:val="68B27D65"/>
    <w:rsid w:val="6DCF13B9"/>
    <w:rsid w:val="71954707"/>
    <w:rsid w:val="7206621D"/>
    <w:rsid w:val="733028FA"/>
    <w:rsid w:val="73AF2A42"/>
    <w:rsid w:val="74211C04"/>
    <w:rsid w:val="76676633"/>
    <w:rsid w:val="77CF73AC"/>
    <w:rsid w:val="78FF0116"/>
    <w:rsid w:val="7B915F00"/>
    <w:rsid w:val="B7DDD54D"/>
    <w:rsid w:val="E3FFE6ED"/>
    <w:rsid w:val="F5DB8A63"/>
    <w:rsid w:val="F797912E"/>
    <w:rsid w:val="FE7B4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4"/>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customStyle="1" w:styleId="7">
    <w:name w:val="_Style 6"/>
    <w:basedOn w:val="1"/>
    <w:autoRedefine/>
    <w:qFormat/>
    <w:uiPriority w:val="34"/>
    <w:pPr>
      <w:ind w:firstLine="420" w:firstLineChars="200"/>
    </w:pPr>
    <w:rPr>
      <w:rFonts w:ascii="Calibri" w:hAnsi="Calibri"/>
      <w:szCs w:val="22"/>
    </w:rPr>
  </w:style>
  <w:style w:type="paragraph" w:customStyle="1" w:styleId="8">
    <w:name w:val="Char Char Char"/>
    <w:basedOn w:val="1"/>
    <w:autoRedefine/>
    <w:qFormat/>
    <w:uiPriority w:val="0"/>
    <w:rPr>
      <w:szCs w:val="21"/>
    </w:rPr>
  </w:style>
  <w:style w:type="paragraph" w:customStyle="1" w:styleId="9">
    <w:name w:val="Char Char Char Char Char Char Char Char Char Char Char Char Char Char Char Char"/>
    <w:basedOn w:val="1"/>
    <w:autoRedefine/>
    <w:qFormat/>
    <w:uiPriority w:val="0"/>
  </w:style>
  <w:style w:type="paragraph" w:customStyle="1" w:styleId="10">
    <w:name w:val="Char Char Char1"/>
    <w:basedOn w:val="1"/>
    <w:autoRedefine/>
    <w:qFormat/>
    <w:uiPriority w:val="0"/>
  </w:style>
  <w:style w:type="character" w:customStyle="1" w:styleId="11">
    <w:name w:val="页脚 Char"/>
    <w:basedOn w:val="6"/>
    <w:link w:val="2"/>
    <w:autoRedefine/>
    <w:qFormat/>
    <w:uiPriority w:val="0"/>
    <w:rPr>
      <w:kern w:val="2"/>
      <w:sz w:val="18"/>
      <w:szCs w:val="18"/>
    </w:rPr>
  </w:style>
  <w:style w:type="character" w:customStyle="1" w:styleId="12">
    <w:name w:val="页眉 Char"/>
    <w:basedOn w:val="6"/>
    <w:link w:val="3"/>
    <w:qFormat/>
    <w:uiPriority w:val="0"/>
    <w:rPr>
      <w:kern w:val="2"/>
      <w:sz w:val="18"/>
      <w:szCs w:val="18"/>
    </w:rPr>
  </w:style>
  <w:style w:type="paragraph" w:styleId="13">
    <w:name w:val="List Paragraph"/>
    <w:basedOn w:val="1"/>
    <w:autoRedefine/>
    <w:qFormat/>
    <w:uiPriority w:val="99"/>
    <w:pPr>
      <w:ind w:firstLine="420" w:firstLineChars="200"/>
    </w:pPr>
  </w:style>
  <w:style w:type="character" w:customStyle="1" w:styleId="14">
    <w:name w:val="HTML 预设格式 Char"/>
    <w:basedOn w:val="6"/>
    <w:link w:val="4"/>
    <w:autoRedefine/>
    <w:qFormat/>
    <w:uiPriority w:val="99"/>
    <w:rPr>
      <w:rFonts w:ascii="宋体" w:hAnsi="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2249</Words>
  <Characters>2347</Characters>
  <Lines>16</Lines>
  <Paragraphs>4</Paragraphs>
  <TotalTime>2</TotalTime>
  <ScaleCrop>false</ScaleCrop>
  <LinksUpToDate>false</LinksUpToDate>
  <CharactersWithSpaces>2475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2012-09-09T08:59:00Z</dcterms:created>
  <dc:creator>微软用户</dc:creator>
  <cp:lastModifiedBy>张逸沛</cp:lastModifiedBy>
  <cp:lastPrinted>2024-05-11T01:16:00Z</cp:lastPrinted>
  <dcterms:modified xsi:type="dcterms:W3CDTF">2024-05-17T09:02:07Z</dcterms:modified>
  <cp:revision>309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0E976B954EC54E30B9BB8A1672504CA1_13</vt:lpwstr>
  </property>
</Properties>
</file>