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75" w:rsidRDefault="00FC4830" w:rsidP="00165B08">
      <w:pPr>
        <w:spacing w:beforeLines="50" w:afterLines="50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color w:val="000000"/>
          <w:sz w:val="24"/>
        </w:rPr>
        <w:t xml:space="preserve">600169                            </w:t>
      </w:r>
      <w:r w:rsidR="00165B08">
        <w:rPr>
          <w:rFonts w:hint="eastAsia"/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 </w:t>
      </w:r>
      <w:r w:rsidR="00165B08"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太原重工</w:t>
      </w:r>
    </w:p>
    <w:p w:rsidR="00065075" w:rsidRDefault="00FC4830" w:rsidP="00165B08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太原重工股份有限公司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847"/>
      </w:tblGrid>
      <w:tr w:rsidR="000650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5" w:rsidRDefault="00FC4830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065075" w:rsidRDefault="0006507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5" w:rsidRDefault="00FC4830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:rsidR="00065075" w:rsidRDefault="00FC4830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:rsidR="00065075" w:rsidRDefault="00FC4830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:rsidR="00065075" w:rsidRDefault="00FC4830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:rsidR="00065075" w:rsidRDefault="00FC4830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proofErr w:type="gramStart"/>
            <w:r>
              <w:rPr>
                <w:rFonts w:hAnsi="宋体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0650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5" w:rsidRDefault="00FC4830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5" w:rsidRDefault="00FC4830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 w:rsidR="000650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5" w:rsidRDefault="00FC4830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5" w:rsidRDefault="00FC4830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>
              <w:rPr>
                <w:bCs/>
                <w:iCs/>
                <w:color w:val="000000"/>
                <w:sz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</w:rPr>
              <w:t>周一</w:t>
            </w:r>
            <w:r>
              <w:rPr>
                <w:bCs/>
                <w:iCs/>
                <w:color w:val="000000"/>
                <w:sz w:val="24"/>
              </w:rPr>
              <w:t xml:space="preserve">) </w:t>
            </w:r>
            <w:r>
              <w:rPr>
                <w:bCs/>
                <w:iCs/>
                <w:color w:val="000000"/>
                <w:sz w:val="24"/>
              </w:rPr>
              <w:t>下午</w:t>
            </w:r>
            <w:r>
              <w:rPr>
                <w:bCs/>
                <w:iCs/>
                <w:color w:val="000000"/>
                <w:sz w:val="24"/>
              </w:rPr>
              <w:t xml:space="preserve"> 14:00~17:00</w:t>
            </w:r>
          </w:p>
        </w:tc>
      </w:tr>
      <w:tr w:rsidR="000650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5" w:rsidRDefault="00FC4830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5" w:rsidRDefault="00FC4830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ascii="宋体" w:hAnsi="宋体" w:hint="eastAsia"/>
                <w:bCs/>
                <w:sz w:val="24"/>
              </w:rPr>
              <w:t>全景网“</w:t>
            </w:r>
            <w:r>
              <w:rPr>
                <w:rFonts w:ascii="宋体" w:hAnsi="宋体" w:cs="宋体"/>
                <w:sz w:val="24"/>
              </w:rPr>
              <w:t>投资者关系互动平台</w:t>
            </w:r>
            <w:r>
              <w:rPr>
                <w:rFonts w:ascii="宋体" w:hAnsi="宋体" w:hint="eastAsia"/>
                <w:bCs/>
                <w:sz w:val="24"/>
              </w:rPr>
              <w:t>”（http</w:t>
            </w:r>
            <w:r>
              <w:rPr>
                <w:rFonts w:ascii="宋体" w:hAnsi="宋体"/>
                <w:bCs/>
                <w:sz w:val="24"/>
              </w:rPr>
              <w:t>s</w:t>
            </w:r>
            <w:r>
              <w:rPr>
                <w:rFonts w:ascii="宋体" w:hAnsi="宋体" w:hint="eastAsia"/>
                <w:bCs/>
                <w:sz w:val="24"/>
              </w:rPr>
              <w:t>://ir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z w:val="24"/>
              </w:rPr>
              <w:t>.p5w.net）采用网络远程的方式</w:t>
            </w:r>
            <w:r>
              <w:rPr>
                <w:rFonts w:ascii="宋体" w:hAnsi="宋体"/>
                <w:sz w:val="24"/>
              </w:rPr>
              <w:t>召开</w:t>
            </w:r>
            <w:r>
              <w:rPr>
                <w:rFonts w:ascii="宋体" w:hAnsi="宋体" w:hint="eastAsia"/>
                <w:sz w:val="24"/>
              </w:rPr>
              <w:t>业绩</w:t>
            </w:r>
            <w:r>
              <w:rPr>
                <w:rFonts w:ascii="宋体" w:hAnsi="宋体"/>
                <w:sz w:val="24"/>
              </w:rPr>
              <w:t>说明会</w:t>
            </w:r>
          </w:p>
        </w:tc>
      </w:tr>
      <w:tr w:rsidR="000650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5" w:rsidRDefault="00FC4830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5" w:rsidRDefault="00FC4830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1、</w:t>
            </w:r>
            <w:proofErr w:type="gramStart"/>
            <w:r>
              <w:rPr>
                <w:rFonts w:ascii="宋体" w:hAnsi="宋体"/>
                <w:bCs/>
                <w:sz w:val="24"/>
              </w:rPr>
              <w:t>总经理王省林</w:t>
            </w:r>
            <w:proofErr w:type="gramEnd"/>
          </w:p>
          <w:p w:rsidR="00065075" w:rsidRDefault="00FC4830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2、财务</w:t>
            </w:r>
            <w:proofErr w:type="gramStart"/>
            <w:r>
              <w:rPr>
                <w:rFonts w:ascii="宋体" w:hAnsi="宋体"/>
                <w:bCs/>
                <w:sz w:val="24"/>
              </w:rPr>
              <w:t>总监段志红</w:t>
            </w:r>
            <w:proofErr w:type="gramEnd"/>
          </w:p>
          <w:p w:rsidR="00065075" w:rsidRDefault="00FC4830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3、董事会秘书赵晓强</w:t>
            </w:r>
          </w:p>
        </w:tc>
      </w:tr>
      <w:tr w:rsidR="000650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75" w:rsidRDefault="00FC4830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065075" w:rsidRDefault="0006507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5" w:rsidRDefault="00FC4830" w:rsidP="00165B08">
            <w:pPr>
              <w:spacing w:beforeLines="50"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投资者提出的问题及公司回复情况</w:t>
            </w:r>
          </w:p>
          <w:p w:rsidR="00065075" w:rsidRDefault="00FC4830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公司就投资者在本次说明会中提出的问题进行了回复：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1、请问王总：贵公司产品众多，哪些是优势产品，市场地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位如何？盈利能力如何？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产品类别丰富，市场优势明显，公司聚焦“六新”突破，紧跟国家扩大内需战略和建设更高水平开放型经济的市场导向，传统产品加快提升附加值，转型产品优化拓展产品结构，批量产品实现规模化布局，不断推动先进制造业和现代服务业深度融合发展。感谢您对公司的关注。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2、请问赵总：这几年上市公司剔除了许多不良资产，是否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有计划装入集团的其它优质资产？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您好，公司将以提升上市公司质量为目标，积极推动产融结合。感谢您对公司的关注。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3、请问段总：万柏林园区已搬迁完毕，股份公司的搬迁补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偿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何时能够到位？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您好！公司按照上交所要求，及时履行信息披露义务，您可以通过公司后续披露的定期报告及临时公告了解相关信息。感谢您对公司的关注。</w:t>
            </w:r>
          </w:p>
          <w:p w:rsidR="00165B08" w:rsidRDefault="00FC4830" w:rsidP="00165B08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4、请问王总：现在公司已从大规模搬迁建设阶段转入强抓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市场提高产能阶段，由此也要采取切实措施考虑提振股价，回报股东。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您好，公司将聚焦“打造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新太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重、建设新园区、展现新面貌、创造新业绩”，以“精细化、国际化、高端化、智慧化”为发展方向，以“高端化、智能化、绿色化、国产化”为产品定位，以“科技创新、生产组织、产品形态、经营模式”四大变革为抓手，全面建设产品一流、效率一流、效益一流、治理一流的现代智能装备制造企业，努力以良好的业绩回报全体投资者。感谢您对公司的关注和建议。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5、公司作为山西省新质生产力双链主企业，股价表现严重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不符合公司形象，不知公司领导有何想法，想要国际化，市场化，这市值恐怕会被认为没有实力，也容易被人诟病，毕竟市值大小反应了资本实力企业实力，多年不分红，市值如此低，不知道公司在全球市场和国际客户面前怎么解释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您好，公司将通过提升经营业绩，实施资本赋能，推动产融结合，努力实现价值创造、价值经营和价值实现。感谢您对公司的关注和建议。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6、请问王总：这几年公司资产规模大幅度提高，主要是啥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原因？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您好，公司近三年资产总额基本稳定，略有增长。感谢您对公司的关注。</w:t>
            </w:r>
          </w:p>
          <w:p w:rsidR="00065075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7、最近持有太原重工，请问会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突然爆雷吗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？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您好，公司目前生产经营情况正常，公司按照中国证监会和《公司章程》的有关规定规范运作。感谢您对公司的关注。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8、请问赵总：国家放贷3000亿元，支持国企收购房产，用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于安置房或出租。是否可以借此政策，将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潇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河的3000多套未售</w:t>
            </w:r>
            <w:r>
              <w:rPr>
                <w:rFonts w:ascii="宋体" w:hAnsi="宋体"/>
                <w:b/>
                <w:sz w:val="24"/>
                <w:szCs w:val="24"/>
              </w:rPr>
              <w:lastRenderedPageBreak/>
              <w:t>出的房子，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做为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公司资产廉租给职工，双方共赢。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潇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河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园区住宅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资产归属于公司关联方，不属于上市公司资产。感谢您对公司的关注和建议。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9、我持有太原重工近10年了，亏了一半资金，这么多年没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分过红，现在还担心回不来，会被ST，甚至退市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您好，公司将坚持以新型工业化统领发展全局，以国有企业改革深化提升行动厚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植竞争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优势，聚焦“打造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新太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重、建设新园区、展现新面貌、创造新业绩”，以“精细化、国际化、高端化、智慧化”为发展方向，以“高端化、智能化、绿色化、国产化”为产品定位，以“科技创新、生产组织、产品形态、经营模式”四大变革为抓手，全面建设产品一流、效率一流、效益一流、治理一流的现代智能装备制造企业，全力打造先进装备制造产业集群，努力以良好的业绩回报全体投资者。公司目前生产经营情况正常，根据《上海证券交易所股票上市规则》的相关规定，公司目前不存在股票被实施其他风险警示的情形。感谢您对公司的关注。</w:t>
            </w:r>
          </w:p>
          <w:p w:rsidR="00065075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10、我持有太原重工近10年了，亏了一半，能回来吗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您好，公司将坚持以新型工业化统领发展全局，以国有企业改革深化提升行动厚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植竞争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优势，聚焦“打造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新太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重、建设新园区、展现新面貌、创造新业绩”，以“精细化、国际化、高端化、智慧化”为发展方向，以“高端化、智能化、绿色化、国产化”为产品定位，以“科技创新、生产组织、产品形态、经营模式”四大变革为抓手，全面建设产品一流、效率一流、效益一流、治理一流的现代智能装备制造企业，全力打造先进装备制造产业集群，努力以良好的业绩回报全体投资者。感谢您对公司的关注。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11、黑龙江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拉弹泡风场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的官司胜诉后，现在进展如何？预计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能收回多少资产？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您好，黑龙江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拉弹泡风场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的诉讼一审胜诉后，原审被告杜尔伯特蒙古族自治县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拉弹泡风力发电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有限公司、安达市老虎岗风电场有限公司、大庆龙江风电有限责任公司对一审判决不服，向山</w:t>
            </w:r>
            <w:r>
              <w:rPr>
                <w:rFonts w:ascii="宋体" w:hAnsi="宋体"/>
                <w:sz w:val="24"/>
                <w:szCs w:val="24"/>
              </w:rPr>
              <w:lastRenderedPageBreak/>
              <w:t>西省高级人民法院提起上诉。二审案件尚未开庭审理。公司将积极做好诉讼相关工作，努力维护公司和全体股东的合法权益，公司将持续披露上述案件的进展情况，您可以通过公司后续披露的定期报告及临时公告了解相关信息。感谢您对公司的关注。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12、公司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买风电资产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的收益，是在一季度报已经确认了吗？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14亿全部用来偿还借款，怎么没见资产负债率及财务费用下降？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您好，公司出售风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电资产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的损失已在2023年体现。公司收到股权转让款后，2023年度与2024年一季度资产负债率和财务费用与同期同口径相比均有所下降。感谢您对公司的关注。</w:t>
            </w:r>
          </w:p>
          <w:p w:rsidR="00165B08" w:rsidRDefault="00FC4830" w:rsidP="00165B08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13、请问段总：黑龙江风场的官司胜诉后，预计能收回多少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资产？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您好，黑龙江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拉弹泡风场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的诉讼一审胜诉后，原审被告杜尔伯特蒙古族自治县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拉弹泡风力发电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有限公司、安达市老虎岗风电场有限公司、大庆龙江风电有限责任公司对一审判决不服，向山西省高级人民法院提起上诉。二审案件尚未开庭审理。公司将积极做好诉讼相关工作，努力维护公司和全体股东的合法权益，公司将持续披露上述案件的进展情况，您可以通过公司后续披露的定期报告及临时公告了解相关信息。感谢您对公司的关注。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14、请问王总：为啥取消对核心管理人员和技术人员的股权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激励？处于什么考虑？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您好，公司未取消股权激励事项。因2023年度业绩考核不达标，公司召开董事会审议通过了《关于回购注销2022年限制性股票激励计划部分限制性股票的议案》，同意将公司2022年限制性股票激励计划中部分激励对象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已获授但尚未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解除限售的限制性股票1,972.566万股进行回购注销，具体内容详见公司于2024年4月23日披露的《太原重工关于回购注销2022年限制性股票激励计划部分限制性股票的公告》（公告编号：2024-026）。感谢您对公司的关注。</w:t>
            </w:r>
          </w:p>
          <w:p w:rsidR="00165B08" w:rsidRDefault="00165B08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:rsidR="00065075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lastRenderedPageBreak/>
              <w:t>15、为啥要取消对核心管理人员和技术人员的股权激励？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您好，公司未取消股权激励事项。因2023年度业绩考核不达标，公司召开董事会审议通过了《关于回购注销2022年限制性股票激励计划部分限制性股票的议案》，同意将公司2022年限制性股票激励计划中部分激励对象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已获授但尚未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解除限售的限制性股票1,972.566万股进行回购注销，具体内容详见公司于2024年4月23日披露的《太原重工关于回购注销2022年限制性股票激励计划部分限制性股票的公告》（公告编号：2024-026）。感谢您对公司的关注。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16、请问公司，现在估价这么低，有没有进一步增持计划？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或者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吸引战投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策略？市值管理需要公司更加重视资本运营能力，看公司有高大上的远景目标，可在实际操作成面确实老一套，建议公司多接触、吸引、利用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战投资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本，做好信息公开化，有助于实现公司目标。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已于2023年12月22日审议通过《关于以集中竞价交易方式回购公司A股股份的议案》，同意公司使用自有资金以集中竞价交易方式回购公司股份，回购金额为1,000万元-2,000万元（含本数），回购价格不超过3.56元/股，回购期限自公司董事会审议通过本次回购股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份方案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之日起不超过12个月。截至2024年4月末，公司累计回购股份数量4,900,000股，占公司目前总股本的0.14%，最高成交价2.27元/股，最低成交价2.14元/股，成交总金额为10,828,000元（不含交易费用）。感谢您对公司的关注和建议。</w:t>
            </w:r>
          </w:p>
          <w:p w:rsidR="00165B08" w:rsidRDefault="00FC4830">
            <w:pPr>
              <w:pStyle w:val="Style6"/>
              <w:spacing w:line="460" w:lineRule="exact"/>
              <w:ind w:left="413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17、请问公司上半年订但是否饱满？去年投入的十多亿研发</w:t>
            </w:r>
          </w:p>
          <w:p w:rsidR="00065075" w:rsidRDefault="00FC4830" w:rsidP="00165B08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费用能否在上半年推出一些新产品？</w:t>
            </w:r>
          </w:p>
          <w:p w:rsidR="00065075" w:rsidRDefault="00FC4830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您好，公司整体生产经营正常稳定，研发的新产品将会陆续推向市场。感谢您对公司的关注。</w:t>
            </w:r>
          </w:p>
          <w:p w:rsidR="00065075" w:rsidRDefault="00065075" w:rsidP="00165B08">
            <w:pPr>
              <w:pStyle w:val="Style6"/>
              <w:spacing w:line="460" w:lineRule="exact"/>
              <w:ind w:firstLineChars="50" w:firstLine="12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 w:rsidR="00065075" w:rsidRDefault="00065075"/>
    <w:sectPr w:rsidR="00065075" w:rsidSect="0006507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C0" w:rsidRDefault="00122DC0" w:rsidP="00065075">
      <w:r>
        <w:separator/>
      </w:r>
    </w:p>
  </w:endnote>
  <w:endnote w:type="continuationSeparator" w:id="0">
    <w:p w:rsidR="00122DC0" w:rsidRDefault="00122DC0" w:rsidP="0006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75" w:rsidRDefault="0006507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C0" w:rsidRDefault="00122DC0" w:rsidP="00065075">
      <w:r>
        <w:separator/>
      </w:r>
    </w:p>
  </w:footnote>
  <w:footnote w:type="continuationSeparator" w:id="0">
    <w:p w:rsidR="00122DC0" w:rsidRDefault="00122DC0" w:rsidP="00065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75" w:rsidRDefault="00065075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5075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2DC0"/>
    <w:rsid w:val="00125EB2"/>
    <w:rsid w:val="00142A4C"/>
    <w:rsid w:val="00144279"/>
    <w:rsid w:val="001452FF"/>
    <w:rsid w:val="00165B08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1A61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86D6B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4830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65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65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065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rsid w:val="00065075"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sid w:val="00065075"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065075"/>
  </w:style>
  <w:style w:type="paragraph" w:customStyle="1" w:styleId="CharCharChar0">
    <w:name w:val="Char Char Char"/>
    <w:basedOn w:val="a"/>
    <w:qFormat/>
    <w:rsid w:val="00065075"/>
  </w:style>
  <w:style w:type="character" w:customStyle="1" w:styleId="Char">
    <w:name w:val="页脚 Char"/>
    <w:basedOn w:val="a0"/>
    <w:link w:val="a3"/>
    <w:qFormat/>
    <w:rsid w:val="00065075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065075"/>
    <w:rPr>
      <w:kern w:val="2"/>
      <w:sz w:val="18"/>
      <w:szCs w:val="18"/>
    </w:rPr>
  </w:style>
  <w:style w:type="paragraph" w:styleId="a5">
    <w:name w:val="Balloon Text"/>
    <w:basedOn w:val="a"/>
    <w:link w:val="Char1"/>
    <w:rsid w:val="00481A61"/>
    <w:rPr>
      <w:sz w:val="18"/>
      <w:szCs w:val="18"/>
    </w:rPr>
  </w:style>
  <w:style w:type="character" w:customStyle="1" w:styleId="Char1">
    <w:name w:val="批注框文本 Char"/>
    <w:basedOn w:val="a0"/>
    <w:link w:val="a5"/>
    <w:rsid w:val="00481A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545</Words>
  <Characters>3108</Characters>
  <Application>Microsoft Office Word</Application>
  <DocSecurity>0</DocSecurity>
  <Lines>25</Lines>
  <Paragraphs>7</Paragraphs>
  <ScaleCrop>false</ScaleCrop>
  <Company>微软中国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LT</cp:lastModifiedBy>
  <cp:revision>264</cp:revision>
  <cp:lastPrinted>2014-02-21T05:34:00Z</cp:lastPrinted>
  <dcterms:created xsi:type="dcterms:W3CDTF">2012-09-09T08:59:00Z</dcterms:created>
  <dcterms:modified xsi:type="dcterms:W3CDTF">2024-05-21T01:05:00Z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