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77E73" w14:textId="176FCA9E" w:rsidR="00A17F39" w:rsidRPr="009A4963" w:rsidRDefault="00BF2704">
      <w:pPr>
        <w:pStyle w:val="1"/>
        <w:rPr>
          <w:rFonts w:ascii="宋体" w:eastAsia="宋体" w:hAnsi="宋体" w:cs="宋体"/>
          <w:b/>
          <w:sz w:val="24"/>
          <w:szCs w:val="24"/>
          <w:lang w:val="en-US"/>
        </w:rPr>
      </w:pPr>
      <w:r w:rsidRPr="009A4963">
        <w:rPr>
          <w:rFonts w:ascii="宋体" w:eastAsia="宋体" w:hAnsi="宋体" w:cs="宋体" w:hint="eastAsia"/>
          <w:b/>
          <w:sz w:val="24"/>
          <w:szCs w:val="24"/>
          <w:lang w:val="en-US"/>
        </w:rPr>
        <w:t>证券代码：600927                                  证券简称：永安期货</w:t>
      </w:r>
    </w:p>
    <w:p w14:paraId="36CABD32" w14:textId="77777777" w:rsidR="00A17F39" w:rsidRDefault="00A17F39">
      <w:pPr>
        <w:spacing w:line="360" w:lineRule="auto"/>
        <w:jc w:val="center"/>
        <w:rPr>
          <w:rFonts w:ascii="宋体" w:eastAsia="宋体" w:hAnsi="宋体" w:cs="宋体"/>
          <w:b/>
          <w:bCs/>
          <w:sz w:val="44"/>
          <w:szCs w:val="44"/>
        </w:rPr>
      </w:pPr>
    </w:p>
    <w:p w14:paraId="1AC90294" w14:textId="77777777" w:rsidR="00A17F39" w:rsidRPr="009A4963" w:rsidRDefault="00BF2704">
      <w:pPr>
        <w:spacing w:line="360" w:lineRule="auto"/>
        <w:jc w:val="center"/>
        <w:rPr>
          <w:rFonts w:ascii="宋体" w:eastAsia="宋体" w:hAnsi="宋体" w:cs="宋体"/>
          <w:b/>
          <w:bCs/>
          <w:sz w:val="32"/>
          <w:szCs w:val="32"/>
        </w:rPr>
      </w:pPr>
      <w:r w:rsidRPr="009A4963">
        <w:rPr>
          <w:rFonts w:ascii="宋体" w:eastAsia="宋体" w:hAnsi="宋体" w:cs="宋体" w:hint="eastAsia"/>
          <w:b/>
          <w:bCs/>
          <w:sz w:val="32"/>
          <w:szCs w:val="32"/>
        </w:rPr>
        <w:t>永安期货股份有限公司</w:t>
      </w:r>
    </w:p>
    <w:p w14:paraId="2C74B252" w14:textId="77777777" w:rsidR="00A17F39" w:rsidRPr="009A4963" w:rsidRDefault="00BF2704">
      <w:pPr>
        <w:spacing w:line="360" w:lineRule="auto"/>
        <w:jc w:val="center"/>
        <w:rPr>
          <w:rFonts w:ascii="宋体" w:eastAsia="宋体" w:hAnsi="宋体" w:cs="宋体"/>
          <w:sz w:val="32"/>
          <w:szCs w:val="32"/>
        </w:rPr>
      </w:pPr>
      <w:r w:rsidRPr="009A4963">
        <w:rPr>
          <w:rFonts w:ascii="宋体" w:eastAsia="宋体" w:hAnsi="宋体" w:cs="宋体" w:hint="eastAsia"/>
          <w:b/>
          <w:bCs/>
          <w:sz w:val="32"/>
          <w:szCs w:val="32"/>
        </w:rPr>
        <w:t>投资者关系活动记录表</w:t>
      </w:r>
    </w:p>
    <w:p w14:paraId="13E9C35E" w14:textId="3C2EB38E" w:rsidR="00A17F39" w:rsidRPr="00382910" w:rsidRDefault="00BF2704" w:rsidP="0024680D">
      <w:pPr>
        <w:spacing w:before="51" w:after="32"/>
        <w:ind w:right="619"/>
        <w:rPr>
          <w:rFonts w:ascii="宋体" w:eastAsia="宋体" w:hAnsi="宋体" w:cs="宋体"/>
          <w:b/>
          <w:sz w:val="24"/>
          <w:szCs w:val="24"/>
        </w:rPr>
      </w:pPr>
      <w:r w:rsidRPr="00382910">
        <w:rPr>
          <w:rFonts w:ascii="宋体" w:eastAsia="宋体" w:hAnsi="宋体" w:cs="宋体" w:hint="eastAsia"/>
          <w:b/>
          <w:sz w:val="24"/>
          <w:szCs w:val="24"/>
        </w:rPr>
        <w:t>编号：</w:t>
      </w:r>
      <w:r w:rsidRPr="00382910">
        <w:rPr>
          <w:rFonts w:ascii="宋体" w:eastAsia="宋体" w:hAnsi="宋体" w:cs="宋体" w:hint="eastAsia"/>
          <w:b/>
          <w:sz w:val="24"/>
          <w:szCs w:val="24"/>
          <w:lang w:val="en-US"/>
        </w:rPr>
        <w:t>2024</w:t>
      </w:r>
      <w:r w:rsidRPr="00382910">
        <w:rPr>
          <w:rFonts w:ascii="宋体" w:eastAsia="宋体" w:hAnsi="宋体" w:cs="宋体" w:hint="eastAsia"/>
          <w:b/>
          <w:sz w:val="24"/>
          <w:szCs w:val="24"/>
        </w:rPr>
        <w:t xml:space="preserve"> -</w:t>
      </w:r>
      <w:r w:rsidR="00B434E3" w:rsidRPr="00382910">
        <w:rPr>
          <w:rFonts w:ascii="宋体" w:eastAsia="宋体" w:hAnsi="宋体" w:cs="宋体"/>
          <w:b/>
          <w:sz w:val="24"/>
          <w:szCs w:val="24"/>
        </w:rPr>
        <w:t>001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830"/>
        <w:gridCol w:w="5695"/>
      </w:tblGrid>
      <w:tr w:rsidR="00A17F39" w:rsidRPr="009A4963" w14:paraId="5496BED5" w14:textId="77777777" w:rsidTr="00CD1DB9">
        <w:trPr>
          <w:trHeight w:val="2801"/>
          <w:jc w:val="center"/>
        </w:trPr>
        <w:tc>
          <w:tcPr>
            <w:tcW w:w="2830" w:type="dxa"/>
          </w:tcPr>
          <w:p w14:paraId="09F89CE2" w14:textId="77777777" w:rsidR="00A17F39" w:rsidRPr="009A4963" w:rsidRDefault="00A17F39">
            <w:pPr>
              <w:pStyle w:val="TableParagraph"/>
              <w:spacing w:before="7"/>
              <w:rPr>
                <w:rFonts w:asciiTheme="minorEastAsia" w:eastAsiaTheme="minorEastAsia" w:hAnsiTheme="minorEastAsia" w:cs="宋体"/>
                <w:b/>
                <w:bCs/>
                <w:sz w:val="24"/>
                <w:szCs w:val="24"/>
              </w:rPr>
            </w:pPr>
          </w:p>
          <w:p w14:paraId="21A73244" w14:textId="77777777" w:rsidR="00A17F39" w:rsidRPr="009A4963" w:rsidRDefault="00BF2704" w:rsidP="00CD1DB9">
            <w:pPr>
              <w:pStyle w:val="TableParagraph"/>
              <w:spacing w:before="1"/>
              <w:rPr>
                <w:rFonts w:asciiTheme="minorEastAsia" w:eastAsiaTheme="minorEastAsia" w:hAnsiTheme="minorEastAsia" w:cs="宋体"/>
                <w:b/>
                <w:bCs/>
                <w:sz w:val="24"/>
                <w:szCs w:val="24"/>
              </w:rPr>
            </w:pPr>
            <w:r w:rsidRPr="009A4963">
              <w:rPr>
                <w:rFonts w:asciiTheme="minorEastAsia" w:eastAsiaTheme="minorEastAsia" w:hAnsiTheme="minorEastAsia" w:cs="宋体" w:hint="eastAsia"/>
                <w:b/>
                <w:bCs/>
                <w:sz w:val="24"/>
                <w:szCs w:val="24"/>
              </w:rPr>
              <w:t>投资者关系活动类别</w:t>
            </w:r>
          </w:p>
        </w:tc>
        <w:tc>
          <w:tcPr>
            <w:tcW w:w="5695" w:type="dxa"/>
          </w:tcPr>
          <w:p w14:paraId="26401BF8" w14:textId="77777777" w:rsidR="00A17F39" w:rsidRPr="009A4963" w:rsidRDefault="00A17F39">
            <w:pPr>
              <w:pStyle w:val="TableParagraph"/>
              <w:spacing w:before="7"/>
              <w:rPr>
                <w:rFonts w:asciiTheme="minorEastAsia" w:eastAsiaTheme="minorEastAsia" w:hAnsiTheme="minorEastAsia" w:cs="宋体"/>
                <w:sz w:val="24"/>
                <w:szCs w:val="24"/>
              </w:rPr>
            </w:pPr>
          </w:p>
          <w:p w14:paraId="047DB497" w14:textId="77777777" w:rsidR="00A17F39" w:rsidRPr="009A4963" w:rsidRDefault="00F666BD">
            <w:pPr>
              <w:pStyle w:val="TableParagraph"/>
              <w:tabs>
                <w:tab w:val="left" w:pos="2418"/>
              </w:tabs>
              <w:spacing w:before="1"/>
              <w:ind w:left="107"/>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249780449"/>
                <w14:checkbox>
                  <w14:checked w14:val="0"/>
                  <w14:checkedState w14:val="0052" w14:font="Wingdings 2"/>
                  <w14:uncheckedState w14:val="2610" w14:font="MS Gothic"/>
                </w14:checkbox>
              </w:sdtPr>
              <w:sdtEndPr/>
              <w:sdtContent>
                <w:r w:rsidR="00BF2704" w:rsidRPr="009A4963">
                  <w:rPr>
                    <w:rFonts w:ascii="Segoe UI Symbol" w:eastAsiaTheme="minorEastAsia" w:hAnsi="Segoe UI Symbol" w:cs="Segoe UI Symbol"/>
                    <w:sz w:val="24"/>
                    <w:szCs w:val="24"/>
                  </w:rPr>
                  <w:t>☐</w:t>
                </w:r>
              </w:sdtContent>
            </w:sdt>
            <w:r w:rsidR="00BF2704" w:rsidRPr="009A4963">
              <w:rPr>
                <w:rFonts w:asciiTheme="minorEastAsia" w:eastAsiaTheme="minorEastAsia" w:hAnsiTheme="minorEastAsia" w:cs="宋体" w:hint="eastAsia"/>
                <w:sz w:val="24"/>
                <w:szCs w:val="24"/>
              </w:rPr>
              <w:t>特</w:t>
            </w:r>
            <w:r w:rsidR="00BF2704" w:rsidRPr="009A4963">
              <w:rPr>
                <w:rFonts w:asciiTheme="minorEastAsia" w:eastAsiaTheme="minorEastAsia" w:hAnsiTheme="minorEastAsia" w:cs="宋体" w:hint="eastAsia"/>
                <w:spacing w:val="-3"/>
                <w:sz w:val="24"/>
                <w:szCs w:val="24"/>
              </w:rPr>
              <w:t>定</w:t>
            </w:r>
            <w:r w:rsidR="00BF2704" w:rsidRPr="009A4963">
              <w:rPr>
                <w:rFonts w:asciiTheme="minorEastAsia" w:eastAsiaTheme="minorEastAsia" w:hAnsiTheme="minorEastAsia" w:cs="宋体" w:hint="eastAsia"/>
                <w:sz w:val="24"/>
                <w:szCs w:val="24"/>
              </w:rPr>
              <w:t>对</w:t>
            </w:r>
            <w:r w:rsidR="00BF2704" w:rsidRPr="009A4963">
              <w:rPr>
                <w:rFonts w:asciiTheme="minorEastAsia" w:eastAsiaTheme="minorEastAsia" w:hAnsiTheme="minorEastAsia" w:cs="宋体" w:hint="eastAsia"/>
                <w:spacing w:val="-3"/>
                <w:sz w:val="24"/>
                <w:szCs w:val="24"/>
              </w:rPr>
              <w:t>象</w:t>
            </w:r>
            <w:r w:rsidR="00BF2704" w:rsidRPr="009A4963">
              <w:rPr>
                <w:rFonts w:asciiTheme="minorEastAsia" w:eastAsiaTheme="minorEastAsia" w:hAnsiTheme="minorEastAsia" w:cs="宋体" w:hint="eastAsia"/>
                <w:sz w:val="24"/>
                <w:szCs w:val="24"/>
              </w:rPr>
              <w:t>调研</w:t>
            </w:r>
            <w:r w:rsidR="00BF2704" w:rsidRPr="009A4963">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6875725"/>
                <w14:checkbox>
                  <w14:checked w14:val="0"/>
                  <w14:checkedState w14:val="0052" w14:font="Wingdings 2"/>
                  <w14:uncheckedState w14:val="2610" w14:font="MS Gothic"/>
                </w14:checkbox>
              </w:sdtPr>
              <w:sdtEndPr/>
              <w:sdtContent>
                <w:r w:rsidR="00BF2704" w:rsidRPr="009A4963">
                  <w:rPr>
                    <w:rFonts w:ascii="Segoe UI Symbol" w:eastAsiaTheme="minorEastAsia" w:hAnsi="Segoe UI Symbol" w:cs="Segoe UI Symbol"/>
                    <w:sz w:val="24"/>
                    <w:szCs w:val="24"/>
                  </w:rPr>
                  <w:t>☐</w:t>
                </w:r>
              </w:sdtContent>
            </w:sdt>
            <w:r w:rsidR="00BF2704" w:rsidRPr="009A4963">
              <w:rPr>
                <w:rFonts w:asciiTheme="minorEastAsia" w:eastAsiaTheme="minorEastAsia" w:hAnsiTheme="minorEastAsia" w:cs="宋体" w:hint="eastAsia"/>
                <w:sz w:val="24"/>
                <w:szCs w:val="24"/>
              </w:rPr>
              <w:t>分</w:t>
            </w:r>
            <w:r w:rsidR="00BF2704" w:rsidRPr="009A4963">
              <w:rPr>
                <w:rFonts w:asciiTheme="minorEastAsia" w:eastAsiaTheme="minorEastAsia" w:hAnsiTheme="minorEastAsia" w:cs="宋体" w:hint="eastAsia"/>
                <w:spacing w:val="-3"/>
                <w:sz w:val="24"/>
                <w:szCs w:val="24"/>
              </w:rPr>
              <w:t>析</w:t>
            </w:r>
            <w:r w:rsidR="00BF2704" w:rsidRPr="009A4963">
              <w:rPr>
                <w:rFonts w:asciiTheme="minorEastAsia" w:eastAsiaTheme="minorEastAsia" w:hAnsiTheme="minorEastAsia" w:cs="宋体" w:hint="eastAsia"/>
                <w:sz w:val="24"/>
                <w:szCs w:val="24"/>
              </w:rPr>
              <w:t>师</w:t>
            </w:r>
            <w:r w:rsidR="00BF2704" w:rsidRPr="009A4963">
              <w:rPr>
                <w:rFonts w:asciiTheme="minorEastAsia" w:eastAsiaTheme="minorEastAsia" w:hAnsiTheme="minorEastAsia" w:cs="宋体" w:hint="eastAsia"/>
                <w:spacing w:val="-3"/>
                <w:sz w:val="24"/>
                <w:szCs w:val="24"/>
              </w:rPr>
              <w:t>会</w:t>
            </w:r>
            <w:r w:rsidR="00BF2704" w:rsidRPr="009A4963">
              <w:rPr>
                <w:rFonts w:asciiTheme="minorEastAsia" w:eastAsiaTheme="minorEastAsia" w:hAnsiTheme="minorEastAsia" w:cs="宋体" w:hint="eastAsia"/>
                <w:sz w:val="24"/>
                <w:szCs w:val="24"/>
              </w:rPr>
              <w:t>议</w:t>
            </w:r>
          </w:p>
          <w:p w14:paraId="6585C0DF" w14:textId="77777777" w:rsidR="00A17F39" w:rsidRPr="009A4963" w:rsidRDefault="00A17F39">
            <w:pPr>
              <w:pStyle w:val="TableParagraph"/>
              <w:spacing w:before="11"/>
              <w:rPr>
                <w:rFonts w:asciiTheme="minorEastAsia" w:eastAsiaTheme="minorEastAsia" w:hAnsiTheme="minorEastAsia" w:cs="宋体"/>
                <w:sz w:val="24"/>
                <w:szCs w:val="24"/>
              </w:rPr>
            </w:pPr>
          </w:p>
          <w:p w14:paraId="574517CE" w14:textId="6C6D0923" w:rsidR="00A17F39" w:rsidRPr="009A4963" w:rsidRDefault="00F666BD">
            <w:pPr>
              <w:pStyle w:val="TableParagraph"/>
              <w:tabs>
                <w:tab w:val="left" w:pos="2418"/>
              </w:tabs>
              <w:ind w:left="107"/>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206906014"/>
                <w14:checkbox>
                  <w14:checked w14:val="0"/>
                  <w14:checkedState w14:val="0052" w14:font="Wingdings 2"/>
                  <w14:uncheckedState w14:val="2610" w14:font="MS Gothic"/>
                </w14:checkbox>
              </w:sdtPr>
              <w:sdtEndPr/>
              <w:sdtContent>
                <w:r w:rsidR="00BF2704" w:rsidRPr="009A4963">
                  <w:rPr>
                    <w:rFonts w:ascii="Segoe UI Symbol" w:eastAsiaTheme="minorEastAsia" w:hAnsi="Segoe UI Symbol" w:cs="Segoe UI Symbol"/>
                    <w:sz w:val="24"/>
                    <w:szCs w:val="24"/>
                  </w:rPr>
                  <w:t>☐</w:t>
                </w:r>
              </w:sdtContent>
            </w:sdt>
            <w:r w:rsidR="00BF2704" w:rsidRPr="009A4963">
              <w:rPr>
                <w:rFonts w:asciiTheme="minorEastAsia" w:eastAsiaTheme="minorEastAsia" w:hAnsiTheme="minorEastAsia" w:cs="宋体" w:hint="eastAsia"/>
                <w:sz w:val="24"/>
                <w:szCs w:val="24"/>
              </w:rPr>
              <w:t>媒</w:t>
            </w:r>
            <w:r w:rsidR="00BF2704" w:rsidRPr="009A4963">
              <w:rPr>
                <w:rFonts w:asciiTheme="minorEastAsia" w:eastAsiaTheme="minorEastAsia" w:hAnsiTheme="minorEastAsia" w:cs="宋体" w:hint="eastAsia"/>
                <w:spacing w:val="-3"/>
                <w:sz w:val="24"/>
                <w:szCs w:val="24"/>
              </w:rPr>
              <w:t>体</w:t>
            </w:r>
            <w:r w:rsidR="00BF2704" w:rsidRPr="009A4963">
              <w:rPr>
                <w:rFonts w:asciiTheme="minorEastAsia" w:eastAsiaTheme="minorEastAsia" w:hAnsiTheme="minorEastAsia" w:cs="宋体" w:hint="eastAsia"/>
                <w:sz w:val="24"/>
                <w:szCs w:val="24"/>
              </w:rPr>
              <w:t>采访</w:t>
            </w:r>
            <w:r w:rsidR="00BF2704" w:rsidRPr="009A4963">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66658901"/>
                <w14:checkbox>
                  <w14:checked w14:val="1"/>
                  <w14:checkedState w14:val="0052" w14:font="Wingdings 2"/>
                  <w14:uncheckedState w14:val="2610" w14:font="MS Gothic"/>
                </w14:checkbox>
              </w:sdtPr>
              <w:sdtEndPr/>
              <w:sdtContent>
                <w:r w:rsidR="00CD1DB9">
                  <w:rPr>
                    <w:rFonts w:asciiTheme="minorEastAsia" w:eastAsiaTheme="minorEastAsia" w:hAnsiTheme="minorEastAsia" w:cs="宋体" w:hint="eastAsia"/>
                    <w:sz w:val="24"/>
                    <w:szCs w:val="24"/>
                  </w:rPr>
                  <w:sym w:font="Wingdings 2" w:char="F052"/>
                </w:r>
              </w:sdtContent>
            </w:sdt>
            <w:r w:rsidR="00BF2704" w:rsidRPr="009A4963">
              <w:rPr>
                <w:rFonts w:asciiTheme="minorEastAsia" w:eastAsiaTheme="minorEastAsia" w:hAnsiTheme="minorEastAsia" w:cs="宋体" w:hint="eastAsia"/>
                <w:sz w:val="24"/>
                <w:szCs w:val="24"/>
              </w:rPr>
              <w:t>业</w:t>
            </w:r>
            <w:r w:rsidR="00BF2704" w:rsidRPr="009A4963">
              <w:rPr>
                <w:rFonts w:asciiTheme="minorEastAsia" w:eastAsiaTheme="minorEastAsia" w:hAnsiTheme="minorEastAsia" w:cs="宋体" w:hint="eastAsia"/>
                <w:spacing w:val="-3"/>
                <w:sz w:val="24"/>
                <w:szCs w:val="24"/>
              </w:rPr>
              <w:t>绩</w:t>
            </w:r>
            <w:r w:rsidR="00BF2704" w:rsidRPr="009A4963">
              <w:rPr>
                <w:rFonts w:asciiTheme="minorEastAsia" w:eastAsiaTheme="minorEastAsia" w:hAnsiTheme="minorEastAsia" w:cs="宋体" w:hint="eastAsia"/>
                <w:sz w:val="24"/>
                <w:szCs w:val="24"/>
              </w:rPr>
              <w:t>说</w:t>
            </w:r>
            <w:r w:rsidR="00BF2704" w:rsidRPr="009A4963">
              <w:rPr>
                <w:rFonts w:asciiTheme="minorEastAsia" w:eastAsiaTheme="minorEastAsia" w:hAnsiTheme="minorEastAsia" w:cs="宋体" w:hint="eastAsia"/>
                <w:spacing w:val="-3"/>
                <w:sz w:val="24"/>
                <w:szCs w:val="24"/>
              </w:rPr>
              <w:t>明</w:t>
            </w:r>
            <w:r w:rsidR="00BF2704" w:rsidRPr="009A4963">
              <w:rPr>
                <w:rFonts w:asciiTheme="minorEastAsia" w:eastAsiaTheme="minorEastAsia" w:hAnsiTheme="minorEastAsia" w:cs="宋体" w:hint="eastAsia"/>
                <w:sz w:val="24"/>
                <w:szCs w:val="24"/>
              </w:rPr>
              <w:t>会</w:t>
            </w:r>
          </w:p>
          <w:p w14:paraId="10AF3027" w14:textId="77777777" w:rsidR="00A17F39" w:rsidRPr="009A4963" w:rsidRDefault="00A17F39">
            <w:pPr>
              <w:pStyle w:val="TableParagraph"/>
              <w:spacing w:before="8"/>
              <w:rPr>
                <w:rFonts w:asciiTheme="minorEastAsia" w:eastAsiaTheme="minorEastAsia" w:hAnsiTheme="minorEastAsia" w:cs="宋体"/>
                <w:sz w:val="24"/>
                <w:szCs w:val="24"/>
              </w:rPr>
            </w:pPr>
          </w:p>
          <w:p w14:paraId="2BD6F461" w14:textId="77777777" w:rsidR="00A17F39" w:rsidRPr="009A4963" w:rsidRDefault="00F666BD">
            <w:pPr>
              <w:pStyle w:val="TableParagraph"/>
              <w:tabs>
                <w:tab w:val="left" w:pos="2418"/>
              </w:tabs>
              <w:ind w:left="107"/>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848167434"/>
                <w14:checkbox>
                  <w14:checked w14:val="0"/>
                  <w14:checkedState w14:val="0052" w14:font="Wingdings 2"/>
                  <w14:uncheckedState w14:val="2610" w14:font="MS Gothic"/>
                </w14:checkbox>
              </w:sdtPr>
              <w:sdtEndPr/>
              <w:sdtContent>
                <w:r w:rsidR="00BF2704" w:rsidRPr="009A4963">
                  <w:rPr>
                    <w:rFonts w:ascii="Segoe UI Symbol" w:eastAsiaTheme="minorEastAsia" w:hAnsi="Segoe UI Symbol" w:cs="Segoe UI Symbol"/>
                    <w:sz w:val="24"/>
                    <w:szCs w:val="24"/>
                  </w:rPr>
                  <w:t>☐</w:t>
                </w:r>
              </w:sdtContent>
            </w:sdt>
            <w:r w:rsidR="00BF2704" w:rsidRPr="009A4963">
              <w:rPr>
                <w:rFonts w:asciiTheme="minorEastAsia" w:eastAsiaTheme="minorEastAsia" w:hAnsiTheme="minorEastAsia" w:cs="宋体" w:hint="eastAsia"/>
                <w:sz w:val="24"/>
                <w:szCs w:val="24"/>
              </w:rPr>
              <w:t>新</w:t>
            </w:r>
            <w:r w:rsidR="00BF2704" w:rsidRPr="009A4963">
              <w:rPr>
                <w:rFonts w:asciiTheme="minorEastAsia" w:eastAsiaTheme="minorEastAsia" w:hAnsiTheme="minorEastAsia" w:cs="宋体" w:hint="eastAsia"/>
                <w:spacing w:val="-3"/>
                <w:sz w:val="24"/>
                <w:szCs w:val="24"/>
              </w:rPr>
              <w:t>闻</w:t>
            </w:r>
            <w:r w:rsidR="00BF2704" w:rsidRPr="009A4963">
              <w:rPr>
                <w:rFonts w:asciiTheme="minorEastAsia" w:eastAsiaTheme="minorEastAsia" w:hAnsiTheme="minorEastAsia" w:cs="宋体" w:hint="eastAsia"/>
                <w:sz w:val="24"/>
                <w:szCs w:val="24"/>
              </w:rPr>
              <w:t>发</w:t>
            </w:r>
            <w:r w:rsidR="00BF2704" w:rsidRPr="009A4963">
              <w:rPr>
                <w:rFonts w:asciiTheme="minorEastAsia" w:eastAsiaTheme="minorEastAsia" w:hAnsiTheme="minorEastAsia" w:cs="宋体" w:hint="eastAsia"/>
                <w:spacing w:val="-3"/>
                <w:sz w:val="24"/>
                <w:szCs w:val="24"/>
              </w:rPr>
              <w:t>布</w:t>
            </w:r>
            <w:r w:rsidR="00BF2704" w:rsidRPr="009A4963">
              <w:rPr>
                <w:rFonts w:asciiTheme="minorEastAsia" w:eastAsiaTheme="minorEastAsia" w:hAnsiTheme="minorEastAsia" w:cs="宋体" w:hint="eastAsia"/>
                <w:sz w:val="24"/>
                <w:szCs w:val="24"/>
              </w:rPr>
              <w:t>会</w:t>
            </w:r>
            <w:r w:rsidR="00BF2704" w:rsidRPr="009A4963">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2049691"/>
                <w14:checkbox>
                  <w14:checked w14:val="0"/>
                  <w14:checkedState w14:val="0052" w14:font="Wingdings 2"/>
                  <w14:uncheckedState w14:val="2610" w14:font="MS Gothic"/>
                </w14:checkbox>
              </w:sdtPr>
              <w:sdtEndPr/>
              <w:sdtContent>
                <w:r w:rsidR="00BF2704" w:rsidRPr="009A4963">
                  <w:rPr>
                    <w:rFonts w:ascii="Segoe UI Symbol" w:eastAsiaTheme="minorEastAsia" w:hAnsi="Segoe UI Symbol" w:cs="Segoe UI Symbol"/>
                    <w:sz w:val="24"/>
                    <w:szCs w:val="24"/>
                  </w:rPr>
                  <w:t>☐</w:t>
                </w:r>
              </w:sdtContent>
            </w:sdt>
            <w:r w:rsidR="00BF2704" w:rsidRPr="009A4963">
              <w:rPr>
                <w:rFonts w:asciiTheme="minorEastAsia" w:eastAsiaTheme="minorEastAsia" w:hAnsiTheme="minorEastAsia" w:cs="宋体" w:hint="eastAsia"/>
                <w:sz w:val="24"/>
                <w:szCs w:val="24"/>
              </w:rPr>
              <w:t>路</w:t>
            </w:r>
            <w:r w:rsidR="00BF2704" w:rsidRPr="009A4963">
              <w:rPr>
                <w:rFonts w:asciiTheme="minorEastAsia" w:eastAsiaTheme="minorEastAsia" w:hAnsiTheme="minorEastAsia" w:cs="宋体" w:hint="eastAsia"/>
                <w:spacing w:val="-3"/>
                <w:sz w:val="24"/>
                <w:szCs w:val="24"/>
              </w:rPr>
              <w:t>演</w:t>
            </w:r>
            <w:r w:rsidR="00BF2704" w:rsidRPr="009A4963">
              <w:rPr>
                <w:rFonts w:asciiTheme="minorEastAsia" w:eastAsiaTheme="minorEastAsia" w:hAnsiTheme="minorEastAsia" w:cs="宋体" w:hint="eastAsia"/>
                <w:sz w:val="24"/>
                <w:szCs w:val="24"/>
              </w:rPr>
              <w:t>活动</w:t>
            </w:r>
          </w:p>
          <w:p w14:paraId="7069E728" w14:textId="77777777" w:rsidR="00A17F39" w:rsidRPr="009A4963" w:rsidRDefault="00A17F39">
            <w:pPr>
              <w:pStyle w:val="TableParagraph"/>
              <w:spacing w:before="8"/>
              <w:rPr>
                <w:rFonts w:asciiTheme="minorEastAsia" w:eastAsiaTheme="minorEastAsia" w:hAnsiTheme="minorEastAsia" w:cs="宋体"/>
                <w:sz w:val="24"/>
                <w:szCs w:val="24"/>
              </w:rPr>
            </w:pPr>
          </w:p>
          <w:p w14:paraId="29D5D308" w14:textId="77777777" w:rsidR="00A17F39" w:rsidRPr="009A4963" w:rsidRDefault="00F666BD">
            <w:pPr>
              <w:pStyle w:val="TableParagraph"/>
              <w:ind w:left="107"/>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333366911"/>
                <w14:checkbox>
                  <w14:checked w14:val="0"/>
                  <w14:checkedState w14:val="0052" w14:font="Wingdings 2"/>
                  <w14:uncheckedState w14:val="2610" w14:font="MS Gothic"/>
                </w14:checkbox>
              </w:sdtPr>
              <w:sdtEndPr/>
              <w:sdtContent>
                <w:r w:rsidR="00BF2704" w:rsidRPr="009A4963">
                  <w:rPr>
                    <w:rFonts w:ascii="Segoe UI Symbol" w:eastAsiaTheme="minorEastAsia" w:hAnsi="Segoe UI Symbol" w:cs="Segoe UI Symbol"/>
                    <w:sz w:val="24"/>
                    <w:szCs w:val="24"/>
                  </w:rPr>
                  <w:t>☐</w:t>
                </w:r>
              </w:sdtContent>
            </w:sdt>
            <w:r w:rsidR="00BF2704" w:rsidRPr="009A4963">
              <w:rPr>
                <w:rFonts w:asciiTheme="minorEastAsia" w:eastAsiaTheme="minorEastAsia" w:hAnsiTheme="minorEastAsia" w:cs="宋体" w:hint="eastAsia"/>
                <w:sz w:val="24"/>
                <w:szCs w:val="24"/>
              </w:rPr>
              <w:t>现场参观</w:t>
            </w:r>
          </w:p>
          <w:p w14:paraId="0B0DAA28" w14:textId="77777777" w:rsidR="00A17F39" w:rsidRPr="009A4963" w:rsidRDefault="00A17F39">
            <w:pPr>
              <w:pStyle w:val="TableParagraph"/>
              <w:spacing w:before="11"/>
              <w:rPr>
                <w:rFonts w:asciiTheme="minorEastAsia" w:eastAsiaTheme="minorEastAsia" w:hAnsiTheme="minorEastAsia" w:cs="宋体"/>
                <w:sz w:val="24"/>
                <w:szCs w:val="24"/>
              </w:rPr>
            </w:pPr>
          </w:p>
          <w:p w14:paraId="2645889D" w14:textId="77777777" w:rsidR="00A17F39" w:rsidRPr="009A4963" w:rsidRDefault="00F666BD">
            <w:pPr>
              <w:pStyle w:val="TableParagraph"/>
              <w:ind w:left="107"/>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400885218"/>
                <w14:checkbox>
                  <w14:checked w14:val="0"/>
                  <w14:checkedState w14:val="0052" w14:font="Wingdings 2"/>
                  <w14:uncheckedState w14:val="2610" w14:font="MS Gothic"/>
                </w14:checkbox>
              </w:sdtPr>
              <w:sdtEndPr/>
              <w:sdtContent>
                <w:r w:rsidR="00BF2704" w:rsidRPr="009A4963">
                  <w:rPr>
                    <w:rFonts w:ascii="Segoe UI Symbol" w:eastAsiaTheme="minorEastAsia" w:hAnsi="Segoe UI Symbol" w:cs="Segoe UI Symbol"/>
                    <w:sz w:val="24"/>
                    <w:szCs w:val="24"/>
                  </w:rPr>
                  <w:t>☐</w:t>
                </w:r>
              </w:sdtContent>
            </w:sdt>
            <w:r w:rsidR="00BF2704" w:rsidRPr="009A4963">
              <w:rPr>
                <w:rFonts w:asciiTheme="minorEastAsia" w:eastAsiaTheme="minorEastAsia" w:hAnsiTheme="minorEastAsia" w:cs="宋体" w:hint="eastAsia"/>
                <w:sz w:val="24"/>
                <w:szCs w:val="24"/>
              </w:rPr>
              <w:t>其他（</w:t>
            </w:r>
            <w:r w:rsidR="00BF2704" w:rsidRPr="009A4963">
              <w:rPr>
                <w:rFonts w:asciiTheme="minorEastAsia" w:eastAsiaTheme="minorEastAsia" w:hAnsiTheme="minorEastAsia" w:cs="宋体" w:hint="eastAsia"/>
                <w:sz w:val="24"/>
                <w:szCs w:val="24"/>
                <w:u w:val="single"/>
              </w:rPr>
              <w:t>请文字说明其他活动内容）</w:t>
            </w:r>
          </w:p>
        </w:tc>
      </w:tr>
      <w:tr w:rsidR="00A17F39" w:rsidRPr="009A4963" w14:paraId="20BC2CCF" w14:textId="77777777" w:rsidTr="00CD1DB9">
        <w:trPr>
          <w:trHeight w:val="1120"/>
          <w:jc w:val="center"/>
        </w:trPr>
        <w:tc>
          <w:tcPr>
            <w:tcW w:w="2830" w:type="dxa"/>
            <w:vAlign w:val="center"/>
          </w:tcPr>
          <w:p w14:paraId="3623DC61" w14:textId="77777777" w:rsidR="00A17F39" w:rsidRPr="009A4963" w:rsidRDefault="00BF2704" w:rsidP="00CD1DB9">
            <w:pPr>
              <w:pStyle w:val="TableParagraph"/>
              <w:spacing w:line="560" w:lineRule="exact"/>
              <w:ind w:right="96"/>
              <w:rPr>
                <w:rFonts w:asciiTheme="minorEastAsia" w:eastAsiaTheme="minorEastAsia" w:hAnsiTheme="minorEastAsia" w:cs="宋体"/>
                <w:b/>
                <w:bCs/>
                <w:sz w:val="24"/>
                <w:szCs w:val="24"/>
              </w:rPr>
            </w:pPr>
            <w:r w:rsidRPr="009A4963">
              <w:rPr>
                <w:rFonts w:asciiTheme="minorEastAsia" w:eastAsiaTheme="minorEastAsia" w:hAnsiTheme="minorEastAsia" w:cs="宋体" w:hint="eastAsia"/>
                <w:b/>
                <w:bCs/>
                <w:sz w:val="24"/>
                <w:szCs w:val="24"/>
              </w:rPr>
              <w:t>参与单位名称及人员姓名</w:t>
            </w:r>
          </w:p>
        </w:tc>
        <w:tc>
          <w:tcPr>
            <w:tcW w:w="5695" w:type="dxa"/>
            <w:vAlign w:val="center"/>
          </w:tcPr>
          <w:p w14:paraId="18CA3767" w14:textId="77777777" w:rsidR="00A17F39" w:rsidRPr="009A4963" w:rsidRDefault="00BF2704">
            <w:pPr>
              <w:pStyle w:val="TableParagraph"/>
              <w:spacing w:before="100" w:beforeAutospacing="1" w:line="360" w:lineRule="auto"/>
              <w:rPr>
                <w:rFonts w:asciiTheme="minorEastAsia" w:eastAsiaTheme="minorEastAsia" w:hAnsiTheme="minorEastAsia" w:cs="宋体"/>
                <w:sz w:val="24"/>
                <w:szCs w:val="24"/>
                <w:lang w:val="en-US"/>
              </w:rPr>
            </w:pPr>
            <w:r w:rsidRPr="009A4963">
              <w:rPr>
                <w:rFonts w:asciiTheme="minorEastAsia" w:eastAsiaTheme="minorEastAsia" w:hAnsiTheme="minorEastAsia" w:cs="宋体" w:hint="eastAsia"/>
                <w:sz w:val="24"/>
                <w:szCs w:val="24"/>
                <w:lang w:val="en-US"/>
              </w:rPr>
              <w:t>线上参与公司2023年度暨2024年第一季度业绩说明会的全体投资者</w:t>
            </w:r>
          </w:p>
        </w:tc>
      </w:tr>
      <w:tr w:rsidR="00A17F39" w:rsidRPr="009A4963" w14:paraId="6146116C" w14:textId="77777777" w:rsidTr="00CD1DB9">
        <w:trPr>
          <w:trHeight w:val="558"/>
          <w:jc w:val="center"/>
        </w:trPr>
        <w:tc>
          <w:tcPr>
            <w:tcW w:w="2830" w:type="dxa"/>
            <w:vAlign w:val="center"/>
          </w:tcPr>
          <w:p w14:paraId="6E0FB220" w14:textId="77777777" w:rsidR="00A17F39" w:rsidRPr="009A4963" w:rsidRDefault="00BF2704">
            <w:pPr>
              <w:pStyle w:val="TableParagraph"/>
              <w:ind w:left="107"/>
              <w:rPr>
                <w:rFonts w:asciiTheme="minorEastAsia" w:eastAsiaTheme="minorEastAsia" w:hAnsiTheme="minorEastAsia" w:cs="宋体"/>
                <w:b/>
                <w:bCs/>
                <w:sz w:val="24"/>
                <w:szCs w:val="24"/>
              </w:rPr>
            </w:pPr>
            <w:r w:rsidRPr="009A4963">
              <w:rPr>
                <w:rFonts w:asciiTheme="minorEastAsia" w:eastAsiaTheme="minorEastAsia" w:hAnsiTheme="minorEastAsia" w:cs="宋体" w:hint="eastAsia"/>
                <w:b/>
                <w:bCs/>
                <w:sz w:val="24"/>
                <w:szCs w:val="24"/>
              </w:rPr>
              <w:t>时间</w:t>
            </w:r>
          </w:p>
        </w:tc>
        <w:tc>
          <w:tcPr>
            <w:tcW w:w="5695" w:type="dxa"/>
            <w:vAlign w:val="center"/>
          </w:tcPr>
          <w:p w14:paraId="6B3166EA" w14:textId="77777777" w:rsidR="00A17F39" w:rsidRPr="009A4963" w:rsidRDefault="00BF2704">
            <w:pPr>
              <w:spacing w:before="100" w:beforeAutospacing="1" w:line="360" w:lineRule="auto"/>
              <w:rPr>
                <w:rFonts w:asciiTheme="minorEastAsia" w:eastAsiaTheme="minorEastAsia" w:hAnsiTheme="minorEastAsia"/>
                <w:sz w:val="24"/>
                <w:szCs w:val="24"/>
              </w:rPr>
            </w:pPr>
            <w:r w:rsidRPr="009A4963">
              <w:rPr>
                <w:rFonts w:asciiTheme="minorEastAsia" w:eastAsiaTheme="minorEastAsia" w:hAnsiTheme="minorEastAsia" w:cstheme="minorEastAsia" w:hint="eastAsia"/>
                <w:sz w:val="24"/>
                <w:szCs w:val="24"/>
              </w:rPr>
              <w:t>2024年5月20日 10:00-11:00</w:t>
            </w:r>
          </w:p>
        </w:tc>
      </w:tr>
      <w:tr w:rsidR="00A17F39" w:rsidRPr="009A4963" w14:paraId="55DCCC3C" w14:textId="77777777" w:rsidTr="00CD1DB9">
        <w:trPr>
          <w:trHeight w:val="561"/>
          <w:jc w:val="center"/>
        </w:trPr>
        <w:tc>
          <w:tcPr>
            <w:tcW w:w="2830" w:type="dxa"/>
            <w:vAlign w:val="center"/>
          </w:tcPr>
          <w:p w14:paraId="58174429" w14:textId="77777777" w:rsidR="00A17F39" w:rsidRPr="009A4963" w:rsidRDefault="00BF2704">
            <w:pPr>
              <w:pStyle w:val="TableParagraph"/>
              <w:ind w:left="107"/>
              <w:rPr>
                <w:rFonts w:asciiTheme="minorEastAsia" w:eastAsiaTheme="minorEastAsia" w:hAnsiTheme="minorEastAsia" w:cs="宋体"/>
                <w:b/>
                <w:bCs/>
                <w:sz w:val="24"/>
                <w:szCs w:val="24"/>
              </w:rPr>
            </w:pPr>
            <w:r w:rsidRPr="009A4963">
              <w:rPr>
                <w:rFonts w:asciiTheme="minorEastAsia" w:eastAsiaTheme="minorEastAsia" w:hAnsiTheme="minorEastAsia" w:cs="宋体" w:hint="eastAsia"/>
                <w:b/>
                <w:bCs/>
                <w:sz w:val="24"/>
                <w:szCs w:val="24"/>
              </w:rPr>
              <w:t>地点</w:t>
            </w:r>
          </w:p>
        </w:tc>
        <w:tc>
          <w:tcPr>
            <w:tcW w:w="5695" w:type="dxa"/>
            <w:vAlign w:val="center"/>
          </w:tcPr>
          <w:p w14:paraId="0F9EB044" w14:textId="77777777" w:rsidR="00A17F39" w:rsidRPr="009A4963" w:rsidRDefault="00BF2704">
            <w:pPr>
              <w:pStyle w:val="TableParagraph"/>
              <w:spacing w:before="100" w:beforeAutospacing="1" w:line="360" w:lineRule="auto"/>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价值在线（https://www.ir-online.cn/）网络互动</w:t>
            </w:r>
          </w:p>
        </w:tc>
      </w:tr>
      <w:tr w:rsidR="00A17F39" w:rsidRPr="009A4963" w14:paraId="6B0A2D67" w14:textId="77777777" w:rsidTr="00CD1DB9">
        <w:trPr>
          <w:trHeight w:val="558"/>
          <w:jc w:val="center"/>
        </w:trPr>
        <w:tc>
          <w:tcPr>
            <w:tcW w:w="2830" w:type="dxa"/>
            <w:vAlign w:val="center"/>
          </w:tcPr>
          <w:p w14:paraId="12940818" w14:textId="77777777" w:rsidR="00A17F39" w:rsidRPr="009A4963" w:rsidRDefault="00BF2704" w:rsidP="00CD1DB9">
            <w:pPr>
              <w:pStyle w:val="TableParagraph"/>
              <w:spacing w:before="1"/>
              <w:rPr>
                <w:rFonts w:asciiTheme="minorEastAsia" w:eastAsiaTheme="minorEastAsia" w:hAnsiTheme="minorEastAsia" w:cs="宋体"/>
                <w:b/>
                <w:bCs/>
                <w:sz w:val="24"/>
                <w:szCs w:val="24"/>
              </w:rPr>
            </w:pPr>
            <w:r w:rsidRPr="009A4963">
              <w:rPr>
                <w:rFonts w:asciiTheme="minorEastAsia" w:eastAsiaTheme="minorEastAsia" w:hAnsiTheme="minorEastAsia" w:cs="宋体" w:hint="eastAsia"/>
                <w:b/>
                <w:bCs/>
                <w:sz w:val="24"/>
                <w:szCs w:val="24"/>
              </w:rPr>
              <w:t>上市公司接待人员姓名</w:t>
            </w:r>
          </w:p>
        </w:tc>
        <w:tc>
          <w:tcPr>
            <w:tcW w:w="5695" w:type="dxa"/>
            <w:vAlign w:val="center"/>
          </w:tcPr>
          <w:p w14:paraId="54074294" w14:textId="77777777" w:rsidR="00A17F39" w:rsidRPr="009A4963" w:rsidRDefault="00BF2704">
            <w:pPr>
              <w:pStyle w:val="TableParagraph"/>
              <w:spacing w:before="100" w:beforeAutospacing="1" w:line="360" w:lineRule="auto"/>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董事长 葛国栋</w:t>
            </w:r>
          </w:p>
          <w:p w14:paraId="35921B02" w14:textId="77777777" w:rsidR="00A17F39" w:rsidRPr="009A4963" w:rsidRDefault="00BF2704">
            <w:pPr>
              <w:pStyle w:val="TableParagraph"/>
              <w:spacing w:before="100" w:beforeAutospacing="1" w:line="360" w:lineRule="auto"/>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总经理 黄志明</w:t>
            </w:r>
          </w:p>
          <w:p w14:paraId="4122DD24" w14:textId="77777777" w:rsidR="00A17F39" w:rsidRPr="009A4963" w:rsidRDefault="00BF2704">
            <w:pPr>
              <w:pStyle w:val="TableParagraph"/>
              <w:spacing w:before="100" w:beforeAutospacing="1" w:line="360" w:lineRule="auto"/>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副总经理、董事会秘书兼财务总监 黄峥嵘</w:t>
            </w:r>
          </w:p>
          <w:p w14:paraId="718A7781" w14:textId="77777777" w:rsidR="00A17F39" w:rsidRPr="009A4963" w:rsidRDefault="00BF2704">
            <w:pPr>
              <w:pStyle w:val="TableParagraph"/>
              <w:spacing w:before="100" w:beforeAutospacing="1" w:line="360" w:lineRule="auto"/>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首席风险官 吕仙英</w:t>
            </w:r>
          </w:p>
          <w:p w14:paraId="6817905D" w14:textId="77777777" w:rsidR="00A17F39" w:rsidRPr="009A4963" w:rsidRDefault="00BF2704">
            <w:pPr>
              <w:pStyle w:val="TableParagraph"/>
              <w:spacing w:before="100" w:beforeAutospacing="1" w:line="360" w:lineRule="auto"/>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独立董事 冯晓</w:t>
            </w:r>
          </w:p>
        </w:tc>
      </w:tr>
      <w:tr w:rsidR="00A17F39" w:rsidRPr="009A4963" w14:paraId="518F3016" w14:textId="77777777" w:rsidTr="00CD1DB9">
        <w:trPr>
          <w:trHeight w:val="2800"/>
          <w:jc w:val="center"/>
        </w:trPr>
        <w:tc>
          <w:tcPr>
            <w:tcW w:w="2830" w:type="dxa"/>
          </w:tcPr>
          <w:p w14:paraId="007CBEA9" w14:textId="77777777" w:rsidR="00A17F39" w:rsidRPr="009A4963" w:rsidRDefault="00A17F39">
            <w:pPr>
              <w:pStyle w:val="TableParagraph"/>
              <w:rPr>
                <w:rFonts w:asciiTheme="minorEastAsia" w:eastAsiaTheme="minorEastAsia" w:hAnsiTheme="minorEastAsia" w:cs="宋体"/>
                <w:b/>
                <w:bCs/>
                <w:sz w:val="24"/>
                <w:szCs w:val="24"/>
              </w:rPr>
            </w:pPr>
          </w:p>
          <w:p w14:paraId="4CAAFEC9" w14:textId="77777777" w:rsidR="00A17F39" w:rsidRPr="009A4963" w:rsidRDefault="00A17F39">
            <w:pPr>
              <w:pStyle w:val="TableParagraph"/>
              <w:rPr>
                <w:rFonts w:asciiTheme="minorEastAsia" w:eastAsiaTheme="minorEastAsia" w:hAnsiTheme="minorEastAsia" w:cs="宋体"/>
                <w:b/>
                <w:bCs/>
                <w:sz w:val="24"/>
                <w:szCs w:val="24"/>
              </w:rPr>
            </w:pPr>
          </w:p>
          <w:p w14:paraId="56FD30FF" w14:textId="77777777" w:rsidR="00A17F39" w:rsidRPr="009A4963" w:rsidRDefault="00A17F39">
            <w:pPr>
              <w:pStyle w:val="TableParagraph"/>
              <w:spacing w:before="5"/>
              <w:rPr>
                <w:rFonts w:asciiTheme="minorEastAsia" w:eastAsiaTheme="minorEastAsia" w:hAnsiTheme="minorEastAsia" w:cs="宋体"/>
                <w:b/>
                <w:bCs/>
                <w:sz w:val="24"/>
                <w:szCs w:val="24"/>
              </w:rPr>
            </w:pPr>
          </w:p>
          <w:p w14:paraId="4A4D92FC" w14:textId="77777777" w:rsidR="00A17F39" w:rsidRPr="009A4963" w:rsidRDefault="00BF2704">
            <w:pPr>
              <w:pStyle w:val="TableParagraph"/>
              <w:spacing w:before="1" w:line="499" w:lineRule="auto"/>
              <w:ind w:left="107" w:right="96"/>
              <w:rPr>
                <w:rFonts w:asciiTheme="minorEastAsia" w:eastAsiaTheme="minorEastAsia" w:hAnsiTheme="minorEastAsia" w:cs="宋体"/>
                <w:b/>
                <w:bCs/>
                <w:sz w:val="24"/>
                <w:szCs w:val="24"/>
              </w:rPr>
            </w:pPr>
            <w:r w:rsidRPr="009A4963">
              <w:rPr>
                <w:rFonts w:asciiTheme="minorEastAsia" w:eastAsiaTheme="minorEastAsia" w:hAnsiTheme="minorEastAsia" w:cs="宋体" w:hint="eastAsia"/>
                <w:b/>
                <w:bCs/>
                <w:sz w:val="24"/>
                <w:szCs w:val="24"/>
              </w:rPr>
              <w:t>投资者关系活动主要内容介绍</w:t>
            </w:r>
          </w:p>
        </w:tc>
        <w:tc>
          <w:tcPr>
            <w:tcW w:w="5695" w:type="dxa"/>
          </w:tcPr>
          <w:p w14:paraId="1D0C9A0D" w14:textId="1B9C7186" w:rsidR="00A17F39" w:rsidRPr="009A4963" w:rsidRDefault="00BF2704" w:rsidP="006D77C6">
            <w:pPr>
              <w:pStyle w:val="TableParagraph"/>
              <w:spacing w:line="360" w:lineRule="auto"/>
              <w:ind w:firstLineChars="200" w:firstLine="482"/>
              <w:jc w:val="both"/>
              <w:rPr>
                <w:rFonts w:asciiTheme="minorEastAsia" w:eastAsiaTheme="minorEastAsia" w:hAnsiTheme="minorEastAsia" w:cs="宋体"/>
                <w:b/>
                <w:sz w:val="24"/>
                <w:szCs w:val="24"/>
              </w:rPr>
            </w:pPr>
            <w:r w:rsidRPr="009A4963">
              <w:rPr>
                <w:rFonts w:asciiTheme="minorEastAsia" w:eastAsiaTheme="minorEastAsia" w:hAnsiTheme="minorEastAsia" w:cs="宋体"/>
                <w:b/>
                <w:sz w:val="24"/>
                <w:szCs w:val="24"/>
              </w:rPr>
              <w:t>1.自永安上市至今，我一直相信浙江企业会有很好的上升空间，请问葛董后期永安有什么发展方向，可以给股民信心！</w:t>
            </w:r>
          </w:p>
          <w:p w14:paraId="2942DC33" w14:textId="3682195A" w:rsidR="007E30C1"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答</w:t>
            </w:r>
            <w:r w:rsidR="001468C1">
              <w:rPr>
                <w:rFonts w:asciiTheme="minorEastAsia" w:eastAsiaTheme="minorEastAsia" w:hAnsiTheme="minorEastAsia" w:cs="宋体" w:hint="eastAsia"/>
                <w:sz w:val="24"/>
                <w:szCs w:val="24"/>
              </w:rPr>
              <w:t>：</w:t>
            </w:r>
            <w:r w:rsidRPr="009A4963">
              <w:rPr>
                <w:rFonts w:asciiTheme="minorEastAsia" w:eastAsiaTheme="minorEastAsia" w:hAnsiTheme="minorEastAsia" w:cs="宋体"/>
                <w:sz w:val="24"/>
                <w:szCs w:val="24"/>
              </w:rPr>
              <w:t xml:space="preserve">今年，公司力争在“大宗商品投行、大类资产配置专家、产融资源整合者”三大战略目标上取得开创性成果，加快推进衍生品投行建设。 </w:t>
            </w:r>
          </w:p>
          <w:p w14:paraId="741F5DD1" w14:textId="77777777" w:rsidR="006D77C6"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打造大宗商品投行，以资产发现、资产赋能、资产运用为资产端功能，以空间位移、时间位移、属性转换为商品端功能，有效发挥期现结合优势，精准挖掘、对接和满足产业链上下游实体企业的个性化需求。打造大类资产配置专家，汇聚投资、研究和私募孵化等效能，着重优化研究团队、提升核心主动投资能力，巩固和突出期货衍生品的投资特色，发掘更多的优质资产端和不同维度下的配置能力。打造产融资源整合者，在产业链、供应链上打造立体式的服务体系和交流机制，持续提升研究能力、主动投资能力和资本工具运用能力，更好把握周期运行规律，实现产业链、供应链资源的有效整合和运用。谢谢！</w:t>
            </w:r>
          </w:p>
          <w:p w14:paraId="213F7012" w14:textId="725F168E" w:rsidR="00A17F39" w:rsidRPr="006D77C6" w:rsidRDefault="00BF2704" w:rsidP="006D77C6">
            <w:pPr>
              <w:pStyle w:val="TableParagraph"/>
              <w:spacing w:line="360" w:lineRule="auto"/>
              <w:ind w:firstLineChars="200" w:firstLine="482"/>
              <w:jc w:val="both"/>
              <w:rPr>
                <w:rFonts w:asciiTheme="minorEastAsia" w:eastAsiaTheme="minorEastAsia" w:hAnsiTheme="minorEastAsia" w:cs="宋体"/>
                <w:sz w:val="24"/>
                <w:szCs w:val="24"/>
              </w:rPr>
            </w:pPr>
            <w:r w:rsidRPr="009A4963">
              <w:rPr>
                <w:rFonts w:asciiTheme="minorEastAsia" w:eastAsiaTheme="minorEastAsia" w:hAnsiTheme="minorEastAsia" w:cs="宋体"/>
                <w:b/>
                <w:sz w:val="24"/>
                <w:szCs w:val="24"/>
              </w:rPr>
              <w:t>2.2023年党中央首次提出金融强国建设目标，这对期货行业有什么影响吗？</w:t>
            </w:r>
          </w:p>
          <w:p w14:paraId="65BB6F89" w14:textId="62B2D4E7" w:rsidR="007E30C1"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答:金融强国建设目标的提出，将金融行业的地位提升到了国家战略的高度，期货市场作为金融市场的重要组成部分，有助于推动期货市场的规范化和专业化发展，提高期货市场的整体竞争力。期货行业需要抓住机遇、迎接挑战，不断提高自身的发展水平和竞争力，为实现金融强国目标做出积极贡献。</w:t>
            </w:r>
          </w:p>
          <w:p w14:paraId="386BCE3C" w14:textId="77777777" w:rsidR="007E30C1"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2023年10月召开的中央金融工作会议提出了“切实加强对重大战略、重点领域和薄弱环节的优质金融服务”的要求。2024年1月，省部级主要领导干部推动</w:t>
            </w:r>
            <w:r w:rsidRPr="009A4963">
              <w:rPr>
                <w:rFonts w:asciiTheme="minorEastAsia" w:eastAsiaTheme="minorEastAsia" w:hAnsiTheme="minorEastAsia" w:cs="宋体"/>
                <w:sz w:val="24"/>
                <w:szCs w:val="24"/>
              </w:rPr>
              <w:lastRenderedPageBreak/>
              <w:t xml:space="preserve">金融高质量发展专题研讨班开班式传递出我国推动金融高质量发展、建设金融强国的重要信号。此后，中国人民银行、国家金融监督管理总局、中国证监会、国资委等多部门相继出手稳定市场预期，从各层面推动了金融市场迈向高质量发展。中国证监会2024年系统工作会议提出：“探索中国特色期货监管制度和业务模式，健全商品期货品种体系，着力提升服务高质量发展的能力和水平。”均为期货公司的高质量发展指明方向。 </w:t>
            </w:r>
          </w:p>
          <w:p w14:paraId="74746930" w14:textId="77777777" w:rsidR="006D77C6" w:rsidRDefault="00BF2704" w:rsidP="006D77C6">
            <w:pPr>
              <w:pStyle w:val="TableParagraph"/>
              <w:spacing w:line="360" w:lineRule="auto"/>
              <w:ind w:firstLineChars="200" w:firstLine="480"/>
              <w:jc w:val="both"/>
              <w:rPr>
                <w:rFonts w:asciiTheme="minorEastAsia" w:eastAsiaTheme="minorEastAsia" w:hAnsiTheme="minorEastAsia" w:cs="宋体"/>
                <w:b/>
                <w:sz w:val="24"/>
                <w:szCs w:val="24"/>
              </w:rPr>
            </w:pPr>
            <w:r w:rsidRPr="009A4963">
              <w:rPr>
                <w:rFonts w:asciiTheme="minorEastAsia" w:eastAsiaTheme="minorEastAsia" w:hAnsiTheme="minorEastAsia" w:cs="宋体"/>
                <w:sz w:val="24"/>
                <w:szCs w:val="24"/>
              </w:rPr>
              <w:t>金融强国还强调了金融是国民经济的血脉，坚持把金融服务实体经济作为根本宗旨，这一宗旨进一步增强了期货公司的发展动力。期货行业应坚持“软文化”与“硬制度”双管齐下，夯实风险控制的根基。一方面，进一步把思想和行动统一到中央金融工作会议的要求和部署上，结合“合规、诚信、专业、稳健、担当”的期货行业文化，自觉维护和提升行业声誉。另一方面，要全面强化机构监管、行为监管、功能监管、穿透式监管和持续监管，消除监管空白和盲区，推动期货经营机构完善公司治理体系，将稳健经营、审慎经营贯穿始终。谢谢！</w:t>
            </w:r>
          </w:p>
          <w:p w14:paraId="390C0BD7" w14:textId="0F135A1B" w:rsidR="00A17F39" w:rsidRPr="006D77C6" w:rsidRDefault="00BF2704" w:rsidP="006D77C6">
            <w:pPr>
              <w:pStyle w:val="TableParagraph"/>
              <w:spacing w:line="360" w:lineRule="auto"/>
              <w:ind w:firstLineChars="200" w:firstLine="482"/>
              <w:jc w:val="both"/>
              <w:rPr>
                <w:rFonts w:asciiTheme="minorEastAsia" w:eastAsiaTheme="minorEastAsia" w:hAnsiTheme="minorEastAsia" w:cs="宋体"/>
                <w:sz w:val="24"/>
                <w:szCs w:val="24"/>
              </w:rPr>
            </w:pPr>
            <w:r w:rsidRPr="009A4963">
              <w:rPr>
                <w:rFonts w:asciiTheme="minorEastAsia" w:eastAsiaTheme="minorEastAsia" w:hAnsiTheme="minorEastAsia" w:cs="宋体"/>
                <w:b/>
                <w:sz w:val="24"/>
                <w:szCs w:val="24"/>
              </w:rPr>
              <w:t>3.2023年期货行业整体运行情况如何？</w:t>
            </w:r>
          </w:p>
          <w:p w14:paraId="452F298F" w14:textId="3D5A2A51" w:rsidR="007E30C1"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答:一方面，受二级资本市场下行和行业竞争的加剧，我国期货公司整体经营承压。据中国期货行业协会公布的数据显示，全国150家期货公司（单体）2023年合计营业收入和净利润分别为400.90亿元、99.03亿元，同比分别下降0.17%、9.88%。和2022年变动幅度相比，行业收入和利润降幅均已大幅收窄，收入已经基本持平。</w:t>
            </w:r>
          </w:p>
          <w:p w14:paraId="1E2F1A50" w14:textId="1AD3AA0B" w:rsidR="00A17F39"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 xml:space="preserve"> 另一方面，期货市场自身发展的韧性不断增强，规模和品种数量快速提升。从交易量看，2023年，全国期货市场累计成交量约85.01亿手，累计成交额约568.51万亿元，同比分别增长25.60%和6.28%。期货市场资金规模一度突破1.8万亿元，创历史新高。从品种体系看，期货行业的品种体系也在不断地丰富。中国期货市场已经构建出完整的大宗商品品种体系。截至2023年底，累计上市期货期权新品种21个，其中有7个期货新品种和14个期权新品种，总品种数达到131个，已经全面覆盖农业、工业产业的初级、中间、终端产品。期货品种的广覆盖既有利于市场功能的发挥、上下游纵向体系的形成，也有利于稳定实体产业链和企业的行业前瞻性布局。谢谢！</w:t>
            </w:r>
          </w:p>
          <w:p w14:paraId="1011356C" w14:textId="568179AE" w:rsidR="00A17F39" w:rsidRPr="009A4963" w:rsidRDefault="00BF2704" w:rsidP="006D77C6">
            <w:pPr>
              <w:pStyle w:val="TableParagraph"/>
              <w:spacing w:line="360" w:lineRule="auto"/>
              <w:ind w:firstLineChars="200" w:firstLine="482"/>
              <w:jc w:val="both"/>
              <w:rPr>
                <w:rFonts w:asciiTheme="minorEastAsia" w:eastAsiaTheme="minorEastAsia" w:hAnsiTheme="minorEastAsia" w:cs="宋体"/>
                <w:b/>
                <w:sz w:val="24"/>
                <w:szCs w:val="24"/>
              </w:rPr>
            </w:pPr>
            <w:r w:rsidRPr="009A4963">
              <w:rPr>
                <w:rFonts w:asciiTheme="minorEastAsia" w:eastAsiaTheme="minorEastAsia" w:hAnsiTheme="minorEastAsia" w:cs="宋体"/>
                <w:b/>
                <w:sz w:val="24"/>
                <w:szCs w:val="24"/>
              </w:rPr>
              <w:t>4.请问公司2023年的业绩情况如何？净利润增长的原因是什么？是否可持续？</w:t>
            </w:r>
          </w:p>
          <w:p w14:paraId="12D14C8A" w14:textId="02720C26" w:rsidR="005C6A07"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 xml:space="preserve">答:2023年公司实现营业收入238.23 亿元；归母净利润7.29 亿元，同比增长8.34%；加权平均净资产收益率达5.97%，同比增加0.26个百分点。在行业净利润整体下降近10%的情况下，公司实现逆势增长态势。 </w:t>
            </w:r>
          </w:p>
          <w:p w14:paraId="31F239BB" w14:textId="574B4A15" w:rsidR="006D77C6"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这得益于公司独具特色的生态布局，其核心在于通过多元化业务板块的协同发展与相互赋能，有效地抵御单一业务领域的市场波动，为公司的长期稳健与高质量发展奠定了坚实基础。比如，公司2006年首次出海，布局境外业务，一直以来秉承稳健经营，未出现过重大风险。2023年，我们的境外业务净利润折合人民币1.37亿元，同比增长163%，创下历史新高。多板块的业务协同、有竞争力的商业模式、</w:t>
            </w:r>
            <w:r w:rsidR="008F3A89">
              <w:rPr>
                <w:rFonts w:asciiTheme="minorEastAsia" w:eastAsiaTheme="minorEastAsia" w:hAnsiTheme="minorEastAsia" w:cs="宋体"/>
                <w:sz w:val="24"/>
                <w:szCs w:val="24"/>
              </w:rPr>
              <w:t>良好的客户基础，叠加前瞻性的生态布局，相信公司盈利会表现出较强</w:t>
            </w:r>
            <w:r w:rsidR="00977FA5">
              <w:rPr>
                <w:rFonts w:asciiTheme="minorEastAsia" w:eastAsiaTheme="minorEastAsia" w:hAnsiTheme="minorEastAsia" w:cs="宋体" w:hint="eastAsia"/>
                <w:sz w:val="24"/>
                <w:szCs w:val="24"/>
              </w:rPr>
              <w:t>地</w:t>
            </w:r>
            <w:r w:rsidRPr="009A4963">
              <w:rPr>
                <w:rFonts w:asciiTheme="minorEastAsia" w:eastAsiaTheme="minorEastAsia" w:hAnsiTheme="minorEastAsia" w:cs="宋体"/>
                <w:sz w:val="24"/>
                <w:szCs w:val="24"/>
              </w:rPr>
              <w:t>可持续性。谢谢！</w:t>
            </w:r>
          </w:p>
          <w:p w14:paraId="1E0EC9AD" w14:textId="295EB92A" w:rsidR="00A17F39" w:rsidRPr="006D77C6" w:rsidRDefault="00BF2704" w:rsidP="006D77C6">
            <w:pPr>
              <w:pStyle w:val="TableParagraph"/>
              <w:spacing w:line="360" w:lineRule="auto"/>
              <w:ind w:firstLineChars="200" w:firstLine="482"/>
              <w:jc w:val="both"/>
              <w:rPr>
                <w:rFonts w:asciiTheme="minorEastAsia" w:eastAsiaTheme="minorEastAsia" w:hAnsiTheme="minorEastAsia" w:cs="宋体"/>
                <w:sz w:val="24"/>
                <w:szCs w:val="24"/>
              </w:rPr>
            </w:pPr>
            <w:r w:rsidRPr="009A4963">
              <w:rPr>
                <w:rFonts w:asciiTheme="minorEastAsia" w:eastAsiaTheme="minorEastAsia" w:hAnsiTheme="minorEastAsia" w:cs="宋体"/>
                <w:b/>
                <w:sz w:val="24"/>
                <w:szCs w:val="24"/>
              </w:rPr>
              <w:t>5.资产负债率高达78%，是否存在资金链断裂风险？</w:t>
            </w:r>
          </w:p>
          <w:p w14:paraId="385BAB78" w14:textId="106A9D6F" w:rsidR="00A17F39"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答:公司资产和负债包含客户资金，剔除客户资金后，公司资产负债率为45.76%，流动性良好。同时，公司持续加强与银行合作，扩大公司授信，保持授信规模稳定，并通过日常流动性跟踪、大额资金需求预约管理等机制，拟定融资策略并进行动态调整，拓展多元化的融资渠道，定期评估融资的结构和规模对流动性风险的影响，持续优化公司资产负债结构，保持健康的资产负债率水平。谢谢</w:t>
            </w:r>
            <w:r w:rsidR="0055521F" w:rsidRPr="009A4963">
              <w:rPr>
                <w:rFonts w:asciiTheme="minorEastAsia" w:eastAsiaTheme="minorEastAsia" w:hAnsiTheme="minorEastAsia" w:cs="宋体"/>
                <w:sz w:val="24"/>
                <w:szCs w:val="24"/>
              </w:rPr>
              <w:t>！</w:t>
            </w:r>
          </w:p>
          <w:p w14:paraId="2FCDE839" w14:textId="4C5545A0" w:rsidR="00A17F39" w:rsidRPr="009A4963" w:rsidRDefault="00BF2704" w:rsidP="006D77C6">
            <w:pPr>
              <w:pStyle w:val="TableParagraph"/>
              <w:spacing w:line="360" w:lineRule="auto"/>
              <w:ind w:firstLineChars="200" w:firstLine="482"/>
              <w:jc w:val="both"/>
              <w:rPr>
                <w:rFonts w:asciiTheme="minorEastAsia" w:eastAsiaTheme="minorEastAsia" w:hAnsiTheme="minorEastAsia" w:cs="宋体"/>
                <w:b/>
                <w:sz w:val="24"/>
                <w:szCs w:val="24"/>
              </w:rPr>
            </w:pPr>
            <w:r w:rsidRPr="009A4963">
              <w:rPr>
                <w:rFonts w:asciiTheme="minorEastAsia" w:eastAsiaTheme="minorEastAsia" w:hAnsiTheme="minorEastAsia" w:cs="宋体"/>
                <w:b/>
                <w:sz w:val="24"/>
                <w:szCs w:val="24"/>
              </w:rPr>
              <w:t>6.2024年一季度的业绩情况如何？业绩变动的原因是什么？</w:t>
            </w:r>
          </w:p>
          <w:p w14:paraId="38D1E19E" w14:textId="77777777" w:rsidR="006D77C6"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答:受证券市场波动带来的公司金融产品和股权投资的收益下降，以及交易所减收政策收紧等影响，公司2024年一季度营业收入为43.4亿元，同比下降19.12%；归母净利润为0.8亿元，同比下降62.58%。谢谢！</w:t>
            </w:r>
          </w:p>
          <w:p w14:paraId="3EFAFED9" w14:textId="31161FE2" w:rsidR="00A17F39" w:rsidRPr="006D77C6" w:rsidRDefault="00BF2704" w:rsidP="006D77C6">
            <w:pPr>
              <w:pStyle w:val="TableParagraph"/>
              <w:spacing w:line="360" w:lineRule="auto"/>
              <w:ind w:firstLineChars="200" w:firstLine="482"/>
              <w:jc w:val="both"/>
              <w:rPr>
                <w:rFonts w:asciiTheme="minorEastAsia" w:eastAsiaTheme="minorEastAsia" w:hAnsiTheme="minorEastAsia" w:cs="宋体"/>
                <w:sz w:val="24"/>
                <w:szCs w:val="24"/>
              </w:rPr>
            </w:pPr>
            <w:r w:rsidRPr="009A4963">
              <w:rPr>
                <w:rFonts w:asciiTheme="minorEastAsia" w:eastAsiaTheme="minorEastAsia" w:hAnsiTheme="minorEastAsia" w:cs="宋体"/>
                <w:b/>
                <w:sz w:val="24"/>
                <w:szCs w:val="24"/>
              </w:rPr>
              <w:t>7.请问2023年公司的利润分配方案是什么，是否进行现金分红？</w:t>
            </w:r>
          </w:p>
          <w:p w14:paraId="3E0FA8B8" w14:textId="17F68654" w:rsidR="00A17F39"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答:公司2023年度利润分配采用现金分红方式，拟每10股派发现金红利0.81元（含税），分红金额共计1.18亿元。加上2023年前三季度已派发的现金红利1.02亿元，2023年度公司的分红总额约为2.20亿元，占公司2023年度合并报表归属于母公司股东的净利润比例为30.17%。谢谢！</w:t>
            </w:r>
          </w:p>
          <w:p w14:paraId="79C8652B" w14:textId="08EDADE8" w:rsidR="00A17F39" w:rsidRPr="009A4963" w:rsidRDefault="00BF2704" w:rsidP="006D77C6">
            <w:pPr>
              <w:pStyle w:val="TableParagraph"/>
              <w:spacing w:line="360" w:lineRule="auto"/>
              <w:ind w:firstLineChars="200" w:firstLine="482"/>
              <w:jc w:val="both"/>
              <w:rPr>
                <w:rFonts w:asciiTheme="minorEastAsia" w:eastAsiaTheme="minorEastAsia" w:hAnsiTheme="minorEastAsia" w:cs="宋体"/>
                <w:b/>
                <w:sz w:val="24"/>
                <w:szCs w:val="24"/>
              </w:rPr>
            </w:pPr>
            <w:r w:rsidRPr="009A4963">
              <w:rPr>
                <w:rFonts w:asciiTheme="minorEastAsia" w:eastAsiaTheme="minorEastAsia" w:hAnsiTheme="minorEastAsia" w:cs="宋体"/>
                <w:b/>
                <w:sz w:val="24"/>
                <w:szCs w:val="24"/>
              </w:rPr>
              <w:t>8.2023年国内期货市场整体权益承压下行，年末余额也是最近五年来的首次下降。请问贵公司的期货经纪业务表现如何？</w:t>
            </w:r>
          </w:p>
          <w:p w14:paraId="17DE2A05" w14:textId="1AF1EF4F" w:rsidR="00A17F39"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答:公司在2023年致力于不断地提升经纪业务的服务质量和效率，通过创新、完善产业服务体系以及期货数智化运营体系，实施多样化的激励政策和客户服务专项活动，促进经纪业务特色化转型发展。从经营效果看，2023年，以双边计算，公司期货经纪业务实现境内期货代理交易2.34亿手，成交金额达到15.92万亿元，期末客户权益达到457.32亿元，相较于去年同期，期末及全年日均权益均有提升。谢谢！</w:t>
            </w:r>
          </w:p>
          <w:p w14:paraId="40FEBDFC" w14:textId="5AF26FED" w:rsidR="00A17F39" w:rsidRPr="009A4963" w:rsidRDefault="00BF2704" w:rsidP="006D77C6">
            <w:pPr>
              <w:pStyle w:val="TableParagraph"/>
              <w:spacing w:line="360" w:lineRule="auto"/>
              <w:ind w:firstLineChars="200" w:firstLine="482"/>
              <w:jc w:val="both"/>
              <w:rPr>
                <w:rFonts w:asciiTheme="minorEastAsia" w:eastAsiaTheme="minorEastAsia" w:hAnsiTheme="minorEastAsia" w:cs="宋体"/>
                <w:b/>
                <w:sz w:val="24"/>
                <w:szCs w:val="24"/>
              </w:rPr>
            </w:pPr>
            <w:r w:rsidRPr="009A4963">
              <w:rPr>
                <w:rFonts w:asciiTheme="minorEastAsia" w:eastAsiaTheme="minorEastAsia" w:hAnsiTheme="minorEastAsia" w:cs="宋体"/>
                <w:b/>
                <w:sz w:val="24"/>
                <w:szCs w:val="24"/>
              </w:rPr>
              <w:t>9.2023年期货风险管理行业竞争加剧，贸易利润率普遍下行。请问永安期货的风险管理业务表现如何？</w:t>
            </w:r>
          </w:p>
          <w:p w14:paraId="3E511726" w14:textId="47F1EDFD" w:rsidR="005C6A07"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答:风险管理业务方面，公司构建了基差贸易业务、场外衍生品业务和做市业务齐头并进的发展格局，2023年，风险管理业务整体实现营业收入223.32亿元，营业利润2.03亿元，净利润行业占比20%，位居行业前列，风险管理子公司永安资本连续3年入选中国服务业企业500强。</w:t>
            </w:r>
          </w:p>
          <w:p w14:paraId="07CB40EB" w14:textId="6C48C241" w:rsidR="00A17F39"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具体来看，基差贸易业务方面突出传统品种优势，拓展新兴品种布局，充分发挥贸易商厂库作用，是风险管理子公司利润的主要来源。场外衍生品业务方面，商品类和权益类都有所发力，新增客户数量1,400余家，同比增长约65%，新增名义本金1,600余亿元，同比增长约22%。做市业务方面，通过优化策略等举措，提升了做市业务的利润，同时，新增工业硅期货、华夏科创50ETF期权、易方达科创50ETF期权等7个做市品种资格，推动业务大规模增长。谢谢！</w:t>
            </w:r>
          </w:p>
          <w:p w14:paraId="1B863F14" w14:textId="4433AEA1" w:rsidR="00A17F39" w:rsidRPr="009A4963" w:rsidRDefault="00BF2704" w:rsidP="006D77C6">
            <w:pPr>
              <w:pStyle w:val="TableParagraph"/>
              <w:spacing w:line="360" w:lineRule="auto"/>
              <w:ind w:firstLineChars="200" w:firstLine="482"/>
              <w:jc w:val="both"/>
              <w:rPr>
                <w:rFonts w:asciiTheme="minorEastAsia" w:eastAsiaTheme="minorEastAsia" w:hAnsiTheme="minorEastAsia" w:cs="宋体"/>
                <w:b/>
                <w:sz w:val="24"/>
                <w:szCs w:val="24"/>
              </w:rPr>
            </w:pPr>
            <w:r w:rsidRPr="009A4963">
              <w:rPr>
                <w:rFonts w:asciiTheme="minorEastAsia" w:eastAsiaTheme="minorEastAsia" w:hAnsiTheme="minorEastAsia" w:cs="宋体"/>
                <w:b/>
                <w:sz w:val="24"/>
                <w:szCs w:val="24"/>
              </w:rPr>
              <w:t>10.中央金融工作会议提出要着力推进金融高水平开放，这对公司的境外业务有什么影响？</w:t>
            </w:r>
          </w:p>
          <w:p w14:paraId="082EB597" w14:textId="0A8608C7" w:rsidR="00A17F39"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答:金融高水平开放将为公司境外金融服务业务提供更广阔的市场空间，公司会在严守合规底线的基础上，通过人财撬动、跨境带动、产融联动、多点启动、科技推动，推动境外金融服务业务的快速发展。2023年，公司境外业务取得了显著成果，实现营业收入2.85亿元，同比增长39%，营业利润达到1.37亿元，同比增长163%，充分展现了公司全球化布局的巨大潜力和良好的发展势头。谢谢！</w:t>
            </w:r>
          </w:p>
          <w:p w14:paraId="02F914BC" w14:textId="2BCEE123" w:rsidR="00A17F39" w:rsidRPr="009A4963" w:rsidRDefault="00BF2704" w:rsidP="006D77C6">
            <w:pPr>
              <w:pStyle w:val="TableParagraph"/>
              <w:spacing w:line="360" w:lineRule="auto"/>
              <w:ind w:firstLineChars="200" w:firstLine="482"/>
              <w:jc w:val="both"/>
              <w:rPr>
                <w:rFonts w:asciiTheme="minorEastAsia" w:eastAsiaTheme="minorEastAsia" w:hAnsiTheme="minorEastAsia" w:cs="宋体"/>
                <w:b/>
                <w:sz w:val="24"/>
                <w:szCs w:val="24"/>
              </w:rPr>
            </w:pPr>
            <w:r w:rsidRPr="009A4963">
              <w:rPr>
                <w:rFonts w:asciiTheme="minorEastAsia" w:eastAsiaTheme="minorEastAsia" w:hAnsiTheme="minorEastAsia" w:cs="宋体"/>
                <w:b/>
                <w:sz w:val="24"/>
                <w:szCs w:val="24"/>
              </w:rPr>
              <w:t>11.请问公司金融资产规模如何？投资收益是否会受市场影响产生较大波动，如何做好风险管理？</w:t>
            </w:r>
          </w:p>
          <w:p w14:paraId="0977E06A" w14:textId="56E904D1" w:rsidR="00901564"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答:从合并口径看，截至2023年12月31日，公司交易性金融资产规模为110.53亿元，覆盖的业务较多，主要包括基差贸易及场外衍生品业务对冲头寸、做市业务头寸、公司理财产品投资及并表产品的金融资产投资等，并非简单地风险头寸概念。</w:t>
            </w:r>
          </w:p>
          <w:p w14:paraId="289D3096" w14:textId="58B74250" w:rsidR="00A17F39"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针对不同业务，公司制定了严格内控制度，设定不同的风控制表，并进行实时跟踪监测，确保风险可控，运行稳定。投资者比较关心的理财产品投资方面，公司立足投研优势，通过灵活的大类资产配置策略和科学的投资决策机制，紧密跟踪市场变化，动态调整投资仓位，尽可能规避或缓解短期市场行情波动对公司投资组合的负面影响，并对产品投资的投前评审、投中监控、投后管理等环节进行全流程风险管理。这些年，公司理财投资一方面跑赢了市场主要指数，为公司利润做了贡献；另一方面，公司的理财投资也促进了相关机构和公司其他业务的融合，推进了生态建设。谢谢！</w:t>
            </w:r>
          </w:p>
          <w:p w14:paraId="315DBE7E" w14:textId="3D1CDB6F" w:rsidR="00A17F39" w:rsidRPr="009A4963" w:rsidRDefault="00BF2704" w:rsidP="006D77C6">
            <w:pPr>
              <w:pStyle w:val="TableParagraph"/>
              <w:spacing w:line="360" w:lineRule="auto"/>
              <w:ind w:firstLineChars="200" w:firstLine="482"/>
              <w:jc w:val="both"/>
              <w:rPr>
                <w:rFonts w:asciiTheme="minorEastAsia" w:eastAsiaTheme="minorEastAsia" w:hAnsiTheme="minorEastAsia" w:cs="宋体"/>
                <w:b/>
                <w:sz w:val="24"/>
                <w:szCs w:val="24"/>
              </w:rPr>
            </w:pPr>
            <w:r w:rsidRPr="009A4963">
              <w:rPr>
                <w:rFonts w:asciiTheme="minorEastAsia" w:eastAsiaTheme="minorEastAsia" w:hAnsiTheme="minorEastAsia" w:cs="宋体"/>
                <w:b/>
                <w:sz w:val="24"/>
                <w:szCs w:val="24"/>
              </w:rPr>
              <w:t>12.金融人工智能方面，公司有何布局？</w:t>
            </w:r>
          </w:p>
          <w:p w14:paraId="7461A3A3" w14:textId="779E50F7" w:rsidR="00A17F39"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答:公司深刻认识到数字金融的战略价值，正积极投入研发，力求将尖端技术无缝融入服务与产品中。目前，公司正全力推进“数智永安”计划。通过加速数据中台的建设，以业务赋能为核心目标，不断提升数据管理和应用能力，让“数据”这一第五类生产要素释放更大价值。公司将打造一系列具有标志性的数字化成果，聚焦数智监督、数智财富、数智期现等领域，以提升业务的数字化水平。同时，公司将强化科技在运营管理中的应用，通过智能化手段降低操作风险，提升管理效率，以应对日益复杂的业务挑战。谢谢！</w:t>
            </w:r>
          </w:p>
          <w:p w14:paraId="60CFA970" w14:textId="23C110B3" w:rsidR="00A17F39" w:rsidRPr="009A4963" w:rsidRDefault="00BF2704" w:rsidP="006D77C6">
            <w:pPr>
              <w:pStyle w:val="TableParagraph"/>
              <w:spacing w:line="360" w:lineRule="auto"/>
              <w:ind w:firstLineChars="200" w:firstLine="482"/>
              <w:jc w:val="both"/>
              <w:rPr>
                <w:rFonts w:asciiTheme="minorEastAsia" w:eastAsiaTheme="minorEastAsia" w:hAnsiTheme="minorEastAsia" w:cs="宋体"/>
                <w:b/>
                <w:sz w:val="24"/>
                <w:szCs w:val="24"/>
              </w:rPr>
            </w:pPr>
            <w:r w:rsidRPr="009A4963">
              <w:rPr>
                <w:rFonts w:asciiTheme="minorEastAsia" w:eastAsiaTheme="minorEastAsia" w:hAnsiTheme="minorEastAsia" w:cs="宋体"/>
                <w:b/>
                <w:sz w:val="24"/>
                <w:szCs w:val="24"/>
              </w:rPr>
              <w:t>13.有关注到公司在2023年开展了战略投资业务，请问有什么进展吗？</w:t>
            </w:r>
          </w:p>
          <w:p w14:paraId="19A40608" w14:textId="194050B1" w:rsidR="00A17F39"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答:2023年，公司战略投资业务正式落地，围绕生猪、新能源等重点产业链展开精准布局，成功落地3单战略投资项目，总投资金额达到了6.78亿元。此外，公司与4家产业链领军企业建立了实质性的业务合作关系，为未来产业链上下游的深度协同合作奠定了坚实基础。下一步，公司将坚定推进战略投资布局，将产业链投资与资本工具运用相结合，加速产融资源整合生态建设。谢谢！</w:t>
            </w:r>
          </w:p>
          <w:p w14:paraId="44881A4D" w14:textId="4C453345" w:rsidR="00A17F39" w:rsidRPr="009A4963" w:rsidRDefault="00BF2704" w:rsidP="006D77C6">
            <w:pPr>
              <w:pStyle w:val="TableParagraph"/>
              <w:spacing w:line="360" w:lineRule="auto"/>
              <w:ind w:firstLineChars="200" w:firstLine="482"/>
              <w:jc w:val="both"/>
              <w:rPr>
                <w:rFonts w:asciiTheme="minorEastAsia" w:eastAsiaTheme="minorEastAsia" w:hAnsiTheme="minorEastAsia" w:cs="宋体"/>
                <w:b/>
                <w:sz w:val="24"/>
                <w:szCs w:val="24"/>
              </w:rPr>
            </w:pPr>
            <w:r w:rsidRPr="009A4963">
              <w:rPr>
                <w:rFonts w:asciiTheme="minorEastAsia" w:eastAsiaTheme="minorEastAsia" w:hAnsiTheme="minorEastAsia" w:cs="宋体"/>
                <w:b/>
                <w:sz w:val="24"/>
                <w:szCs w:val="24"/>
              </w:rPr>
              <w:t>14.对于股价上市后就跌跌不休 不断创历史最低，并且下跌幅度大于其他期货上市公司，公司是否有行动，股东高管增持，公司回购均没有，公司是否在上市后就不在乎股价问题了，股价暴跌是否说明存在欺诈上市</w:t>
            </w:r>
            <w:r w:rsidR="00C371A2" w:rsidRPr="009A4963">
              <w:rPr>
                <w:rFonts w:asciiTheme="minorEastAsia" w:eastAsiaTheme="minorEastAsia" w:hAnsiTheme="minorEastAsia" w:cs="宋体" w:hint="eastAsia"/>
                <w:b/>
                <w:sz w:val="24"/>
                <w:szCs w:val="24"/>
              </w:rPr>
              <w:t>。</w:t>
            </w:r>
          </w:p>
          <w:p w14:paraId="3465DB0F" w14:textId="3E06C61A" w:rsidR="00A17F39"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答:公司始终严格遵守相关法律法规及交易所规则开展信息披露工作，保证信息披露的真实、准确、完整，同时密切关注自身股价及市值波动情况，并围绕加强经营管理、提升盈利水平，落实发展战略、推动改革创新，加强资本运营、增强市场互动，提升品牌价值等方面开展工作，致力于通过良好的经营业绩回馈公司股东，提振市场信心，体现公司价值，与投资者共同树立长期投资和价值投资的理念。“回购、增持”等举措需要综合考虑公司的财务状况、市场情况、监管要求等多方面因素，公司未来若有回购或增持股份计划，将及时履行信息披露义务。谢谢！</w:t>
            </w:r>
          </w:p>
          <w:p w14:paraId="4291952F" w14:textId="5B24553C" w:rsidR="00A17F39" w:rsidRPr="009A4963" w:rsidRDefault="00BF2704" w:rsidP="006D77C6">
            <w:pPr>
              <w:pStyle w:val="TableParagraph"/>
              <w:spacing w:line="360" w:lineRule="auto"/>
              <w:ind w:firstLineChars="200" w:firstLine="482"/>
              <w:jc w:val="both"/>
              <w:rPr>
                <w:rFonts w:asciiTheme="minorEastAsia" w:eastAsiaTheme="minorEastAsia" w:hAnsiTheme="minorEastAsia" w:cs="宋体"/>
                <w:b/>
                <w:sz w:val="24"/>
                <w:szCs w:val="24"/>
              </w:rPr>
            </w:pPr>
            <w:r w:rsidRPr="009A4963">
              <w:rPr>
                <w:rFonts w:asciiTheme="minorEastAsia" w:eastAsiaTheme="minorEastAsia" w:hAnsiTheme="minorEastAsia" w:cs="宋体"/>
                <w:b/>
                <w:sz w:val="24"/>
                <w:szCs w:val="24"/>
              </w:rPr>
              <w:t>15.目前期货公司都在布局投资者教育，以此培育市场、发展客户。请问公司在投资者教育方面做出了哪些努力？取得了怎样的成果？</w:t>
            </w:r>
          </w:p>
          <w:p w14:paraId="6614F188" w14:textId="3396685F" w:rsidR="00A17F39"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答:公司拥有完善的投资者教育平台和客户服务体系。2023年，公司共开展投资者教育活动</w:t>
            </w:r>
            <w:r w:rsidR="001468C1">
              <w:rPr>
                <w:rFonts w:asciiTheme="minorEastAsia" w:eastAsiaTheme="minorEastAsia" w:hAnsiTheme="minorEastAsia" w:cs="宋体"/>
                <w:sz w:val="24"/>
                <w:szCs w:val="24"/>
              </w:rPr>
              <w:t>421</w:t>
            </w:r>
            <w:r w:rsidRPr="009A4963">
              <w:rPr>
                <w:rFonts w:asciiTheme="minorEastAsia" w:eastAsiaTheme="minorEastAsia" w:hAnsiTheme="minorEastAsia" w:cs="宋体"/>
                <w:sz w:val="24"/>
                <w:szCs w:val="24"/>
              </w:rPr>
              <w:t>场，同比增长36.69%，遍布全国</w:t>
            </w:r>
            <w:r w:rsidR="001468C1">
              <w:rPr>
                <w:rFonts w:asciiTheme="minorEastAsia" w:eastAsiaTheme="minorEastAsia" w:hAnsiTheme="minorEastAsia" w:cs="宋体"/>
                <w:sz w:val="24"/>
                <w:szCs w:val="24"/>
              </w:rPr>
              <w:t>107</w:t>
            </w:r>
            <w:r w:rsidRPr="009A4963">
              <w:rPr>
                <w:rFonts w:asciiTheme="minorEastAsia" w:eastAsiaTheme="minorEastAsia" w:hAnsiTheme="minorEastAsia" w:cs="宋体"/>
                <w:sz w:val="24"/>
                <w:szCs w:val="24"/>
              </w:rPr>
              <w:t>个城市，服务投资者超2 万人。针对机构客户与专业投资客户，公司开展的“钱潮会”等专项活动，促进了公司与客户、客户与客户之间的沟通交流;针对产业客户，公司迭代升级产业委员会，打造</w:t>
            </w:r>
            <w:r w:rsidR="00F666BD">
              <w:rPr>
                <w:rFonts w:asciiTheme="minorEastAsia" w:eastAsiaTheme="minorEastAsia" w:hAnsiTheme="minorEastAsia" w:cs="宋体"/>
                <w:sz w:val="24"/>
                <w:szCs w:val="24"/>
              </w:rPr>
              <w:t>17</w:t>
            </w:r>
            <w:r w:rsidRPr="009A4963">
              <w:rPr>
                <w:rFonts w:asciiTheme="minorEastAsia" w:eastAsiaTheme="minorEastAsia" w:hAnsiTheme="minorEastAsia" w:cs="宋体"/>
                <w:sz w:val="24"/>
                <w:szCs w:val="24"/>
              </w:rPr>
              <w:t>家品种委员会，汇聚产业服务力量，通过品种推介会、专题培训、上门授课、组织调研等形式，引导产业客户树立成熟的风险管控理念，协助建立套期保值工作制度;针对中小投资者，公司重点培育客户的风险管理能力、资金管理能力、交易技术等，将投资者教育融入日常展业工作，为投资者提供全方位、专业化服务。谢谢！</w:t>
            </w:r>
            <w:bookmarkStart w:id="0" w:name="_GoBack"/>
            <w:bookmarkEnd w:id="0"/>
          </w:p>
          <w:p w14:paraId="4C82D6DB" w14:textId="557F2B71" w:rsidR="00A17F39" w:rsidRPr="009A4963" w:rsidRDefault="00BF2704" w:rsidP="006D77C6">
            <w:pPr>
              <w:pStyle w:val="TableParagraph"/>
              <w:spacing w:line="360" w:lineRule="auto"/>
              <w:ind w:firstLineChars="200" w:firstLine="482"/>
              <w:jc w:val="both"/>
              <w:rPr>
                <w:rFonts w:asciiTheme="minorEastAsia" w:eastAsiaTheme="minorEastAsia" w:hAnsiTheme="minorEastAsia" w:cs="宋体"/>
                <w:b/>
                <w:sz w:val="24"/>
                <w:szCs w:val="24"/>
              </w:rPr>
            </w:pPr>
            <w:r w:rsidRPr="009A4963">
              <w:rPr>
                <w:rFonts w:asciiTheme="minorEastAsia" w:eastAsiaTheme="minorEastAsia" w:hAnsiTheme="minorEastAsia" w:cs="宋体"/>
                <w:b/>
                <w:sz w:val="24"/>
                <w:szCs w:val="24"/>
              </w:rPr>
              <w:t>16.当前，期货市场已经实实在在扎根在众多产业发展的各个环节，其中，“期货+”模式已经成为推动实体经济高质量发展、稳定市场秩序的重要抓手。请问公司在布局“期货+”方面取得了怎样的成果？</w:t>
            </w:r>
          </w:p>
          <w:p w14:paraId="52797157" w14:textId="640782C1" w:rsidR="00A17F39"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答:针对国内部分行业和企业成本高企、物流受阻、利润下滑等多重困境，公司一直以来都在探索“期货+”创新模式，通过金融期货工具创新业务模式，利用期货的定价、风险管理、资源配置等功能，提供了一揽子服务保供、稳产、稳价的综合工具，包括“期货+现货”“期货+仓储物料”“期货+工程配送” “期货+订单收购”“期货+含权贸易”等。据统计，公司累计已服务实体企业超过1.3万家，其中，中小微企业占比过半，覆盖基建、化工、能源、农业等领域。谢谢！</w:t>
            </w:r>
          </w:p>
          <w:p w14:paraId="17FDF205" w14:textId="4D5D78AB" w:rsidR="00A17F39" w:rsidRPr="009A4963" w:rsidRDefault="00BF2704" w:rsidP="006D77C6">
            <w:pPr>
              <w:pStyle w:val="TableParagraph"/>
              <w:spacing w:line="360" w:lineRule="auto"/>
              <w:ind w:firstLineChars="200" w:firstLine="482"/>
              <w:jc w:val="both"/>
              <w:rPr>
                <w:rFonts w:asciiTheme="minorEastAsia" w:eastAsiaTheme="minorEastAsia" w:hAnsiTheme="minorEastAsia" w:cs="宋体"/>
                <w:b/>
                <w:sz w:val="24"/>
                <w:szCs w:val="24"/>
              </w:rPr>
            </w:pPr>
            <w:r w:rsidRPr="009A4963">
              <w:rPr>
                <w:rFonts w:asciiTheme="minorEastAsia" w:eastAsiaTheme="minorEastAsia" w:hAnsiTheme="minorEastAsia" w:cs="宋体"/>
                <w:b/>
                <w:sz w:val="24"/>
                <w:szCs w:val="24"/>
              </w:rPr>
              <w:t>17.有关注到公司在中期协开展的行业乡村振兴（扶贫）工作考评中再一次地获得了第一名，请问具体实施了哪些措施呢？</w:t>
            </w:r>
          </w:p>
          <w:p w14:paraId="6F19FEB5" w14:textId="534D58B1" w:rsidR="005C6A07"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 xml:space="preserve">答:2023年，公司共投入乡村振兴专项帮扶资金 902.99 万元，主要通过专业帮扶、产业帮扶、消费帮扶和教育帮扶等方面展开乡村振兴的相关工作。 </w:t>
            </w:r>
          </w:p>
          <w:p w14:paraId="043A7460" w14:textId="2743CCF1" w:rsidR="00A17F39" w:rsidRPr="009A4963" w:rsidRDefault="00BF2704" w:rsidP="006D77C6">
            <w:pPr>
              <w:pStyle w:val="TableParagraph"/>
              <w:spacing w:line="360" w:lineRule="auto"/>
              <w:ind w:firstLineChars="200" w:firstLine="480"/>
              <w:jc w:val="both"/>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具体来看，在专业帮扶方面，公司全年开展了300余个“保险+期货”项目，覆盖全国17个省份，涉及13个农产品期货品种，承保现货超过30余万吨，承保货值超过30亿元，让广大农户解除生产上的后顾之忧，获得实实在在的利益。产业帮扶上，公司加大对浙江省山区26县的金融精准支持，助力共同富裕示范区建设。此外，在云和县、青田县等地区投入帮扶资金150万元，分别开展光伏发电、“共富牛”产业帮扶项目，助力浙江美丽乡村建设，带动村民增收致富。在消费帮扶方面，公司通过“以购代扶”丰富帮扶手段，投入200.46万元资金采购浙江、新疆、黑龙江、四川、陕西、河南、云南等地特色农产品，帮助农户拓宽农产品销路，畅通农产品销售的“最后一公里”。教育帮扶上，公司再次迈进海拔4,300多米的“太阳部落”——四川省石渠县，开展“永安助学 筑梦未来”公益项目（第二期），并在新疆维吾尔自治区吐鲁番市恰章村双语幼儿园和吐鲁番市高昌区第四中学开展文具赠送活动，为当地困难学生送去学习用品。谢谢！</w:t>
            </w:r>
          </w:p>
        </w:tc>
      </w:tr>
      <w:tr w:rsidR="00A17F39" w:rsidRPr="009A4963" w14:paraId="5FE6C394" w14:textId="77777777" w:rsidTr="00CD1DB9">
        <w:trPr>
          <w:trHeight w:val="561"/>
          <w:jc w:val="center"/>
        </w:trPr>
        <w:tc>
          <w:tcPr>
            <w:tcW w:w="2830" w:type="dxa"/>
            <w:vAlign w:val="center"/>
          </w:tcPr>
          <w:p w14:paraId="7D349215" w14:textId="77777777" w:rsidR="00A17F39" w:rsidRPr="009A4963" w:rsidRDefault="00BF2704">
            <w:pPr>
              <w:pStyle w:val="TableParagraph"/>
              <w:spacing w:before="1"/>
              <w:ind w:left="107"/>
              <w:rPr>
                <w:rFonts w:asciiTheme="minorEastAsia" w:eastAsiaTheme="minorEastAsia" w:hAnsiTheme="minorEastAsia" w:cs="宋体"/>
                <w:b/>
                <w:bCs/>
                <w:sz w:val="24"/>
                <w:szCs w:val="24"/>
              </w:rPr>
            </w:pPr>
            <w:r w:rsidRPr="009A4963">
              <w:rPr>
                <w:rFonts w:asciiTheme="minorEastAsia" w:eastAsiaTheme="minorEastAsia" w:hAnsiTheme="minorEastAsia" w:cs="宋体" w:hint="eastAsia"/>
                <w:b/>
                <w:bCs/>
                <w:sz w:val="24"/>
                <w:szCs w:val="24"/>
              </w:rPr>
              <w:lastRenderedPageBreak/>
              <w:t>附件清单（如有）</w:t>
            </w:r>
          </w:p>
        </w:tc>
        <w:tc>
          <w:tcPr>
            <w:tcW w:w="5695" w:type="dxa"/>
            <w:vAlign w:val="center"/>
          </w:tcPr>
          <w:p w14:paraId="64D52484" w14:textId="1C72A010" w:rsidR="00A17F39" w:rsidRPr="009A4963" w:rsidRDefault="009A4963">
            <w:pPr>
              <w:pStyle w:val="TableParagraph"/>
              <w:spacing w:before="100" w:beforeAutospacing="1"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无</w:t>
            </w:r>
          </w:p>
        </w:tc>
      </w:tr>
      <w:tr w:rsidR="00A17F39" w:rsidRPr="009A4963" w14:paraId="2CE005E0" w14:textId="77777777" w:rsidTr="00CD1DB9">
        <w:trPr>
          <w:trHeight w:val="558"/>
          <w:jc w:val="center"/>
        </w:trPr>
        <w:tc>
          <w:tcPr>
            <w:tcW w:w="2830" w:type="dxa"/>
            <w:vAlign w:val="center"/>
          </w:tcPr>
          <w:p w14:paraId="32E9E6A0" w14:textId="77777777" w:rsidR="00A17F39" w:rsidRPr="009A4963" w:rsidRDefault="00BF2704">
            <w:pPr>
              <w:pStyle w:val="TableParagraph"/>
              <w:spacing w:before="1"/>
              <w:ind w:left="107"/>
              <w:rPr>
                <w:rFonts w:asciiTheme="minorEastAsia" w:eastAsiaTheme="minorEastAsia" w:hAnsiTheme="minorEastAsia" w:cs="宋体"/>
                <w:b/>
                <w:bCs/>
                <w:sz w:val="24"/>
                <w:szCs w:val="24"/>
              </w:rPr>
            </w:pPr>
            <w:r w:rsidRPr="009A4963">
              <w:rPr>
                <w:rFonts w:asciiTheme="minorEastAsia" w:eastAsiaTheme="minorEastAsia" w:hAnsiTheme="minorEastAsia" w:cs="宋体" w:hint="eastAsia"/>
                <w:b/>
                <w:bCs/>
                <w:sz w:val="24"/>
                <w:szCs w:val="24"/>
              </w:rPr>
              <w:t>日期</w:t>
            </w:r>
          </w:p>
        </w:tc>
        <w:tc>
          <w:tcPr>
            <w:tcW w:w="5695" w:type="dxa"/>
            <w:vAlign w:val="center"/>
          </w:tcPr>
          <w:p w14:paraId="52414424" w14:textId="77777777" w:rsidR="00A17F39" w:rsidRPr="009A4963" w:rsidRDefault="00BF2704">
            <w:pPr>
              <w:pStyle w:val="TableParagraph"/>
              <w:spacing w:before="100" w:beforeAutospacing="1"/>
              <w:rPr>
                <w:rFonts w:asciiTheme="minorEastAsia" w:eastAsiaTheme="minorEastAsia" w:hAnsiTheme="minorEastAsia" w:cs="宋体"/>
                <w:sz w:val="24"/>
                <w:szCs w:val="24"/>
              </w:rPr>
            </w:pPr>
            <w:r w:rsidRPr="009A4963">
              <w:rPr>
                <w:rFonts w:asciiTheme="minorEastAsia" w:eastAsiaTheme="minorEastAsia" w:hAnsiTheme="minorEastAsia" w:cs="宋体"/>
                <w:sz w:val="24"/>
                <w:szCs w:val="24"/>
              </w:rPr>
              <w:t>2024年5月20日</w:t>
            </w:r>
          </w:p>
        </w:tc>
      </w:tr>
    </w:tbl>
    <w:p w14:paraId="294E3253" w14:textId="77777777" w:rsidR="00A17F39" w:rsidRDefault="00A17F39">
      <w:pPr>
        <w:rPr>
          <w:rFonts w:ascii="宋体" w:eastAsia="宋体" w:hAnsi="宋体" w:cs="宋体"/>
          <w:sz w:val="28"/>
          <w:szCs w:val="36"/>
        </w:rPr>
      </w:pPr>
    </w:p>
    <w:sectPr w:rsidR="00A17F39">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4A372" w14:textId="77777777" w:rsidR="00E208AE" w:rsidRDefault="00E208AE" w:rsidP="009A0339">
      <w:r>
        <w:separator/>
      </w:r>
    </w:p>
  </w:endnote>
  <w:endnote w:type="continuationSeparator" w:id="0">
    <w:p w14:paraId="5F71C951" w14:textId="77777777" w:rsidR="00E208AE" w:rsidRDefault="00E208AE" w:rsidP="009A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776CE" w14:textId="77777777" w:rsidR="00E208AE" w:rsidRDefault="00E208AE" w:rsidP="009A0339">
      <w:r>
        <w:separator/>
      </w:r>
    </w:p>
  </w:footnote>
  <w:footnote w:type="continuationSeparator" w:id="0">
    <w:p w14:paraId="06DB9ABB" w14:textId="77777777" w:rsidR="00E208AE" w:rsidRDefault="00E208AE" w:rsidP="009A0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lYzcyYjBhYjdiNDQ2NjdiODY5YmM2NjQ0YWRiYTUifQ=="/>
  </w:docVars>
  <w:rsids>
    <w:rsidRoot w:val="00301D32"/>
    <w:rsid w:val="00026CC3"/>
    <w:rsid w:val="00036089"/>
    <w:rsid w:val="00050ECD"/>
    <w:rsid w:val="00053CFA"/>
    <w:rsid w:val="000633EC"/>
    <w:rsid w:val="00063804"/>
    <w:rsid w:val="000665A2"/>
    <w:rsid w:val="000877AB"/>
    <w:rsid w:val="000B7C08"/>
    <w:rsid w:val="000D12CF"/>
    <w:rsid w:val="000D2D88"/>
    <w:rsid w:val="000E4B20"/>
    <w:rsid w:val="0011418F"/>
    <w:rsid w:val="001468C1"/>
    <w:rsid w:val="00172C24"/>
    <w:rsid w:val="001E59D1"/>
    <w:rsid w:val="001E5EA4"/>
    <w:rsid w:val="002042A7"/>
    <w:rsid w:val="00205911"/>
    <w:rsid w:val="002146AD"/>
    <w:rsid w:val="0024680D"/>
    <w:rsid w:val="00275CB6"/>
    <w:rsid w:val="002800B5"/>
    <w:rsid w:val="00295B29"/>
    <w:rsid w:val="002D4073"/>
    <w:rsid w:val="002E7098"/>
    <w:rsid w:val="00301D32"/>
    <w:rsid w:val="0031342E"/>
    <w:rsid w:val="00314FEF"/>
    <w:rsid w:val="00366FAD"/>
    <w:rsid w:val="0037105B"/>
    <w:rsid w:val="00382910"/>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273CC"/>
    <w:rsid w:val="0055521F"/>
    <w:rsid w:val="00571B49"/>
    <w:rsid w:val="005743AE"/>
    <w:rsid w:val="005C6A07"/>
    <w:rsid w:val="005D64CA"/>
    <w:rsid w:val="005E5717"/>
    <w:rsid w:val="005E6DB2"/>
    <w:rsid w:val="0061433E"/>
    <w:rsid w:val="0062751D"/>
    <w:rsid w:val="006354AA"/>
    <w:rsid w:val="006421D3"/>
    <w:rsid w:val="00661AFA"/>
    <w:rsid w:val="006726BF"/>
    <w:rsid w:val="00677B77"/>
    <w:rsid w:val="0068718A"/>
    <w:rsid w:val="006A2739"/>
    <w:rsid w:val="006B5C95"/>
    <w:rsid w:val="006D37EF"/>
    <w:rsid w:val="006D77C6"/>
    <w:rsid w:val="006E14B0"/>
    <w:rsid w:val="006F0108"/>
    <w:rsid w:val="00704AE6"/>
    <w:rsid w:val="007153A2"/>
    <w:rsid w:val="00724A68"/>
    <w:rsid w:val="007271BF"/>
    <w:rsid w:val="00730DD3"/>
    <w:rsid w:val="00733224"/>
    <w:rsid w:val="00764128"/>
    <w:rsid w:val="00767932"/>
    <w:rsid w:val="007824B8"/>
    <w:rsid w:val="007910DD"/>
    <w:rsid w:val="007A3EC1"/>
    <w:rsid w:val="007B3368"/>
    <w:rsid w:val="007D0A69"/>
    <w:rsid w:val="007D6DC4"/>
    <w:rsid w:val="007E30C1"/>
    <w:rsid w:val="00853463"/>
    <w:rsid w:val="00893F25"/>
    <w:rsid w:val="00895035"/>
    <w:rsid w:val="008B2B14"/>
    <w:rsid w:val="008C6AED"/>
    <w:rsid w:val="008C7604"/>
    <w:rsid w:val="008E1B27"/>
    <w:rsid w:val="008F3A89"/>
    <w:rsid w:val="00901564"/>
    <w:rsid w:val="00903379"/>
    <w:rsid w:val="00906975"/>
    <w:rsid w:val="00917F0B"/>
    <w:rsid w:val="00917F8B"/>
    <w:rsid w:val="00960964"/>
    <w:rsid w:val="00965E4D"/>
    <w:rsid w:val="00977FA5"/>
    <w:rsid w:val="009A0339"/>
    <w:rsid w:val="009A4963"/>
    <w:rsid w:val="009B1D5C"/>
    <w:rsid w:val="009C2E31"/>
    <w:rsid w:val="009E1955"/>
    <w:rsid w:val="00A17F39"/>
    <w:rsid w:val="00A527AA"/>
    <w:rsid w:val="00A5684D"/>
    <w:rsid w:val="00A75C61"/>
    <w:rsid w:val="00A9601B"/>
    <w:rsid w:val="00AD100E"/>
    <w:rsid w:val="00AE1E36"/>
    <w:rsid w:val="00AF74AA"/>
    <w:rsid w:val="00B03C2F"/>
    <w:rsid w:val="00B15064"/>
    <w:rsid w:val="00B340A3"/>
    <w:rsid w:val="00B410F5"/>
    <w:rsid w:val="00B434E3"/>
    <w:rsid w:val="00B6280C"/>
    <w:rsid w:val="00B671A4"/>
    <w:rsid w:val="00B72CD4"/>
    <w:rsid w:val="00B85B00"/>
    <w:rsid w:val="00BF132F"/>
    <w:rsid w:val="00BF2704"/>
    <w:rsid w:val="00C13878"/>
    <w:rsid w:val="00C371A2"/>
    <w:rsid w:val="00CA1705"/>
    <w:rsid w:val="00CD1DB9"/>
    <w:rsid w:val="00CE1A54"/>
    <w:rsid w:val="00CF5FB6"/>
    <w:rsid w:val="00D02518"/>
    <w:rsid w:val="00D17454"/>
    <w:rsid w:val="00D33FBC"/>
    <w:rsid w:val="00D7535C"/>
    <w:rsid w:val="00D76302"/>
    <w:rsid w:val="00DA5CE2"/>
    <w:rsid w:val="00DE10E8"/>
    <w:rsid w:val="00E16FDA"/>
    <w:rsid w:val="00E208AE"/>
    <w:rsid w:val="00E35F58"/>
    <w:rsid w:val="00E45BD9"/>
    <w:rsid w:val="00E66FFC"/>
    <w:rsid w:val="00E759D6"/>
    <w:rsid w:val="00E84A8C"/>
    <w:rsid w:val="00E976DE"/>
    <w:rsid w:val="00EC0F83"/>
    <w:rsid w:val="00EE3187"/>
    <w:rsid w:val="00EF499B"/>
    <w:rsid w:val="00F14977"/>
    <w:rsid w:val="00F666BD"/>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091DA2"/>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3C3AE8C"/>
  <w15:docId w15:val="{08B88631-5F3E-40B6-9846-CDF9AD2D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autoRedefine/>
    <w:qFormat/>
    <w:rPr>
      <w:rFonts w:ascii="仿宋" w:eastAsia="仿宋" w:hAnsi="仿宋" w:cs="仿宋"/>
      <w:sz w:val="18"/>
      <w:szCs w:val="18"/>
      <w:lang w:val="zh-CN" w:bidi="zh-CN"/>
    </w:rPr>
  </w:style>
  <w:style w:type="character" w:customStyle="1" w:styleId="a9">
    <w:name w:val="页脚 字符"/>
    <w:basedOn w:val="a0"/>
    <w:link w:val="a8"/>
    <w:autoRedefine/>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d">
    <w:name w:val="批注主题 字符"/>
    <w:basedOn w:val="a4"/>
    <w:link w:val="ac"/>
    <w:autoRedefine/>
    <w:qFormat/>
    <w:rPr>
      <w:rFonts w:ascii="仿宋" w:eastAsia="仿宋" w:hAnsi="仿宋" w:cs="仿宋"/>
      <w:b/>
      <w:bCs/>
      <w:sz w:val="22"/>
      <w:szCs w:val="22"/>
      <w:lang w:val="zh-CN" w:bidi="zh-CN"/>
    </w:rPr>
  </w:style>
  <w:style w:type="character" w:customStyle="1" w:styleId="a7">
    <w:name w:val="批注框文本 字符"/>
    <w:basedOn w:val="a0"/>
    <w:link w:val="a6"/>
    <w:autoRedefine/>
    <w:qFormat/>
    <w:rPr>
      <w:rFonts w:ascii="仿宋" w:eastAsia="仿宋" w:hAnsi="仿宋" w:cs="仿宋"/>
      <w:sz w:val="18"/>
      <w:szCs w:val="18"/>
      <w:lang w:val="zh-CN" w:bidi="zh-CN"/>
    </w:rPr>
  </w:style>
  <w:style w:type="paragraph" w:styleId="af">
    <w:name w:val="Revision"/>
    <w:hidden/>
    <w:uiPriority w:val="99"/>
    <w:semiHidden/>
    <w:rsid w:val="0031342E"/>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AD981-3C5A-4DB6-914A-042F6759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5627</Words>
  <Characters>565</Characters>
  <Application>Microsoft Office Word</Application>
  <DocSecurity>0</DocSecurity>
  <Lines>4</Lines>
  <Paragraphs>12</Paragraphs>
  <ScaleCrop>false</ScaleCrop>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wjw</cp:lastModifiedBy>
  <cp:revision>13</cp:revision>
  <dcterms:created xsi:type="dcterms:W3CDTF">2024-05-20T11:20:00Z</dcterms:created>
  <dcterms:modified xsi:type="dcterms:W3CDTF">2024-05-21T04:12:00Z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57D148DF2F764966BF4E1C38A6255FA2</vt:lpwstr>
  </property>
</Properties>
</file>