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BA" w:rsidRDefault="007A528B">
      <w:pPr>
        <w:pStyle w:val="1"/>
        <w:spacing w:line="500" w:lineRule="exact"/>
        <w:rPr>
          <w:rFonts w:ascii="宋体" w:eastAsia="宋体" w:hAnsi="宋体" w:cs="宋体"/>
          <w:sz w:val="24"/>
          <w:szCs w:val="24"/>
          <w:lang w:val="en-US"/>
        </w:rPr>
      </w:pPr>
      <w:r>
        <w:rPr>
          <w:rFonts w:ascii="宋体" w:eastAsia="宋体" w:hAnsi="宋体" w:cs="宋体" w:hint="eastAsia"/>
          <w:sz w:val="24"/>
          <w:szCs w:val="24"/>
          <w:lang w:val="en-US"/>
        </w:rPr>
        <w:t>证券代码：</w:t>
      </w:r>
      <w:r>
        <w:rPr>
          <w:rFonts w:ascii="宋体" w:eastAsia="宋体" w:hAnsi="宋体" w:cs="宋体" w:hint="eastAsia"/>
          <w:sz w:val="24"/>
          <w:szCs w:val="24"/>
          <w:lang w:val="en-US"/>
        </w:rPr>
        <w:t xml:space="preserve">600256                               </w:t>
      </w:r>
      <w:r>
        <w:rPr>
          <w:rFonts w:ascii="宋体" w:eastAsia="宋体" w:hAnsi="宋体" w:cs="宋体" w:hint="eastAsia"/>
          <w:sz w:val="24"/>
          <w:szCs w:val="24"/>
          <w:lang w:val="en-US"/>
        </w:rPr>
        <w:t>证券简称：广汇能源</w:t>
      </w:r>
    </w:p>
    <w:p w:rsidR="003372BA" w:rsidRDefault="003372BA">
      <w:pPr>
        <w:spacing w:line="500" w:lineRule="exact"/>
        <w:rPr>
          <w:rFonts w:ascii="黑体" w:eastAsia="黑体" w:hAnsi="黑体" w:cs="黑体"/>
          <w:sz w:val="36"/>
          <w:szCs w:val="36"/>
          <w:lang w:val="en-US"/>
        </w:rPr>
      </w:pPr>
    </w:p>
    <w:p w:rsidR="003372BA" w:rsidRDefault="007A528B">
      <w:pPr>
        <w:spacing w:line="500" w:lineRule="exact"/>
        <w:jc w:val="center"/>
        <w:rPr>
          <w:rFonts w:ascii="黑体" w:eastAsia="黑体" w:hAnsi="黑体" w:cs="黑体"/>
          <w:b/>
          <w:bCs/>
          <w:sz w:val="36"/>
          <w:szCs w:val="36"/>
        </w:rPr>
      </w:pPr>
      <w:r>
        <w:rPr>
          <w:rFonts w:ascii="黑体" w:eastAsia="黑体" w:hAnsi="黑体" w:cs="黑体" w:hint="eastAsia"/>
          <w:b/>
          <w:bCs/>
          <w:sz w:val="36"/>
          <w:szCs w:val="36"/>
          <w:lang w:val="en-US"/>
        </w:rPr>
        <w:t>广汇能源</w:t>
      </w:r>
      <w:r>
        <w:rPr>
          <w:rFonts w:ascii="黑体" w:eastAsia="黑体" w:hAnsi="黑体" w:cs="黑体" w:hint="eastAsia"/>
          <w:b/>
          <w:bCs/>
          <w:sz w:val="36"/>
          <w:szCs w:val="36"/>
        </w:rPr>
        <w:t>股份有限公司</w:t>
      </w:r>
    </w:p>
    <w:p w:rsidR="003372BA" w:rsidRDefault="007A528B">
      <w:pPr>
        <w:spacing w:line="500" w:lineRule="exact"/>
        <w:jc w:val="center"/>
        <w:rPr>
          <w:rFonts w:ascii="黑体" w:eastAsia="黑体" w:hAnsi="黑体" w:cs="黑体"/>
          <w:b/>
          <w:bCs/>
          <w:sz w:val="36"/>
          <w:szCs w:val="36"/>
        </w:rPr>
      </w:pPr>
      <w:r>
        <w:rPr>
          <w:rFonts w:ascii="黑体" w:eastAsia="黑体" w:hAnsi="黑体" w:cs="黑体" w:hint="eastAsia"/>
          <w:b/>
          <w:bCs/>
          <w:sz w:val="36"/>
          <w:szCs w:val="36"/>
        </w:rPr>
        <w:t>投资者关系活动记录表</w:t>
      </w:r>
    </w:p>
    <w:p w:rsidR="003372BA" w:rsidRDefault="007A528B">
      <w:pPr>
        <w:spacing w:line="500" w:lineRule="exact"/>
        <w:jc w:val="center"/>
        <w:rPr>
          <w:rFonts w:ascii="宋体" w:eastAsia="宋体" w:hAnsi="宋体" w:cs="宋体"/>
          <w:sz w:val="28"/>
          <w:szCs w:val="28"/>
          <w:lang w:val="en-US"/>
        </w:rPr>
      </w:pPr>
      <w:r>
        <w:rPr>
          <w:rFonts w:ascii="宋体" w:eastAsia="宋体" w:hAnsi="宋体" w:cs="宋体" w:hint="eastAsia"/>
          <w:sz w:val="28"/>
          <w:szCs w:val="28"/>
          <w:lang w:val="en-US"/>
        </w:rPr>
        <w:t xml:space="preserve">                                              </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0"/>
        <w:gridCol w:w="6595"/>
      </w:tblGrid>
      <w:tr w:rsidR="003372BA">
        <w:trPr>
          <w:trHeight w:val="2043"/>
          <w:jc w:val="center"/>
        </w:trPr>
        <w:tc>
          <w:tcPr>
            <w:tcW w:w="1930" w:type="dxa"/>
          </w:tcPr>
          <w:p w:rsidR="003372BA" w:rsidRDefault="003372BA">
            <w:pPr>
              <w:pStyle w:val="TableParagraph"/>
              <w:spacing w:line="500" w:lineRule="exact"/>
              <w:jc w:val="center"/>
              <w:rPr>
                <w:rFonts w:ascii="宋体" w:eastAsia="宋体" w:hAnsi="宋体" w:cs="宋体"/>
                <w:b/>
                <w:bCs/>
                <w:sz w:val="24"/>
                <w:szCs w:val="24"/>
              </w:rPr>
            </w:pPr>
          </w:p>
          <w:p w:rsidR="003372BA" w:rsidRDefault="007A528B">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投资者关系</w:t>
            </w:r>
          </w:p>
          <w:p w:rsidR="003372BA" w:rsidRDefault="007A528B">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6595" w:type="dxa"/>
          </w:tcPr>
          <w:p w:rsidR="003372BA" w:rsidRDefault="007A528B">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特定对象调研</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分析师会议</w:t>
            </w:r>
          </w:p>
          <w:p w:rsidR="003372BA" w:rsidRDefault="007A528B">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媒体采访</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业绩说明会</w:t>
            </w:r>
          </w:p>
          <w:p w:rsidR="003372BA" w:rsidRDefault="007A528B">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新闻发布会</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路演活动</w:t>
            </w:r>
          </w:p>
          <w:p w:rsidR="003372BA" w:rsidRDefault="007A528B">
            <w:pPr>
              <w:pStyle w:val="TableParagraph"/>
              <w:tabs>
                <w:tab w:val="left" w:pos="2418"/>
              </w:tabs>
              <w:spacing w:line="500" w:lineRule="exact"/>
              <w:ind w:left="107"/>
              <w:rPr>
                <w:rFonts w:ascii="宋体" w:eastAsia="宋体" w:hAnsi="宋体" w:cs="宋体"/>
                <w:sz w:val="21"/>
              </w:rPr>
            </w:pPr>
            <w:sdt>
              <w:sdtPr>
                <w:rPr>
                  <w:rFonts w:ascii="宋体" w:eastAsia="宋体" w:hAnsi="宋体" w:cs="宋体" w:hint="eastAsia"/>
                  <w:sz w:val="24"/>
                  <w:szCs w:val="24"/>
                </w:rPr>
                <w:id w:val="-1333366911"/>
                <w14:checkbox>
                  <w14:checked w14:val="1"/>
                  <w14:checkedState w14:val="0052" w14:font="Wingdings 2"/>
                  <w14:uncheckedState w14:val="2610" w14:font="Meiryo"/>
                </w14:checkbox>
              </w:sdtPr>
              <w:sdtEndPr/>
              <w:sdtContent>
                <w:r>
                  <w:rPr>
                    <w:rFonts w:ascii="Wingdings 2" w:eastAsia="宋体" w:hAnsi="Wingdings 2" w:cs="宋体" w:hint="eastAsia"/>
                    <w:sz w:val="24"/>
                    <w:szCs w:val="24"/>
                  </w:rPr>
                  <w:t>R</w:t>
                </w:r>
              </w:sdtContent>
            </w:sdt>
            <w:r>
              <w:rPr>
                <w:rFonts w:ascii="宋体" w:eastAsia="宋体" w:hAnsi="宋体" w:cs="宋体" w:hint="eastAsia"/>
                <w:sz w:val="24"/>
                <w:szCs w:val="24"/>
              </w:rPr>
              <w:t>现场参观</w:t>
            </w:r>
            <w:r>
              <w:rPr>
                <w:rFonts w:ascii="宋体" w:eastAsia="宋体" w:hAnsi="宋体" w:cs="宋体" w:hint="eastAsia"/>
                <w:sz w:val="24"/>
                <w:szCs w:val="24"/>
                <w:lang w:val="en-US"/>
              </w:rPr>
              <w:t xml:space="preserve">              </w:t>
            </w:r>
            <w:sdt>
              <w:sdtPr>
                <w:rPr>
                  <w:rFonts w:ascii="宋体" w:eastAsia="宋体" w:hAnsi="宋体" w:cs="宋体" w:hint="eastAsia"/>
                  <w:sz w:val="24"/>
                  <w:szCs w:val="24"/>
                </w:rPr>
                <w:id w:val="400885218"/>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其他</w:t>
            </w:r>
          </w:p>
        </w:tc>
      </w:tr>
      <w:tr w:rsidR="003372BA">
        <w:trPr>
          <w:trHeight w:val="676"/>
          <w:jc w:val="center"/>
        </w:trPr>
        <w:tc>
          <w:tcPr>
            <w:tcW w:w="1930" w:type="dxa"/>
            <w:vAlign w:val="center"/>
          </w:tcPr>
          <w:p w:rsidR="003372BA" w:rsidRDefault="007A528B">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w:t>
            </w:r>
          </w:p>
          <w:p w:rsidR="003372BA" w:rsidRDefault="007A528B">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及人员姓名</w:t>
            </w:r>
          </w:p>
        </w:tc>
        <w:tc>
          <w:tcPr>
            <w:tcW w:w="6595" w:type="dxa"/>
            <w:vAlign w:val="center"/>
          </w:tcPr>
          <w:p w:rsidR="003372BA" w:rsidRDefault="007A528B">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建信</w:t>
            </w:r>
            <w:r>
              <w:rPr>
                <w:rFonts w:ascii="宋体" w:eastAsia="宋体" w:hAnsi="宋体" w:cs="宋体" w:hint="eastAsia"/>
                <w:sz w:val="24"/>
                <w:szCs w:val="24"/>
                <w:lang w:val="en-US"/>
              </w:rPr>
              <w:t>养老金</w:t>
            </w:r>
            <w:r>
              <w:rPr>
                <w:rFonts w:ascii="宋体" w:eastAsia="宋体" w:hAnsi="宋体" w:cs="宋体" w:hint="eastAsia"/>
                <w:sz w:val="24"/>
                <w:szCs w:val="24"/>
                <w:lang w:val="en-US"/>
              </w:rPr>
              <w:t>、信达证券等</w:t>
            </w:r>
            <w:r>
              <w:rPr>
                <w:rFonts w:ascii="宋体" w:eastAsia="宋体" w:hAnsi="宋体" w:cs="宋体" w:hint="eastAsia"/>
                <w:sz w:val="24"/>
                <w:szCs w:val="24"/>
                <w:lang w:val="en-US"/>
              </w:rPr>
              <w:t>8</w:t>
            </w:r>
            <w:r>
              <w:rPr>
                <w:rFonts w:ascii="宋体" w:eastAsia="宋体" w:hAnsi="宋体" w:cs="宋体" w:hint="eastAsia"/>
                <w:sz w:val="24"/>
                <w:szCs w:val="24"/>
                <w:lang w:val="en-US"/>
              </w:rPr>
              <w:t>名机构投资者</w:t>
            </w:r>
          </w:p>
        </w:tc>
      </w:tr>
      <w:tr w:rsidR="003372BA">
        <w:trPr>
          <w:trHeight w:val="558"/>
          <w:jc w:val="center"/>
        </w:trPr>
        <w:tc>
          <w:tcPr>
            <w:tcW w:w="1930" w:type="dxa"/>
            <w:vAlign w:val="center"/>
          </w:tcPr>
          <w:p w:rsidR="003372BA" w:rsidRDefault="007A528B">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6595" w:type="dxa"/>
            <w:vAlign w:val="center"/>
          </w:tcPr>
          <w:p w:rsidR="003372BA" w:rsidRDefault="007A528B">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lang w:val="en-US"/>
              </w:rPr>
              <w:t>5</w:t>
            </w:r>
            <w:r>
              <w:rPr>
                <w:rFonts w:ascii="宋体" w:eastAsia="宋体" w:hAnsi="宋体" w:cs="宋体" w:hint="eastAsia"/>
                <w:sz w:val="24"/>
                <w:szCs w:val="24"/>
              </w:rPr>
              <w:t>月</w:t>
            </w:r>
            <w:r>
              <w:rPr>
                <w:rFonts w:ascii="宋体" w:eastAsia="宋体" w:hAnsi="宋体" w:cs="宋体" w:hint="eastAsia"/>
                <w:sz w:val="24"/>
                <w:szCs w:val="24"/>
                <w:lang w:val="en-US"/>
              </w:rPr>
              <w:t>9</w:t>
            </w:r>
            <w:r>
              <w:rPr>
                <w:rFonts w:ascii="宋体" w:eastAsia="宋体" w:hAnsi="宋体" w:cs="宋体" w:hint="eastAsia"/>
                <w:sz w:val="24"/>
                <w:szCs w:val="24"/>
              </w:rPr>
              <w:t>日</w:t>
            </w:r>
          </w:p>
        </w:tc>
      </w:tr>
      <w:tr w:rsidR="003372BA">
        <w:trPr>
          <w:trHeight w:val="561"/>
          <w:jc w:val="center"/>
        </w:trPr>
        <w:tc>
          <w:tcPr>
            <w:tcW w:w="1930" w:type="dxa"/>
            <w:vAlign w:val="center"/>
          </w:tcPr>
          <w:p w:rsidR="003372BA" w:rsidRDefault="007A528B">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6595" w:type="dxa"/>
            <w:vAlign w:val="center"/>
          </w:tcPr>
          <w:p w:rsidR="003372BA" w:rsidRDefault="007A528B">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新疆维吾尔自治区乌鲁木齐市新华北路</w:t>
            </w:r>
            <w:r>
              <w:rPr>
                <w:rFonts w:ascii="宋体" w:eastAsia="宋体" w:hAnsi="宋体" w:cs="宋体" w:hint="eastAsia"/>
                <w:sz w:val="24"/>
                <w:szCs w:val="24"/>
                <w:lang w:val="en-US"/>
              </w:rPr>
              <w:t>165</w:t>
            </w:r>
            <w:r>
              <w:rPr>
                <w:rFonts w:ascii="宋体" w:eastAsia="宋体" w:hAnsi="宋体" w:cs="宋体" w:hint="eastAsia"/>
                <w:sz w:val="24"/>
                <w:szCs w:val="24"/>
                <w:lang w:val="en-US"/>
              </w:rPr>
              <w:t>号中天广场</w:t>
            </w:r>
            <w:r>
              <w:rPr>
                <w:rFonts w:ascii="宋体" w:eastAsia="宋体" w:hAnsi="宋体" w:cs="宋体" w:hint="eastAsia"/>
                <w:sz w:val="24"/>
                <w:szCs w:val="24"/>
                <w:lang w:val="en-US"/>
              </w:rPr>
              <w:t>27</w:t>
            </w:r>
            <w:r>
              <w:rPr>
                <w:rFonts w:ascii="宋体" w:eastAsia="宋体" w:hAnsi="宋体" w:cs="宋体" w:hint="eastAsia"/>
                <w:sz w:val="24"/>
                <w:szCs w:val="24"/>
                <w:lang w:val="en-US"/>
              </w:rPr>
              <w:t>层</w:t>
            </w:r>
          </w:p>
        </w:tc>
      </w:tr>
      <w:tr w:rsidR="003372BA">
        <w:trPr>
          <w:trHeight w:val="633"/>
          <w:jc w:val="center"/>
        </w:trPr>
        <w:tc>
          <w:tcPr>
            <w:tcW w:w="1930" w:type="dxa"/>
            <w:vAlign w:val="center"/>
          </w:tcPr>
          <w:p w:rsidR="003372BA" w:rsidRDefault="007A528B">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上市公司接待</w:t>
            </w:r>
          </w:p>
          <w:p w:rsidR="003372BA" w:rsidRDefault="007A528B">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人员姓名</w:t>
            </w:r>
          </w:p>
        </w:tc>
        <w:tc>
          <w:tcPr>
            <w:tcW w:w="6595" w:type="dxa"/>
            <w:vAlign w:val="center"/>
          </w:tcPr>
          <w:p w:rsidR="003372BA" w:rsidRDefault="007A528B">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广汇能源</w:t>
            </w:r>
            <w:r>
              <w:rPr>
                <w:rFonts w:ascii="宋体" w:eastAsia="宋体" w:hAnsi="宋体" w:cs="宋体" w:hint="eastAsia"/>
                <w:sz w:val="24"/>
                <w:szCs w:val="24"/>
              </w:rPr>
              <w:t>董事会秘书、副总经理</w:t>
            </w:r>
            <w:r>
              <w:rPr>
                <w:rFonts w:ascii="宋体" w:eastAsia="宋体" w:hAnsi="宋体" w:cs="宋体" w:hint="eastAsia"/>
                <w:sz w:val="24"/>
                <w:szCs w:val="24"/>
                <w:lang w:val="en-US"/>
              </w:rPr>
              <w:t xml:space="preserve"> </w:t>
            </w:r>
            <w:r>
              <w:rPr>
                <w:rFonts w:ascii="宋体" w:eastAsia="宋体" w:hAnsi="宋体" w:cs="宋体" w:hint="eastAsia"/>
                <w:sz w:val="24"/>
                <w:szCs w:val="24"/>
                <w:lang w:val="en-US"/>
              </w:rPr>
              <w:t>阳贤</w:t>
            </w:r>
          </w:p>
          <w:p w:rsidR="003372BA" w:rsidRDefault="007A528B">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证券部相关人员</w:t>
            </w:r>
          </w:p>
        </w:tc>
      </w:tr>
      <w:tr w:rsidR="003372BA">
        <w:trPr>
          <w:trHeight w:val="2800"/>
          <w:jc w:val="center"/>
        </w:trPr>
        <w:tc>
          <w:tcPr>
            <w:tcW w:w="1930" w:type="dxa"/>
          </w:tcPr>
          <w:p w:rsidR="003372BA" w:rsidRDefault="003372BA">
            <w:pPr>
              <w:pStyle w:val="TableParagraph"/>
              <w:spacing w:line="500" w:lineRule="exact"/>
              <w:jc w:val="center"/>
              <w:rPr>
                <w:rFonts w:ascii="宋体" w:eastAsia="宋体" w:hAnsi="宋体" w:cs="宋体"/>
                <w:b/>
                <w:bCs/>
                <w:sz w:val="24"/>
                <w:szCs w:val="24"/>
              </w:rPr>
            </w:pPr>
          </w:p>
          <w:p w:rsidR="003372BA" w:rsidRDefault="003372BA">
            <w:pPr>
              <w:pStyle w:val="TableParagraph"/>
              <w:spacing w:line="500" w:lineRule="exact"/>
              <w:jc w:val="center"/>
              <w:rPr>
                <w:rFonts w:ascii="宋体" w:eastAsia="宋体" w:hAnsi="宋体" w:cs="宋体"/>
                <w:b/>
                <w:bCs/>
                <w:sz w:val="24"/>
                <w:szCs w:val="24"/>
              </w:rPr>
            </w:pPr>
          </w:p>
          <w:p w:rsidR="003372BA" w:rsidRDefault="003372BA">
            <w:pPr>
              <w:pStyle w:val="TableParagraph"/>
              <w:spacing w:line="500" w:lineRule="exact"/>
              <w:jc w:val="center"/>
              <w:rPr>
                <w:rFonts w:ascii="宋体" w:eastAsia="宋体" w:hAnsi="宋体" w:cs="宋体"/>
                <w:b/>
                <w:bCs/>
                <w:sz w:val="24"/>
                <w:szCs w:val="24"/>
              </w:rPr>
            </w:pPr>
          </w:p>
          <w:p w:rsidR="003372BA" w:rsidRDefault="007A528B">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投资者关系活动</w:t>
            </w:r>
          </w:p>
          <w:p w:rsidR="003372BA" w:rsidRDefault="007A528B">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主要内容介绍</w:t>
            </w:r>
          </w:p>
        </w:tc>
        <w:tc>
          <w:tcPr>
            <w:tcW w:w="6595" w:type="dxa"/>
          </w:tcPr>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公司</w:t>
            </w:r>
            <w:r>
              <w:rPr>
                <w:rFonts w:ascii="宋体" w:eastAsia="宋体" w:hAnsi="宋体" w:cs="宋体"/>
                <w:b/>
                <w:bCs/>
                <w:sz w:val="24"/>
                <w:szCs w:val="24"/>
              </w:rPr>
              <w:t>2024</w:t>
            </w:r>
            <w:r>
              <w:rPr>
                <w:rFonts w:ascii="宋体" w:eastAsia="宋体" w:hAnsi="宋体" w:cs="宋体"/>
                <w:b/>
                <w:bCs/>
                <w:sz w:val="24"/>
                <w:szCs w:val="24"/>
              </w:rPr>
              <w:t>年一季度利润同比减少原因是什么</w:t>
            </w:r>
            <w:r>
              <w:rPr>
                <w:rFonts w:ascii="宋体" w:eastAsia="宋体" w:hAnsi="宋体" w:cs="宋体" w:hint="eastAsia"/>
                <w:b/>
                <w:bCs/>
                <w:sz w:val="24"/>
                <w:szCs w:val="24"/>
              </w:rPr>
              <w:t>？</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w:t>
            </w:r>
            <w:r>
              <w:rPr>
                <w:rFonts w:ascii="宋体" w:eastAsia="宋体" w:hAnsi="宋体" w:cs="宋体"/>
                <w:sz w:val="24"/>
                <w:szCs w:val="24"/>
              </w:rPr>
              <w:t>2024</w:t>
            </w:r>
            <w:r>
              <w:rPr>
                <w:rFonts w:ascii="宋体" w:eastAsia="宋体" w:hAnsi="宋体" w:cs="宋体"/>
                <w:sz w:val="24"/>
                <w:szCs w:val="24"/>
              </w:rPr>
              <w:t>年一季度利润同比出现较大幅度回调的主要原因为能源化工产品价格下跌所致。相关情况已在一季报里进行了说明，简述如下：</w:t>
            </w:r>
            <w:r>
              <w:rPr>
                <w:rFonts w:ascii="宋体" w:eastAsia="宋体" w:hAnsi="宋体" w:cs="宋体"/>
                <w:sz w:val="24"/>
                <w:szCs w:val="24"/>
              </w:rPr>
              <w:t>2024</w:t>
            </w:r>
            <w:r>
              <w:rPr>
                <w:rFonts w:ascii="宋体" w:eastAsia="宋体" w:hAnsi="宋体" w:cs="宋体"/>
                <w:sz w:val="24"/>
                <w:szCs w:val="24"/>
              </w:rPr>
              <w:t>年一季度，东北亚</w:t>
            </w:r>
            <w:r>
              <w:rPr>
                <w:rFonts w:ascii="宋体" w:eastAsia="宋体" w:hAnsi="宋体" w:cs="宋体"/>
                <w:sz w:val="24"/>
                <w:szCs w:val="24"/>
              </w:rPr>
              <w:t>JKM</w:t>
            </w:r>
            <w:r>
              <w:rPr>
                <w:rFonts w:ascii="宋体" w:eastAsia="宋体" w:hAnsi="宋体" w:cs="宋体"/>
                <w:sz w:val="24"/>
                <w:szCs w:val="24"/>
              </w:rPr>
              <w:t>现货均价</w:t>
            </w:r>
            <w:r>
              <w:rPr>
                <w:rFonts w:ascii="宋体" w:eastAsia="宋体" w:hAnsi="宋体" w:cs="宋体"/>
                <w:sz w:val="24"/>
                <w:szCs w:val="24"/>
              </w:rPr>
              <w:t>11.94$/MMBtu</w:t>
            </w:r>
            <w:r>
              <w:rPr>
                <w:rFonts w:ascii="宋体" w:eastAsia="宋体" w:hAnsi="宋体" w:cs="宋体"/>
                <w:sz w:val="24"/>
                <w:szCs w:val="24"/>
              </w:rPr>
              <w:t>，同比下降</w:t>
            </w:r>
            <w:r>
              <w:rPr>
                <w:rFonts w:ascii="宋体" w:eastAsia="宋体" w:hAnsi="宋体" w:cs="宋体"/>
                <w:sz w:val="24"/>
                <w:szCs w:val="24"/>
              </w:rPr>
              <w:t>54.14%</w:t>
            </w:r>
            <w:r>
              <w:rPr>
                <w:rFonts w:ascii="宋体" w:eastAsia="宋体" w:hAnsi="宋体" w:cs="宋体"/>
                <w:sz w:val="24"/>
                <w:szCs w:val="24"/>
              </w:rPr>
              <w:t>；全国</w:t>
            </w:r>
            <w:r>
              <w:rPr>
                <w:rFonts w:ascii="宋体" w:eastAsia="宋体" w:hAnsi="宋体" w:cs="宋体"/>
                <w:sz w:val="24"/>
                <w:szCs w:val="24"/>
              </w:rPr>
              <w:t>LNG</w:t>
            </w:r>
            <w:r>
              <w:rPr>
                <w:rFonts w:ascii="宋体" w:eastAsia="宋体" w:hAnsi="宋体" w:cs="宋体"/>
                <w:sz w:val="24"/>
                <w:szCs w:val="24"/>
              </w:rPr>
              <w:t>出厂均价</w:t>
            </w:r>
            <w:r>
              <w:rPr>
                <w:rFonts w:ascii="宋体" w:eastAsia="宋体" w:hAnsi="宋体" w:cs="宋体"/>
                <w:sz w:val="24"/>
                <w:szCs w:val="24"/>
              </w:rPr>
              <w:t>4451.78</w:t>
            </w:r>
            <w:r>
              <w:rPr>
                <w:rFonts w:ascii="宋体" w:eastAsia="宋体" w:hAnsi="宋体" w:cs="宋体"/>
                <w:sz w:val="24"/>
                <w:szCs w:val="24"/>
              </w:rPr>
              <w:t>元</w:t>
            </w:r>
            <w:r>
              <w:rPr>
                <w:rFonts w:ascii="宋体" w:eastAsia="宋体" w:hAnsi="宋体" w:cs="宋体"/>
                <w:sz w:val="24"/>
                <w:szCs w:val="24"/>
              </w:rPr>
              <w:t>/</w:t>
            </w:r>
            <w:r>
              <w:rPr>
                <w:rFonts w:ascii="宋体" w:eastAsia="宋体" w:hAnsi="宋体" w:cs="宋体"/>
                <w:sz w:val="24"/>
                <w:szCs w:val="24"/>
              </w:rPr>
              <w:t>吨，同比下跌</w:t>
            </w:r>
            <w:r>
              <w:rPr>
                <w:rFonts w:ascii="宋体" w:eastAsia="宋体" w:hAnsi="宋体" w:cs="宋体"/>
                <w:sz w:val="24"/>
                <w:szCs w:val="24"/>
              </w:rPr>
              <w:t>25.05%</w:t>
            </w:r>
            <w:r>
              <w:rPr>
                <w:rFonts w:ascii="宋体" w:eastAsia="宋体" w:hAnsi="宋体" w:cs="宋体"/>
                <w:sz w:val="24"/>
                <w:szCs w:val="24"/>
              </w:rPr>
              <w:t>；秦皇岛</w:t>
            </w:r>
            <w:r>
              <w:rPr>
                <w:rFonts w:ascii="宋体" w:eastAsia="宋体" w:hAnsi="宋体" w:cs="宋体"/>
                <w:sz w:val="24"/>
                <w:szCs w:val="24"/>
              </w:rPr>
              <w:t>5000K</w:t>
            </w:r>
            <w:r>
              <w:rPr>
                <w:rFonts w:ascii="宋体" w:eastAsia="宋体" w:hAnsi="宋体" w:cs="宋体"/>
                <w:sz w:val="24"/>
                <w:szCs w:val="24"/>
              </w:rPr>
              <w:t>动力末煤平仓均价</w:t>
            </w:r>
            <w:r>
              <w:rPr>
                <w:rFonts w:ascii="宋体" w:eastAsia="宋体" w:hAnsi="宋体" w:cs="宋体"/>
                <w:sz w:val="24"/>
                <w:szCs w:val="24"/>
              </w:rPr>
              <w:t>798.87</w:t>
            </w:r>
            <w:r>
              <w:rPr>
                <w:rFonts w:ascii="宋体" w:eastAsia="宋体" w:hAnsi="宋体" w:cs="宋体"/>
                <w:sz w:val="24"/>
                <w:szCs w:val="24"/>
              </w:rPr>
              <w:t>元</w:t>
            </w:r>
            <w:r>
              <w:rPr>
                <w:rFonts w:ascii="宋体" w:eastAsia="宋体" w:hAnsi="宋体" w:cs="宋体"/>
                <w:sz w:val="24"/>
                <w:szCs w:val="24"/>
              </w:rPr>
              <w:t>/</w:t>
            </w:r>
            <w:r>
              <w:rPr>
                <w:rFonts w:ascii="宋体" w:eastAsia="宋体" w:hAnsi="宋体" w:cs="宋体"/>
                <w:sz w:val="24"/>
                <w:szCs w:val="24"/>
              </w:rPr>
              <w:t>吨，同比下跌</w:t>
            </w:r>
            <w:r>
              <w:rPr>
                <w:rFonts w:ascii="宋体" w:eastAsia="宋体" w:hAnsi="宋体" w:cs="宋体"/>
                <w:sz w:val="24"/>
                <w:szCs w:val="24"/>
              </w:rPr>
              <w:t>17.76%</w:t>
            </w:r>
            <w:r>
              <w:rPr>
                <w:rFonts w:ascii="宋体" w:eastAsia="宋体" w:hAnsi="宋体" w:cs="宋体"/>
                <w:sz w:val="24"/>
                <w:szCs w:val="24"/>
              </w:rPr>
              <w:t>；西北甲醇市场均价</w:t>
            </w:r>
            <w:r>
              <w:rPr>
                <w:rFonts w:ascii="宋体" w:eastAsia="宋体" w:hAnsi="宋体" w:cs="宋体"/>
                <w:sz w:val="24"/>
                <w:szCs w:val="24"/>
              </w:rPr>
              <w:t>2101.54</w:t>
            </w:r>
            <w:r>
              <w:rPr>
                <w:rFonts w:ascii="宋体" w:eastAsia="宋体" w:hAnsi="宋体" w:cs="宋体"/>
                <w:sz w:val="24"/>
                <w:szCs w:val="24"/>
              </w:rPr>
              <w:t>元</w:t>
            </w:r>
            <w:r>
              <w:rPr>
                <w:rFonts w:ascii="宋体" w:eastAsia="宋体" w:hAnsi="宋体" w:cs="宋体"/>
                <w:sz w:val="24"/>
                <w:szCs w:val="24"/>
              </w:rPr>
              <w:t>/</w:t>
            </w:r>
            <w:r>
              <w:rPr>
                <w:rFonts w:ascii="宋体" w:eastAsia="宋体" w:hAnsi="宋体" w:cs="宋体"/>
                <w:sz w:val="24"/>
                <w:szCs w:val="24"/>
              </w:rPr>
              <w:t>吨，同比下跌</w:t>
            </w:r>
            <w:r>
              <w:rPr>
                <w:rFonts w:ascii="宋体" w:eastAsia="宋体" w:hAnsi="宋体" w:cs="宋体"/>
                <w:sz w:val="24"/>
                <w:szCs w:val="24"/>
              </w:rPr>
              <w:t>6.55%</w:t>
            </w:r>
            <w:r>
              <w:rPr>
                <w:rFonts w:ascii="宋体" w:eastAsia="宋体" w:hAnsi="宋体" w:cs="宋体"/>
                <w:sz w:val="24"/>
                <w:szCs w:val="24"/>
              </w:rPr>
              <w:t>；新疆中温煤焦油主流均价</w:t>
            </w:r>
            <w:r>
              <w:rPr>
                <w:rFonts w:ascii="宋体" w:eastAsia="宋体" w:hAnsi="宋体" w:cs="宋体"/>
                <w:sz w:val="24"/>
                <w:szCs w:val="24"/>
              </w:rPr>
              <w:t>3172.28</w:t>
            </w:r>
            <w:r>
              <w:rPr>
                <w:rFonts w:ascii="宋体" w:eastAsia="宋体" w:hAnsi="宋体" w:cs="宋体"/>
                <w:sz w:val="24"/>
                <w:szCs w:val="24"/>
              </w:rPr>
              <w:t>元</w:t>
            </w:r>
            <w:r>
              <w:rPr>
                <w:rFonts w:ascii="宋体" w:eastAsia="宋体" w:hAnsi="宋体" w:cs="宋体"/>
                <w:sz w:val="24"/>
                <w:szCs w:val="24"/>
              </w:rPr>
              <w:t>/</w:t>
            </w:r>
            <w:r>
              <w:rPr>
                <w:rFonts w:ascii="宋体" w:eastAsia="宋体" w:hAnsi="宋体" w:cs="宋体"/>
                <w:sz w:val="24"/>
                <w:szCs w:val="24"/>
              </w:rPr>
              <w:t>吨，同比下跌</w:t>
            </w:r>
            <w:r>
              <w:rPr>
                <w:rFonts w:ascii="宋体" w:eastAsia="宋体" w:hAnsi="宋体" w:cs="宋体"/>
                <w:sz w:val="24"/>
                <w:szCs w:val="24"/>
              </w:rPr>
              <w:t>17.59%</w:t>
            </w:r>
            <w:r>
              <w:rPr>
                <w:rFonts w:ascii="宋体" w:eastAsia="宋体" w:hAnsi="宋体" w:cs="宋体"/>
                <w:sz w:val="24"/>
                <w:szCs w:val="24"/>
              </w:rPr>
              <w:t>。公司能源化工产品均执行市场定价机制，市场价格下</w:t>
            </w:r>
            <w:r>
              <w:rPr>
                <w:rFonts w:ascii="宋体" w:eastAsia="宋体" w:hAnsi="宋体" w:cs="宋体" w:hint="eastAsia"/>
                <w:sz w:val="24"/>
                <w:szCs w:val="24"/>
              </w:rPr>
              <w:t>跌致吨产品利润减少是公司一季度利润同比出现较大幅度回调的主要原因。</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2.</w:t>
            </w:r>
            <w:r>
              <w:rPr>
                <w:rFonts w:ascii="宋体" w:eastAsia="宋体" w:hAnsi="宋体" w:cs="宋体" w:hint="eastAsia"/>
                <w:b/>
                <w:bCs/>
                <w:sz w:val="24"/>
                <w:szCs w:val="24"/>
              </w:rPr>
              <w:t>斋桑油田</w:t>
            </w:r>
            <w:r>
              <w:rPr>
                <w:rFonts w:ascii="宋体" w:eastAsia="宋体" w:hAnsi="宋体" w:cs="宋体" w:hint="eastAsia"/>
                <w:b/>
                <w:bCs/>
                <w:sz w:val="24"/>
                <w:szCs w:val="24"/>
                <w:lang w:val="en-US"/>
              </w:rPr>
              <w:t>的</w:t>
            </w:r>
            <w:r>
              <w:rPr>
                <w:rFonts w:ascii="宋体" w:eastAsia="宋体" w:hAnsi="宋体" w:cs="宋体" w:hint="eastAsia"/>
                <w:b/>
                <w:bCs/>
                <w:sz w:val="24"/>
                <w:szCs w:val="24"/>
              </w:rPr>
              <w:t>最新进展？</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回复：自斋桑油气田逐步由天然气开采向原油开采为主过渡以</w:t>
            </w:r>
            <w:r>
              <w:rPr>
                <w:rFonts w:ascii="宋体" w:eastAsia="宋体" w:hAnsi="宋体" w:cs="宋体" w:hint="eastAsia"/>
                <w:sz w:val="24"/>
                <w:szCs w:val="24"/>
              </w:rPr>
              <w:lastRenderedPageBreak/>
              <w:t>来，公司正在加快推进原油资源开发相关工作。一是钻井开发工作，截至</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月末公司已完成</w:t>
            </w:r>
            <w:r>
              <w:rPr>
                <w:rFonts w:ascii="宋体" w:eastAsia="宋体" w:hAnsi="宋体" w:cs="宋体"/>
                <w:sz w:val="24"/>
                <w:szCs w:val="24"/>
              </w:rPr>
              <w:t>S-1002</w:t>
            </w:r>
            <w:r>
              <w:rPr>
                <w:rFonts w:ascii="宋体" w:eastAsia="宋体" w:hAnsi="宋体" w:cs="宋体"/>
                <w:sz w:val="24"/>
                <w:szCs w:val="24"/>
              </w:rPr>
              <w:t>、</w:t>
            </w:r>
            <w:r>
              <w:rPr>
                <w:rFonts w:ascii="宋体" w:eastAsia="宋体" w:hAnsi="宋体" w:cs="宋体"/>
                <w:sz w:val="24"/>
                <w:szCs w:val="24"/>
              </w:rPr>
              <w:t>S-1002</w:t>
            </w:r>
            <w:r>
              <w:rPr>
                <w:rFonts w:ascii="宋体" w:eastAsia="宋体" w:hAnsi="宋体" w:cs="宋体"/>
                <w:sz w:val="24"/>
                <w:szCs w:val="24"/>
              </w:rPr>
              <w:t>两口井的钻井开发，目前正在采用氮气（气溶胶）新型工艺开展注采试验。二是持续开展油田增储。</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S-308H</w:t>
            </w:r>
            <w:r>
              <w:rPr>
                <w:rFonts w:ascii="宋体" w:eastAsia="宋体" w:hAnsi="宋体" w:cs="宋体"/>
                <w:sz w:val="24"/>
                <w:szCs w:val="24"/>
              </w:rPr>
              <w:t>井钻机顺利开钻，标志着斋桑油气田</w:t>
            </w:r>
            <w:r>
              <w:rPr>
                <w:rFonts w:ascii="宋体" w:eastAsia="宋体" w:hAnsi="宋体" w:cs="宋体"/>
                <w:sz w:val="24"/>
                <w:szCs w:val="24"/>
              </w:rPr>
              <w:t>4000</w:t>
            </w:r>
            <w:r>
              <w:rPr>
                <w:rFonts w:ascii="宋体" w:eastAsia="宋体" w:hAnsi="宋体" w:cs="宋体"/>
                <w:sz w:val="24"/>
                <w:szCs w:val="24"/>
              </w:rPr>
              <w:t>米左右的深层增储工作已正式启动。</w:t>
            </w:r>
            <w:r>
              <w:rPr>
                <w:rFonts w:ascii="宋体" w:eastAsia="宋体" w:hAnsi="宋体" w:cs="宋体" w:hint="eastAsia"/>
                <w:sz w:val="24"/>
                <w:szCs w:val="24"/>
              </w:rPr>
              <w:t>此外，公司</w:t>
            </w:r>
            <w:r>
              <w:rPr>
                <w:rFonts w:ascii="宋体" w:eastAsia="宋体" w:hAnsi="宋体" w:cs="宋体"/>
                <w:sz w:val="24"/>
                <w:szCs w:val="24"/>
              </w:rPr>
              <w:t>2024</w:t>
            </w:r>
            <w:r>
              <w:rPr>
                <w:rFonts w:ascii="宋体" w:eastAsia="宋体" w:hAnsi="宋体" w:cs="宋体"/>
                <w:sz w:val="24"/>
                <w:szCs w:val="24"/>
              </w:rPr>
              <w:t>年原油进口配额已获批，目前正在加快推进原油进口手续办理及相关地面设施建设工作，配合勘探开发进展尽快实现原油进口加工。</w:t>
            </w:r>
            <w:r>
              <w:rPr>
                <w:rFonts w:ascii="宋体" w:eastAsia="宋体" w:hAnsi="宋体" w:cs="宋体" w:hint="eastAsia"/>
                <w:sz w:val="24"/>
                <w:szCs w:val="24"/>
              </w:rPr>
              <w:t>公司年内计划完成</w:t>
            </w:r>
            <w:r>
              <w:rPr>
                <w:rFonts w:ascii="宋体" w:eastAsia="宋体" w:hAnsi="宋体" w:cs="宋体" w:hint="eastAsia"/>
                <w:sz w:val="24"/>
                <w:szCs w:val="24"/>
              </w:rPr>
              <w:t>10</w:t>
            </w:r>
            <w:r>
              <w:rPr>
                <w:rFonts w:ascii="宋体" w:eastAsia="宋体" w:hAnsi="宋体" w:cs="宋体" w:hint="eastAsia"/>
                <w:sz w:val="24"/>
                <w:szCs w:val="24"/>
              </w:rPr>
              <w:t>万吨左右原油产量，在此基础上加快开发节奏，尽快实现百万吨级的原油生产规模。</w:t>
            </w:r>
          </w:p>
          <w:p w:rsidR="003372BA" w:rsidRDefault="003372BA">
            <w:pPr>
              <w:pStyle w:val="TableParagraph"/>
              <w:tabs>
                <w:tab w:val="left" w:pos="0"/>
              </w:tabs>
              <w:spacing w:line="420" w:lineRule="exact"/>
              <w:jc w:val="both"/>
              <w:rPr>
                <w:rFonts w:ascii="宋体" w:eastAsia="宋体" w:hAnsi="宋体" w:cs="宋体"/>
                <w:sz w:val="24"/>
                <w:szCs w:val="24"/>
              </w:rPr>
            </w:pPr>
          </w:p>
          <w:p w:rsidR="005018EB" w:rsidRDefault="008405BC" w:rsidP="008405BC">
            <w:pPr>
              <w:pStyle w:val="TableParagraph"/>
              <w:tabs>
                <w:tab w:val="left" w:pos="0"/>
                <w:tab w:val="left" w:pos="312"/>
              </w:tabs>
              <w:spacing w:line="420" w:lineRule="exact"/>
              <w:jc w:val="both"/>
              <w:rPr>
                <w:rFonts w:ascii="宋体" w:eastAsia="宋体" w:hAnsi="宋体" w:cs="宋体"/>
                <w:b/>
                <w:bCs/>
                <w:sz w:val="24"/>
                <w:szCs w:val="24"/>
                <w:lang w:val="en-US"/>
              </w:rPr>
            </w:pPr>
            <w:r>
              <w:rPr>
                <w:rFonts w:ascii="宋体" w:eastAsia="宋体" w:hAnsi="宋体" w:cs="宋体" w:hint="eastAsia"/>
                <w:b/>
                <w:bCs/>
                <w:sz w:val="24"/>
                <w:szCs w:val="24"/>
                <w:lang w:val="en-US"/>
              </w:rPr>
              <w:t>3</w:t>
            </w:r>
            <w:r>
              <w:rPr>
                <w:rFonts w:ascii="宋体" w:eastAsia="宋体" w:hAnsi="宋体" w:cs="宋体"/>
                <w:b/>
                <w:bCs/>
                <w:sz w:val="24"/>
                <w:szCs w:val="24"/>
                <w:lang w:val="en-US"/>
              </w:rPr>
              <w:t>.</w:t>
            </w:r>
            <w:r w:rsidR="007A528B">
              <w:rPr>
                <w:rFonts w:ascii="宋体" w:eastAsia="宋体" w:hAnsi="宋体" w:cs="宋体" w:hint="eastAsia"/>
                <w:b/>
                <w:bCs/>
                <w:sz w:val="24"/>
                <w:szCs w:val="24"/>
                <w:lang w:val="en-US"/>
              </w:rPr>
              <w:t>请介绍一下启东码头，包括已投资情况和码头整</w:t>
            </w:r>
            <w:r w:rsidR="007A528B">
              <w:rPr>
                <w:rFonts w:ascii="宋体" w:eastAsia="宋体" w:hAnsi="宋体" w:cs="宋体" w:hint="eastAsia"/>
                <w:b/>
                <w:bCs/>
                <w:sz w:val="24"/>
                <w:szCs w:val="24"/>
                <w:lang w:val="en-US"/>
              </w:rPr>
              <w:t>体规划是怎样的？</w:t>
            </w:r>
          </w:p>
          <w:p w:rsidR="003372BA" w:rsidRDefault="007A528B" w:rsidP="008405BC">
            <w:pPr>
              <w:pStyle w:val="TableParagraph"/>
              <w:tabs>
                <w:tab w:val="left" w:pos="0"/>
                <w:tab w:val="left" w:pos="312"/>
              </w:tabs>
              <w:spacing w:line="420" w:lineRule="exact"/>
              <w:jc w:val="both"/>
              <w:rPr>
                <w:rFonts w:ascii="宋体" w:eastAsia="宋体" w:hAnsi="宋体" w:cs="宋体"/>
                <w:sz w:val="24"/>
                <w:szCs w:val="24"/>
              </w:rPr>
            </w:pPr>
            <w:r>
              <w:rPr>
                <w:rFonts w:ascii="宋体" w:eastAsia="宋体" w:hAnsi="宋体" w:cs="宋体" w:hint="eastAsia"/>
                <w:sz w:val="24"/>
                <w:szCs w:val="24"/>
              </w:rPr>
              <w:t>回复：截至目前，公司启东</w:t>
            </w:r>
            <w:r>
              <w:rPr>
                <w:rFonts w:ascii="宋体" w:eastAsia="宋体" w:hAnsi="宋体" w:cs="宋体"/>
                <w:sz w:val="24"/>
                <w:szCs w:val="24"/>
              </w:rPr>
              <w:t>LNG</w:t>
            </w:r>
            <w:r>
              <w:rPr>
                <w:rFonts w:ascii="宋体" w:eastAsia="宋体" w:hAnsi="宋体" w:cs="宋体"/>
                <w:sz w:val="24"/>
                <w:szCs w:val="24"/>
              </w:rPr>
              <w:t>接收站项目已累计完成投资约</w:t>
            </w:r>
            <w:r>
              <w:rPr>
                <w:rFonts w:ascii="宋体" w:eastAsia="宋体" w:hAnsi="宋体" w:cs="宋体"/>
                <w:sz w:val="24"/>
                <w:szCs w:val="24"/>
              </w:rPr>
              <w:t>50</w:t>
            </w:r>
            <w:r>
              <w:rPr>
                <w:rFonts w:ascii="宋体" w:eastAsia="宋体" w:hAnsi="宋体" w:cs="宋体"/>
                <w:sz w:val="24"/>
                <w:szCs w:val="24"/>
              </w:rPr>
              <w:t>亿元，已建成一座可接收国际主流</w:t>
            </w:r>
            <w:r>
              <w:rPr>
                <w:rFonts w:ascii="宋体" w:eastAsia="宋体" w:hAnsi="宋体" w:cs="宋体"/>
                <w:sz w:val="24"/>
                <w:szCs w:val="24"/>
              </w:rPr>
              <w:t>LNG</w:t>
            </w:r>
            <w:r>
              <w:rPr>
                <w:rFonts w:ascii="宋体" w:eastAsia="宋体" w:hAnsi="宋体" w:cs="宋体"/>
                <w:sz w:val="24"/>
                <w:szCs w:val="24"/>
              </w:rPr>
              <w:t>船型的码头、</w:t>
            </w:r>
            <w:r>
              <w:rPr>
                <w:rFonts w:ascii="宋体" w:eastAsia="宋体" w:hAnsi="宋体" w:cs="宋体"/>
                <w:sz w:val="24"/>
                <w:szCs w:val="24"/>
              </w:rPr>
              <w:t>6</w:t>
            </w:r>
            <w:r>
              <w:rPr>
                <w:rFonts w:ascii="宋体" w:eastAsia="宋体" w:hAnsi="宋体" w:cs="宋体"/>
                <w:sz w:val="24"/>
                <w:szCs w:val="24"/>
              </w:rPr>
              <w:t>座</w:t>
            </w:r>
            <w:r>
              <w:rPr>
                <w:rFonts w:ascii="宋体" w:eastAsia="宋体" w:hAnsi="宋体" w:cs="宋体"/>
                <w:sz w:val="24"/>
                <w:szCs w:val="24"/>
              </w:rPr>
              <w:t>LNG</w:t>
            </w:r>
            <w:r>
              <w:rPr>
                <w:rFonts w:ascii="宋体" w:eastAsia="宋体" w:hAnsi="宋体" w:cs="宋体"/>
                <w:sz w:val="24"/>
                <w:szCs w:val="24"/>
              </w:rPr>
              <w:t>储罐合计</w:t>
            </w:r>
            <w:r>
              <w:rPr>
                <w:rFonts w:ascii="宋体" w:eastAsia="宋体" w:hAnsi="宋体" w:cs="宋体"/>
                <w:sz w:val="24"/>
                <w:szCs w:val="24"/>
              </w:rPr>
              <w:t>82</w:t>
            </w:r>
            <w:r>
              <w:rPr>
                <w:rFonts w:ascii="宋体" w:eastAsia="宋体" w:hAnsi="宋体" w:cs="宋体"/>
                <w:sz w:val="24"/>
                <w:szCs w:val="24"/>
              </w:rPr>
              <w:t>万方罐容及相关配套设施（含引桥、海水气化装置及外输天然气管道），形成</w:t>
            </w:r>
            <w:r>
              <w:rPr>
                <w:rFonts w:ascii="宋体" w:eastAsia="宋体" w:hAnsi="宋体" w:cs="宋体"/>
                <w:sz w:val="24"/>
                <w:szCs w:val="24"/>
              </w:rPr>
              <w:t>500</w:t>
            </w:r>
            <w:r>
              <w:rPr>
                <w:rFonts w:ascii="宋体" w:eastAsia="宋体" w:hAnsi="宋体" w:cs="宋体"/>
                <w:sz w:val="24"/>
                <w:szCs w:val="24"/>
              </w:rPr>
              <w:t>万吨</w:t>
            </w:r>
            <w:r>
              <w:rPr>
                <w:rFonts w:ascii="宋体" w:eastAsia="宋体" w:hAnsi="宋体" w:cs="宋体"/>
                <w:sz w:val="24"/>
                <w:szCs w:val="24"/>
              </w:rPr>
              <w:t>/</w:t>
            </w:r>
            <w:r>
              <w:rPr>
                <w:rFonts w:ascii="宋体" w:eastAsia="宋体" w:hAnsi="宋体" w:cs="宋体"/>
                <w:sz w:val="24"/>
                <w:szCs w:val="24"/>
              </w:rPr>
              <w:t>年接收周转能力。后续公司将继续对启东</w:t>
            </w:r>
            <w:r>
              <w:rPr>
                <w:rFonts w:ascii="宋体" w:eastAsia="宋体" w:hAnsi="宋体" w:cs="宋体"/>
                <w:sz w:val="24"/>
                <w:szCs w:val="24"/>
              </w:rPr>
              <w:t>LNG</w:t>
            </w:r>
            <w:r>
              <w:rPr>
                <w:rFonts w:ascii="宋体" w:eastAsia="宋体" w:hAnsi="宋体" w:cs="宋体"/>
                <w:sz w:val="24"/>
                <w:szCs w:val="24"/>
              </w:rPr>
              <w:t>接收站进行扩能改造，将该码头接收周转能力进一步提升至</w:t>
            </w:r>
            <w:r>
              <w:rPr>
                <w:rFonts w:ascii="宋体" w:eastAsia="宋体" w:hAnsi="宋体" w:cs="宋体"/>
                <w:sz w:val="24"/>
                <w:szCs w:val="24"/>
              </w:rPr>
              <w:t>1000</w:t>
            </w:r>
            <w:r>
              <w:rPr>
                <w:rFonts w:ascii="宋体" w:eastAsia="宋体" w:hAnsi="宋体" w:cs="宋体"/>
                <w:sz w:val="24"/>
                <w:szCs w:val="24"/>
              </w:rPr>
              <w:t>万吨</w:t>
            </w:r>
            <w:r>
              <w:rPr>
                <w:rFonts w:ascii="宋体" w:eastAsia="宋体" w:hAnsi="宋体" w:cs="宋体"/>
                <w:sz w:val="24"/>
                <w:szCs w:val="24"/>
              </w:rPr>
              <w:t>/</w:t>
            </w:r>
            <w:r>
              <w:rPr>
                <w:rFonts w:ascii="宋体" w:eastAsia="宋体" w:hAnsi="宋体" w:cs="宋体"/>
                <w:sz w:val="24"/>
                <w:szCs w:val="24"/>
              </w:rPr>
              <w:t>年，相关投资动态敬请关注公司公告。</w:t>
            </w:r>
            <w:r>
              <w:rPr>
                <w:rFonts w:ascii="宋体" w:eastAsia="宋体" w:hAnsi="宋体" w:cs="宋体" w:hint="eastAsia"/>
                <w:sz w:val="24"/>
                <w:szCs w:val="24"/>
              </w:rPr>
              <w:t xml:space="preserve"> </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公司今后几年</w:t>
            </w:r>
            <w:r>
              <w:rPr>
                <w:rFonts w:ascii="宋体" w:eastAsia="宋体" w:hAnsi="宋体" w:cs="宋体" w:hint="eastAsia"/>
                <w:b/>
                <w:bCs/>
                <w:sz w:val="24"/>
                <w:szCs w:val="24"/>
                <w:lang w:val="en-US"/>
              </w:rPr>
              <w:t>的</w:t>
            </w:r>
            <w:r>
              <w:rPr>
                <w:rFonts w:ascii="宋体" w:eastAsia="宋体" w:hAnsi="宋体" w:cs="宋体" w:hint="eastAsia"/>
                <w:b/>
                <w:bCs/>
                <w:sz w:val="24"/>
                <w:szCs w:val="24"/>
              </w:rPr>
              <w:t>分红指引是</w:t>
            </w:r>
            <w:r>
              <w:rPr>
                <w:rFonts w:ascii="宋体" w:eastAsia="宋体" w:hAnsi="宋体" w:cs="宋体" w:hint="eastAsia"/>
                <w:b/>
                <w:bCs/>
                <w:sz w:val="24"/>
                <w:szCs w:val="24"/>
                <w:lang w:val="en-US"/>
              </w:rPr>
              <w:t>怎样</w:t>
            </w:r>
            <w:r>
              <w:rPr>
                <w:rFonts w:ascii="宋体" w:eastAsia="宋体" w:hAnsi="宋体" w:cs="宋体" w:hint="eastAsia"/>
                <w:b/>
                <w:bCs/>
                <w:sz w:val="24"/>
                <w:szCs w:val="24"/>
              </w:rPr>
              <w:t>的？</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回复：在完成</w:t>
            </w:r>
            <w:r>
              <w:rPr>
                <w:rFonts w:ascii="宋体" w:eastAsia="宋体" w:hAnsi="宋体" w:cs="宋体"/>
                <w:sz w:val="24"/>
                <w:szCs w:val="24"/>
              </w:rPr>
              <w:t>2022-2024</w:t>
            </w:r>
            <w:r>
              <w:rPr>
                <w:rFonts w:ascii="宋体" w:eastAsia="宋体" w:hAnsi="宋体" w:cs="宋体"/>
                <w:sz w:val="24"/>
                <w:szCs w:val="24"/>
              </w:rPr>
              <w:t>年既有分红方案的基础上，公司会结合生产经营情况适时推出接续方案，敬请关</w:t>
            </w:r>
            <w:r>
              <w:rPr>
                <w:rFonts w:ascii="宋体" w:eastAsia="宋体" w:hAnsi="宋体" w:cs="宋体"/>
                <w:sz w:val="24"/>
                <w:szCs w:val="24"/>
              </w:rPr>
              <w:t>注后续相关公告。</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5</w:t>
            </w:r>
            <w:r>
              <w:rPr>
                <w:rFonts w:ascii="宋体" w:eastAsia="宋体" w:hAnsi="宋体" w:cs="宋体" w:hint="eastAsia"/>
                <w:b/>
                <w:bCs/>
                <w:sz w:val="24"/>
                <w:szCs w:val="24"/>
              </w:rPr>
              <w:t>.</w:t>
            </w:r>
            <w:r>
              <w:rPr>
                <w:rFonts w:ascii="宋体" w:eastAsia="宋体" w:hAnsi="宋体" w:cs="宋体" w:hint="eastAsia"/>
                <w:b/>
                <w:bCs/>
                <w:sz w:val="24"/>
                <w:szCs w:val="24"/>
              </w:rPr>
              <w:t>公司</w:t>
            </w:r>
            <w:r>
              <w:rPr>
                <w:rFonts w:ascii="宋体" w:eastAsia="宋体" w:hAnsi="宋体" w:cs="宋体" w:hint="eastAsia"/>
                <w:b/>
                <w:bCs/>
                <w:sz w:val="24"/>
                <w:szCs w:val="24"/>
                <w:lang w:val="en-US"/>
              </w:rPr>
              <w:t>如何看待</w:t>
            </w:r>
            <w:r>
              <w:rPr>
                <w:rFonts w:ascii="宋体" w:eastAsia="宋体" w:hAnsi="宋体" w:cs="宋体"/>
                <w:b/>
                <w:bCs/>
                <w:sz w:val="24"/>
                <w:szCs w:val="24"/>
              </w:rPr>
              <w:t>2024</w:t>
            </w:r>
            <w:r>
              <w:rPr>
                <w:rFonts w:ascii="宋体" w:eastAsia="宋体" w:hAnsi="宋体" w:cs="宋体"/>
                <w:b/>
                <w:bCs/>
                <w:sz w:val="24"/>
                <w:szCs w:val="24"/>
              </w:rPr>
              <w:t>年的煤炭市场</w:t>
            </w:r>
            <w:r>
              <w:rPr>
                <w:rFonts w:ascii="宋体" w:eastAsia="宋体" w:hAnsi="宋体" w:cs="宋体" w:hint="eastAsia"/>
                <w:b/>
                <w:bCs/>
                <w:sz w:val="24"/>
                <w:szCs w:val="24"/>
              </w:rPr>
              <w:t>？</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回复：在我国富煤、贫油、少气的能源背景下，以煤为主的能源结构短期内还难以改变。随着我国社会用电量的持续增加，煤炭消费量还将持续增长。据国家统计局数据，</w:t>
            </w:r>
            <w:r>
              <w:rPr>
                <w:rFonts w:ascii="宋体" w:eastAsia="宋体" w:hAnsi="宋体" w:cs="宋体"/>
                <w:sz w:val="24"/>
                <w:szCs w:val="24"/>
              </w:rPr>
              <w:t>2023</w:t>
            </w:r>
            <w:r>
              <w:rPr>
                <w:rFonts w:ascii="宋体" w:eastAsia="宋体" w:hAnsi="宋体" w:cs="宋体"/>
                <w:sz w:val="24"/>
                <w:szCs w:val="24"/>
              </w:rPr>
              <w:t>年国内煤炭产量</w:t>
            </w:r>
            <w:r>
              <w:rPr>
                <w:rFonts w:ascii="宋体" w:eastAsia="宋体" w:hAnsi="宋体" w:cs="宋体"/>
                <w:sz w:val="24"/>
                <w:szCs w:val="24"/>
              </w:rPr>
              <w:t>47.1</w:t>
            </w:r>
            <w:r>
              <w:rPr>
                <w:rFonts w:ascii="宋体" w:eastAsia="宋体" w:hAnsi="宋体" w:cs="宋体"/>
                <w:sz w:val="24"/>
                <w:szCs w:val="24"/>
              </w:rPr>
              <w:t>亿吨，同比增长</w:t>
            </w:r>
            <w:r>
              <w:rPr>
                <w:rFonts w:ascii="宋体" w:eastAsia="宋体" w:hAnsi="宋体" w:cs="宋体"/>
                <w:sz w:val="24"/>
                <w:szCs w:val="24"/>
              </w:rPr>
              <w:t>3.4%</w:t>
            </w:r>
            <w:r>
              <w:rPr>
                <w:rFonts w:ascii="宋体" w:eastAsia="宋体" w:hAnsi="宋体" w:cs="宋体"/>
                <w:sz w:val="24"/>
                <w:szCs w:val="24"/>
              </w:rPr>
              <w:t>；进口量</w:t>
            </w:r>
            <w:r>
              <w:rPr>
                <w:rFonts w:ascii="宋体" w:eastAsia="宋体" w:hAnsi="宋体" w:cs="宋体"/>
                <w:sz w:val="24"/>
                <w:szCs w:val="24"/>
              </w:rPr>
              <w:t>4.74</w:t>
            </w:r>
            <w:r>
              <w:rPr>
                <w:rFonts w:ascii="宋体" w:eastAsia="宋体" w:hAnsi="宋体" w:cs="宋体"/>
                <w:sz w:val="24"/>
                <w:szCs w:val="24"/>
              </w:rPr>
              <w:t>亿吨，同比增长</w:t>
            </w:r>
            <w:r>
              <w:rPr>
                <w:rFonts w:ascii="宋体" w:eastAsia="宋体" w:hAnsi="宋体" w:cs="宋体"/>
                <w:sz w:val="24"/>
                <w:szCs w:val="24"/>
              </w:rPr>
              <w:t>61.8%</w:t>
            </w:r>
            <w:r>
              <w:rPr>
                <w:rFonts w:ascii="宋体" w:eastAsia="宋体" w:hAnsi="宋体" w:cs="宋体"/>
                <w:sz w:val="24"/>
                <w:szCs w:val="24"/>
              </w:rPr>
              <w:t>。</w:t>
            </w:r>
            <w:r>
              <w:rPr>
                <w:rFonts w:ascii="宋体" w:eastAsia="宋体" w:hAnsi="宋体" w:cs="宋体"/>
                <w:sz w:val="24"/>
                <w:szCs w:val="24"/>
              </w:rPr>
              <w:t>2024</w:t>
            </w:r>
            <w:r>
              <w:rPr>
                <w:rFonts w:ascii="宋体" w:eastAsia="宋体" w:hAnsi="宋体" w:cs="宋体"/>
                <w:sz w:val="24"/>
                <w:szCs w:val="24"/>
              </w:rPr>
              <w:t>年</w:t>
            </w:r>
            <w:bookmarkStart w:id="0" w:name="_GoBack"/>
            <w:bookmarkEnd w:id="0"/>
            <w:r>
              <w:rPr>
                <w:rFonts w:ascii="宋体" w:eastAsia="宋体" w:hAnsi="宋体" w:cs="宋体"/>
                <w:sz w:val="24"/>
                <w:szCs w:val="24"/>
              </w:rPr>
              <w:t>一季度，煤炭供需略显宽松的背景下，煤炭价格有所回调。但随着迎峰度夏的来临，全国用电负荷还将快速增长，电煤需求将持续改善，煤炭价格在供需关系改善的背景下预计将延续筑底反弹态势。</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lastRenderedPageBreak/>
              <w:t>6</w:t>
            </w:r>
            <w:r>
              <w:rPr>
                <w:rFonts w:ascii="宋体" w:eastAsia="宋体" w:hAnsi="宋体" w:cs="宋体" w:hint="eastAsia"/>
                <w:b/>
                <w:bCs/>
                <w:sz w:val="24"/>
                <w:szCs w:val="24"/>
              </w:rPr>
              <w:t>.</w:t>
            </w:r>
            <w:r>
              <w:rPr>
                <w:rFonts w:ascii="宋体" w:eastAsia="宋体" w:hAnsi="宋体" w:cs="宋体" w:hint="eastAsia"/>
                <w:b/>
                <w:bCs/>
                <w:sz w:val="24"/>
                <w:szCs w:val="24"/>
              </w:rPr>
              <w:t>关于采购节奏的调整，是否会在淡季减少天然气的采购，并在四季度多销售保障盈利最大化？</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回复：公司已投用</w:t>
            </w:r>
            <w:r>
              <w:rPr>
                <w:rFonts w:ascii="宋体" w:eastAsia="宋体" w:hAnsi="宋体" w:cs="宋体"/>
                <w:sz w:val="24"/>
                <w:szCs w:val="24"/>
              </w:rPr>
              <w:t>6</w:t>
            </w:r>
            <w:r>
              <w:rPr>
                <w:rFonts w:ascii="宋体" w:eastAsia="宋体" w:hAnsi="宋体" w:cs="宋体"/>
                <w:sz w:val="24"/>
                <w:szCs w:val="24"/>
              </w:rPr>
              <w:t>号</w:t>
            </w:r>
            <w:r>
              <w:rPr>
                <w:rFonts w:ascii="宋体" w:eastAsia="宋体" w:hAnsi="宋体" w:cs="宋体"/>
                <w:sz w:val="24"/>
                <w:szCs w:val="24"/>
              </w:rPr>
              <w:t>20</w:t>
            </w:r>
            <w:r>
              <w:rPr>
                <w:rFonts w:ascii="宋体" w:eastAsia="宋体" w:hAnsi="宋体" w:cs="宋体"/>
                <w:sz w:val="24"/>
                <w:szCs w:val="24"/>
              </w:rPr>
              <w:t>万方储罐，合计拥有</w:t>
            </w:r>
            <w:r>
              <w:rPr>
                <w:rFonts w:ascii="宋体" w:eastAsia="宋体" w:hAnsi="宋体" w:cs="宋体"/>
                <w:sz w:val="24"/>
                <w:szCs w:val="24"/>
              </w:rPr>
              <w:t>82</w:t>
            </w:r>
            <w:r>
              <w:rPr>
                <w:rFonts w:ascii="宋体" w:eastAsia="宋体" w:hAnsi="宋体" w:cs="宋体"/>
                <w:sz w:val="24"/>
                <w:szCs w:val="24"/>
              </w:rPr>
              <w:t>万方罐容。公司会充分利用自有罐容优势并结合天然气市场淡旺季情况稳妥推进淡储旺销业务。</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7</w:t>
            </w:r>
            <w:r>
              <w:rPr>
                <w:rFonts w:ascii="宋体" w:eastAsia="宋体" w:hAnsi="宋体" w:cs="宋体" w:hint="eastAsia"/>
                <w:b/>
                <w:bCs/>
                <w:sz w:val="24"/>
                <w:szCs w:val="24"/>
              </w:rPr>
              <w:t>.</w:t>
            </w:r>
            <w:r>
              <w:rPr>
                <w:rFonts w:ascii="宋体" w:eastAsia="宋体" w:hAnsi="宋体" w:cs="宋体" w:hint="eastAsia"/>
                <w:b/>
                <w:bCs/>
                <w:sz w:val="24"/>
                <w:szCs w:val="24"/>
              </w:rPr>
              <w:t>一季度环渤海价格应该是</w:t>
            </w:r>
            <w:r>
              <w:rPr>
                <w:rFonts w:ascii="宋体" w:eastAsia="宋体" w:hAnsi="宋体" w:cs="宋体"/>
                <w:b/>
                <w:bCs/>
                <w:sz w:val="24"/>
                <w:szCs w:val="24"/>
              </w:rPr>
              <w:t>1-2</w:t>
            </w:r>
            <w:r>
              <w:rPr>
                <w:rFonts w:ascii="宋体" w:eastAsia="宋体" w:hAnsi="宋体" w:cs="宋体"/>
                <w:b/>
                <w:bCs/>
                <w:sz w:val="24"/>
                <w:szCs w:val="24"/>
              </w:rPr>
              <w:t>月份</w:t>
            </w:r>
            <w:r>
              <w:rPr>
                <w:rFonts w:ascii="宋体" w:eastAsia="宋体" w:hAnsi="宋体" w:cs="宋体"/>
                <w:b/>
                <w:bCs/>
                <w:sz w:val="24"/>
                <w:szCs w:val="24"/>
              </w:rPr>
              <w:t>900</w:t>
            </w:r>
            <w:r>
              <w:rPr>
                <w:rFonts w:ascii="宋体" w:eastAsia="宋体" w:hAnsi="宋体" w:cs="宋体" w:hint="eastAsia"/>
                <w:b/>
                <w:bCs/>
                <w:sz w:val="24"/>
                <w:szCs w:val="24"/>
              </w:rPr>
              <w:t>元</w:t>
            </w:r>
            <w:r>
              <w:rPr>
                <w:rFonts w:ascii="宋体" w:eastAsia="宋体" w:hAnsi="宋体" w:cs="宋体" w:hint="eastAsia"/>
                <w:b/>
                <w:bCs/>
                <w:sz w:val="24"/>
                <w:szCs w:val="24"/>
              </w:rPr>
              <w:t>/</w:t>
            </w:r>
            <w:r>
              <w:rPr>
                <w:rFonts w:ascii="宋体" w:eastAsia="宋体" w:hAnsi="宋体" w:cs="宋体" w:hint="eastAsia"/>
                <w:b/>
                <w:bCs/>
                <w:sz w:val="24"/>
                <w:szCs w:val="24"/>
              </w:rPr>
              <w:t>吨</w:t>
            </w:r>
            <w:r>
              <w:rPr>
                <w:rFonts w:ascii="宋体" w:eastAsia="宋体" w:hAnsi="宋体" w:cs="宋体"/>
                <w:b/>
                <w:bCs/>
                <w:sz w:val="24"/>
                <w:szCs w:val="24"/>
              </w:rPr>
              <w:t>，</w:t>
            </w:r>
            <w:r>
              <w:rPr>
                <w:rFonts w:ascii="宋体" w:eastAsia="宋体" w:hAnsi="宋体" w:cs="宋体"/>
                <w:b/>
                <w:bCs/>
                <w:sz w:val="24"/>
                <w:szCs w:val="24"/>
              </w:rPr>
              <w:t>3</w:t>
            </w:r>
            <w:r>
              <w:rPr>
                <w:rFonts w:ascii="宋体" w:eastAsia="宋体" w:hAnsi="宋体" w:cs="宋体"/>
                <w:b/>
                <w:bCs/>
                <w:sz w:val="24"/>
                <w:szCs w:val="24"/>
              </w:rPr>
              <w:t>月份的时候跌到了</w:t>
            </w:r>
            <w:r>
              <w:rPr>
                <w:rFonts w:ascii="宋体" w:eastAsia="宋体" w:hAnsi="宋体" w:cs="宋体"/>
                <w:b/>
                <w:bCs/>
                <w:sz w:val="24"/>
                <w:szCs w:val="24"/>
              </w:rPr>
              <w:t>800</w:t>
            </w:r>
            <w:r>
              <w:rPr>
                <w:rFonts w:ascii="宋体" w:eastAsia="宋体" w:hAnsi="宋体" w:cs="宋体" w:hint="eastAsia"/>
                <w:b/>
                <w:bCs/>
                <w:sz w:val="24"/>
                <w:szCs w:val="24"/>
              </w:rPr>
              <w:t>元</w:t>
            </w:r>
            <w:r>
              <w:rPr>
                <w:rFonts w:ascii="宋体" w:eastAsia="宋体" w:hAnsi="宋体" w:cs="宋体" w:hint="eastAsia"/>
                <w:b/>
                <w:bCs/>
                <w:sz w:val="24"/>
                <w:szCs w:val="24"/>
              </w:rPr>
              <w:t>/</w:t>
            </w:r>
            <w:r>
              <w:rPr>
                <w:rFonts w:ascii="宋体" w:eastAsia="宋体" w:hAnsi="宋体" w:cs="宋体" w:hint="eastAsia"/>
                <w:b/>
                <w:bCs/>
                <w:sz w:val="24"/>
                <w:szCs w:val="24"/>
              </w:rPr>
              <w:t>吨</w:t>
            </w:r>
            <w:r>
              <w:rPr>
                <w:rFonts w:ascii="宋体" w:eastAsia="宋体" w:hAnsi="宋体" w:cs="宋体"/>
                <w:b/>
                <w:bCs/>
                <w:sz w:val="24"/>
                <w:szCs w:val="24"/>
              </w:rPr>
              <w:t>，这段时间煤炭的售价所反映的吨净利如何变化？</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回复：从销量和销价来看，一季度煤炭销量同环比均有所改善，价格端</w:t>
            </w:r>
            <w:r>
              <w:rPr>
                <w:rFonts w:ascii="宋体" w:eastAsia="宋体" w:hAnsi="宋体" w:cs="宋体"/>
                <w:sz w:val="24"/>
                <w:szCs w:val="24"/>
              </w:rPr>
              <w:t>3</w:t>
            </w:r>
            <w:r>
              <w:rPr>
                <w:rFonts w:ascii="宋体" w:eastAsia="宋体" w:hAnsi="宋体" w:cs="宋体"/>
                <w:sz w:val="24"/>
                <w:szCs w:val="24"/>
              </w:rPr>
              <w:t>月受市场价格下跌影响有所回调，吨煤净利略有减少。目前随着环渤海地区煤炭价格筑底反弹、铁路运费下降等因素</w:t>
            </w:r>
            <w:r>
              <w:rPr>
                <w:rFonts w:ascii="宋体" w:eastAsia="宋体" w:hAnsi="宋体" w:cs="宋体"/>
                <w:sz w:val="24"/>
                <w:szCs w:val="24"/>
              </w:rPr>
              <w:t>综合影响，公司煤炭销售价格已逐步修复。</w:t>
            </w:r>
          </w:p>
          <w:p w:rsidR="003372BA" w:rsidRDefault="003372BA">
            <w:pPr>
              <w:pStyle w:val="TableParagraph"/>
              <w:tabs>
                <w:tab w:val="left" w:pos="0"/>
              </w:tabs>
              <w:spacing w:line="420" w:lineRule="exact"/>
              <w:jc w:val="both"/>
              <w:rPr>
                <w:rFonts w:ascii="宋体" w:eastAsia="宋体" w:hAnsi="宋体" w:cs="宋体"/>
                <w:sz w:val="24"/>
                <w:szCs w:val="24"/>
              </w:rPr>
            </w:pPr>
          </w:p>
          <w:p w:rsidR="003372BA" w:rsidRDefault="007A528B">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8</w:t>
            </w:r>
            <w:r>
              <w:rPr>
                <w:rFonts w:ascii="宋体" w:eastAsia="宋体" w:hAnsi="宋体" w:cs="宋体" w:hint="eastAsia"/>
                <w:b/>
                <w:bCs/>
                <w:sz w:val="24"/>
                <w:szCs w:val="24"/>
              </w:rPr>
              <w:t>.</w:t>
            </w:r>
            <w:r>
              <w:rPr>
                <w:rFonts w:ascii="宋体" w:eastAsia="宋体" w:hAnsi="宋体" w:cs="宋体" w:hint="eastAsia"/>
                <w:b/>
                <w:bCs/>
                <w:sz w:val="24"/>
                <w:szCs w:val="24"/>
              </w:rPr>
              <w:t>马朗煤矿</w:t>
            </w:r>
            <w:r>
              <w:rPr>
                <w:rFonts w:ascii="宋体" w:eastAsia="宋体" w:hAnsi="宋体" w:cs="宋体" w:hint="eastAsia"/>
                <w:b/>
                <w:bCs/>
                <w:sz w:val="24"/>
                <w:szCs w:val="24"/>
                <w:lang w:val="en-US"/>
              </w:rPr>
              <w:t>获批后，运力方面是否能够保证？</w:t>
            </w:r>
          </w:p>
          <w:p w:rsidR="003372BA" w:rsidRDefault="007A528B">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回复：公司煤炭运力保障有四种方式，一是直接通过红淖铁路运输，此种方式是最便捷、最经济的运输模式；二是汽车</w:t>
            </w:r>
            <w:r>
              <w:rPr>
                <w:rFonts w:ascii="宋体" w:eastAsia="宋体" w:hAnsi="宋体" w:cs="宋体"/>
                <w:sz w:val="24"/>
                <w:szCs w:val="24"/>
              </w:rPr>
              <w:t>+</w:t>
            </w:r>
            <w:r>
              <w:rPr>
                <w:rFonts w:ascii="宋体" w:eastAsia="宋体" w:hAnsi="宋体" w:cs="宋体"/>
                <w:sz w:val="24"/>
                <w:szCs w:val="24"/>
              </w:rPr>
              <w:t>火车运输方式，通过汽运将煤炭运抵柳沟后再通过火车进行外运，此种方式作为红淖铁路运输的补充或调剂，不受乌铁局车皮紧张影响；三是河西走廊区域，在铁路车皮紧张时可进行汽车直接配送。四是客户自提，出台相应政策，充分调动客户自提积极性。以上，通过多措并举的方式满足公司煤炭销售的运力需求。</w:t>
            </w:r>
          </w:p>
          <w:p w:rsidR="003372BA" w:rsidRDefault="003372BA">
            <w:pPr>
              <w:pStyle w:val="TableParagraph"/>
              <w:tabs>
                <w:tab w:val="left" w:pos="0"/>
              </w:tabs>
              <w:spacing w:line="420" w:lineRule="exact"/>
              <w:jc w:val="both"/>
              <w:rPr>
                <w:rFonts w:ascii="宋体" w:eastAsia="宋体" w:hAnsi="宋体" w:cs="宋体"/>
                <w:sz w:val="24"/>
                <w:szCs w:val="24"/>
              </w:rPr>
            </w:pPr>
          </w:p>
        </w:tc>
      </w:tr>
      <w:tr w:rsidR="003372BA">
        <w:trPr>
          <w:trHeight w:val="561"/>
          <w:jc w:val="center"/>
        </w:trPr>
        <w:tc>
          <w:tcPr>
            <w:tcW w:w="1930" w:type="dxa"/>
            <w:vAlign w:val="center"/>
          </w:tcPr>
          <w:p w:rsidR="003372BA" w:rsidRDefault="007A528B">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lastRenderedPageBreak/>
              <w:t>附件清单（如有）</w:t>
            </w:r>
          </w:p>
        </w:tc>
        <w:tc>
          <w:tcPr>
            <w:tcW w:w="6595" w:type="dxa"/>
            <w:vAlign w:val="center"/>
          </w:tcPr>
          <w:p w:rsidR="003372BA" w:rsidRDefault="007A528B">
            <w:pPr>
              <w:pStyle w:val="TableParagraph"/>
              <w:tabs>
                <w:tab w:val="left" w:pos="0"/>
              </w:tabs>
              <w:spacing w:line="500" w:lineRule="exact"/>
              <w:rPr>
                <w:rFonts w:ascii="宋体" w:eastAsia="宋体" w:hAnsi="宋体" w:cs="宋体"/>
                <w:sz w:val="24"/>
                <w:szCs w:val="24"/>
              </w:rPr>
            </w:pPr>
            <w:r>
              <w:rPr>
                <w:rFonts w:ascii="宋体" w:eastAsia="宋体" w:hAnsi="宋体" w:cs="宋体" w:hint="eastAsia"/>
                <w:sz w:val="24"/>
                <w:szCs w:val="24"/>
              </w:rPr>
              <w:t>无</w:t>
            </w:r>
          </w:p>
        </w:tc>
      </w:tr>
      <w:tr w:rsidR="003372BA">
        <w:trPr>
          <w:trHeight w:val="558"/>
          <w:jc w:val="center"/>
        </w:trPr>
        <w:tc>
          <w:tcPr>
            <w:tcW w:w="1930" w:type="dxa"/>
            <w:vAlign w:val="center"/>
          </w:tcPr>
          <w:p w:rsidR="003372BA" w:rsidRDefault="007A528B">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6595" w:type="dxa"/>
            <w:vAlign w:val="center"/>
          </w:tcPr>
          <w:p w:rsidR="003372BA" w:rsidRDefault="007A528B">
            <w:pPr>
              <w:pStyle w:val="TableParagraph"/>
              <w:tabs>
                <w:tab w:val="left" w:pos="0"/>
              </w:tabs>
              <w:spacing w:line="500" w:lineRule="exact"/>
              <w:rPr>
                <w:rFonts w:ascii="宋体" w:eastAsia="宋体" w:hAnsi="宋体" w:cs="宋体"/>
                <w:sz w:val="24"/>
                <w:szCs w:val="24"/>
              </w:rPr>
            </w:pP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lang w:val="en-US"/>
              </w:rPr>
              <w:t>5</w:t>
            </w:r>
            <w:r>
              <w:rPr>
                <w:rFonts w:ascii="宋体" w:eastAsia="宋体" w:hAnsi="宋体" w:cs="宋体"/>
                <w:sz w:val="24"/>
                <w:szCs w:val="24"/>
              </w:rPr>
              <w:t>月</w:t>
            </w:r>
            <w:r>
              <w:rPr>
                <w:rFonts w:ascii="宋体" w:eastAsia="宋体" w:hAnsi="宋体" w:cs="宋体" w:hint="eastAsia"/>
                <w:sz w:val="24"/>
                <w:szCs w:val="24"/>
                <w:lang w:val="en-US"/>
              </w:rPr>
              <w:t>21</w:t>
            </w:r>
            <w:r>
              <w:rPr>
                <w:rFonts w:ascii="宋体" w:eastAsia="宋体" w:hAnsi="宋体" w:cs="宋体"/>
                <w:sz w:val="24"/>
                <w:szCs w:val="24"/>
              </w:rPr>
              <w:t>日</w:t>
            </w:r>
          </w:p>
        </w:tc>
      </w:tr>
    </w:tbl>
    <w:p w:rsidR="003372BA" w:rsidRDefault="003372BA">
      <w:pPr>
        <w:spacing w:line="500" w:lineRule="exact"/>
        <w:rPr>
          <w:rFonts w:ascii="宋体" w:eastAsia="宋体" w:hAnsi="宋体" w:cs="宋体"/>
          <w:sz w:val="28"/>
          <w:szCs w:val="36"/>
        </w:rPr>
      </w:pPr>
    </w:p>
    <w:sectPr w:rsidR="003372BA">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BC" w:rsidRDefault="008405BC" w:rsidP="008405BC">
      <w:r>
        <w:separator/>
      </w:r>
    </w:p>
  </w:endnote>
  <w:endnote w:type="continuationSeparator" w:id="0">
    <w:p w:rsidR="008405BC" w:rsidRDefault="008405BC" w:rsidP="0084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00000003" w:usb1="0808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BC" w:rsidRDefault="008405BC" w:rsidP="008405BC">
      <w:r>
        <w:separator/>
      </w:r>
    </w:p>
  </w:footnote>
  <w:footnote w:type="continuationSeparator" w:id="0">
    <w:p w:rsidR="008405BC" w:rsidRDefault="008405BC" w:rsidP="0084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5C4974"/>
    <w:multiLevelType w:val="singleLevel"/>
    <w:tmpl w:val="BC5C4974"/>
    <w:lvl w:ilvl="0">
      <w:start w:val="3"/>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lMDdiNDQyMTc0OTdmZTBhNDNlYzcxODI3YWVjM2UifQ=="/>
  </w:docVars>
  <w:rsids>
    <w:rsidRoot w:val="00301D32"/>
    <w:rsid w:val="00003FED"/>
    <w:rsid w:val="000161F5"/>
    <w:rsid w:val="00026CC3"/>
    <w:rsid w:val="00036089"/>
    <w:rsid w:val="00053CFA"/>
    <w:rsid w:val="000633EC"/>
    <w:rsid w:val="00063804"/>
    <w:rsid w:val="000665A2"/>
    <w:rsid w:val="000877AB"/>
    <w:rsid w:val="0009564A"/>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372BA"/>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71638"/>
    <w:rsid w:val="004925E7"/>
    <w:rsid w:val="00495B11"/>
    <w:rsid w:val="004F0D7C"/>
    <w:rsid w:val="004F6FF3"/>
    <w:rsid w:val="005018EB"/>
    <w:rsid w:val="00534833"/>
    <w:rsid w:val="00571B49"/>
    <w:rsid w:val="005743AE"/>
    <w:rsid w:val="005802A2"/>
    <w:rsid w:val="0059577A"/>
    <w:rsid w:val="005D64CA"/>
    <w:rsid w:val="005E5717"/>
    <w:rsid w:val="005E6DB2"/>
    <w:rsid w:val="0061433E"/>
    <w:rsid w:val="0062751D"/>
    <w:rsid w:val="006354AA"/>
    <w:rsid w:val="00661AFA"/>
    <w:rsid w:val="006726BF"/>
    <w:rsid w:val="00677B77"/>
    <w:rsid w:val="0068718A"/>
    <w:rsid w:val="006A2739"/>
    <w:rsid w:val="006A67F0"/>
    <w:rsid w:val="006B5C95"/>
    <w:rsid w:val="006D2843"/>
    <w:rsid w:val="006E14B0"/>
    <w:rsid w:val="006F0108"/>
    <w:rsid w:val="00704AE6"/>
    <w:rsid w:val="007153A2"/>
    <w:rsid w:val="00724A68"/>
    <w:rsid w:val="007271BF"/>
    <w:rsid w:val="00730DD3"/>
    <w:rsid w:val="00733224"/>
    <w:rsid w:val="00764128"/>
    <w:rsid w:val="00770545"/>
    <w:rsid w:val="007824B8"/>
    <w:rsid w:val="007910DD"/>
    <w:rsid w:val="007A3EC1"/>
    <w:rsid w:val="007A528B"/>
    <w:rsid w:val="007B3368"/>
    <w:rsid w:val="007D0A69"/>
    <w:rsid w:val="007D6DC4"/>
    <w:rsid w:val="007F67F6"/>
    <w:rsid w:val="008405BC"/>
    <w:rsid w:val="00853463"/>
    <w:rsid w:val="00893F25"/>
    <w:rsid w:val="00895035"/>
    <w:rsid w:val="008B2B14"/>
    <w:rsid w:val="008C6AED"/>
    <w:rsid w:val="008C7604"/>
    <w:rsid w:val="008E1B27"/>
    <w:rsid w:val="00903379"/>
    <w:rsid w:val="00906975"/>
    <w:rsid w:val="00917F0B"/>
    <w:rsid w:val="00917F8B"/>
    <w:rsid w:val="00960964"/>
    <w:rsid w:val="00965E4D"/>
    <w:rsid w:val="00973294"/>
    <w:rsid w:val="009B1D5C"/>
    <w:rsid w:val="009C2E31"/>
    <w:rsid w:val="009E1955"/>
    <w:rsid w:val="00A527AA"/>
    <w:rsid w:val="00A5684D"/>
    <w:rsid w:val="00A632D1"/>
    <w:rsid w:val="00A75C61"/>
    <w:rsid w:val="00A905A0"/>
    <w:rsid w:val="00A9601B"/>
    <w:rsid w:val="00AA7E16"/>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0C3F"/>
    <w:rsid w:val="00CF5FB6"/>
    <w:rsid w:val="00D02518"/>
    <w:rsid w:val="00D17454"/>
    <w:rsid w:val="00D33FBC"/>
    <w:rsid w:val="00D561AF"/>
    <w:rsid w:val="00D7158F"/>
    <w:rsid w:val="00D7535C"/>
    <w:rsid w:val="00D76302"/>
    <w:rsid w:val="00DA5CE2"/>
    <w:rsid w:val="00DE10E8"/>
    <w:rsid w:val="00E16FDA"/>
    <w:rsid w:val="00E35F58"/>
    <w:rsid w:val="00E45BD9"/>
    <w:rsid w:val="00E66FFC"/>
    <w:rsid w:val="00E759D6"/>
    <w:rsid w:val="00E84A8C"/>
    <w:rsid w:val="00E930CF"/>
    <w:rsid w:val="00E976DE"/>
    <w:rsid w:val="00EC0F83"/>
    <w:rsid w:val="00EE3187"/>
    <w:rsid w:val="00EF499B"/>
    <w:rsid w:val="00F14977"/>
    <w:rsid w:val="00F61984"/>
    <w:rsid w:val="00FB4A08"/>
    <w:rsid w:val="00FB6D6F"/>
    <w:rsid w:val="00FC0C2A"/>
    <w:rsid w:val="00FD7F8E"/>
    <w:rsid w:val="00FF11E4"/>
    <w:rsid w:val="02557DFA"/>
    <w:rsid w:val="034A3564"/>
    <w:rsid w:val="03D53320"/>
    <w:rsid w:val="04B072D4"/>
    <w:rsid w:val="05461B09"/>
    <w:rsid w:val="05F575D4"/>
    <w:rsid w:val="064249C6"/>
    <w:rsid w:val="08641132"/>
    <w:rsid w:val="09186774"/>
    <w:rsid w:val="0945438F"/>
    <w:rsid w:val="0A71587A"/>
    <w:rsid w:val="0B792C38"/>
    <w:rsid w:val="0C28640C"/>
    <w:rsid w:val="0E90599A"/>
    <w:rsid w:val="0EAE7F1E"/>
    <w:rsid w:val="0ED720CD"/>
    <w:rsid w:val="0FF6268B"/>
    <w:rsid w:val="10725EA8"/>
    <w:rsid w:val="12070CAE"/>
    <w:rsid w:val="145F688C"/>
    <w:rsid w:val="14F12304"/>
    <w:rsid w:val="15DD2205"/>
    <w:rsid w:val="16A3167D"/>
    <w:rsid w:val="17A67110"/>
    <w:rsid w:val="1864189B"/>
    <w:rsid w:val="186A3B94"/>
    <w:rsid w:val="18D73A7D"/>
    <w:rsid w:val="19557370"/>
    <w:rsid w:val="1B46240B"/>
    <w:rsid w:val="1BD06B6A"/>
    <w:rsid w:val="1E035F83"/>
    <w:rsid w:val="1F782BDE"/>
    <w:rsid w:val="1FFE2FDA"/>
    <w:rsid w:val="206375BB"/>
    <w:rsid w:val="21AB2FC8"/>
    <w:rsid w:val="23317869"/>
    <w:rsid w:val="241E6171"/>
    <w:rsid w:val="254C4AC2"/>
    <w:rsid w:val="25650CAE"/>
    <w:rsid w:val="26406598"/>
    <w:rsid w:val="2698203F"/>
    <w:rsid w:val="28080056"/>
    <w:rsid w:val="284348C7"/>
    <w:rsid w:val="28734C1A"/>
    <w:rsid w:val="28C72DDD"/>
    <w:rsid w:val="29EE0E64"/>
    <w:rsid w:val="2A065CCF"/>
    <w:rsid w:val="2A9B5B62"/>
    <w:rsid w:val="2D45416F"/>
    <w:rsid w:val="2EF90F16"/>
    <w:rsid w:val="2F125C63"/>
    <w:rsid w:val="302C3D0A"/>
    <w:rsid w:val="31CD2AE7"/>
    <w:rsid w:val="3219255B"/>
    <w:rsid w:val="33DE31BB"/>
    <w:rsid w:val="34160775"/>
    <w:rsid w:val="374A77CB"/>
    <w:rsid w:val="37903FFB"/>
    <w:rsid w:val="389C49C0"/>
    <w:rsid w:val="38DB333D"/>
    <w:rsid w:val="39BC78F4"/>
    <w:rsid w:val="3A193FF6"/>
    <w:rsid w:val="3EF1250A"/>
    <w:rsid w:val="40567DB0"/>
    <w:rsid w:val="40FF5CD2"/>
    <w:rsid w:val="416C222A"/>
    <w:rsid w:val="423821FE"/>
    <w:rsid w:val="42DB40B0"/>
    <w:rsid w:val="43B71B0A"/>
    <w:rsid w:val="4439195B"/>
    <w:rsid w:val="44FA0589"/>
    <w:rsid w:val="45142131"/>
    <w:rsid w:val="45A663E3"/>
    <w:rsid w:val="469F09AF"/>
    <w:rsid w:val="47354F5E"/>
    <w:rsid w:val="4B756271"/>
    <w:rsid w:val="4C194E4E"/>
    <w:rsid w:val="4C7A49DA"/>
    <w:rsid w:val="4C8E1CA8"/>
    <w:rsid w:val="4D6D36A4"/>
    <w:rsid w:val="4E1900F5"/>
    <w:rsid w:val="4E375A60"/>
    <w:rsid w:val="4EE871CB"/>
    <w:rsid w:val="4F634EC7"/>
    <w:rsid w:val="4F675ED1"/>
    <w:rsid w:val="510903EF"/>
    <w:rsid w:val="52DB4C0C"/>
    <w:rsid w:val="53F137F4"/>
    <w:rsid w:val="543A6906"/>
    <w:rsid w:val="54EF0E42"/>
    <w:rsid w:val="56690780"/>
    <w:rsid w:val="56850CBB"/>
    <w:rsid w:val="56C67981"/>
    <w:rsid w:val="57125802"/>
    <w:rsid w:val="57342B3C"/>
    <w:rsid w:val="59444A7D"/>
    <w:rsid w:val="59CB77D5"/>
    <w:rsid w:val="5A666D76"/>
    <w:rsid w:val="5B2253C2"/>
    <w:rsid w:val="5F0B0627"/>
    <w:rsid w:val="5F0D0F44"/>
    <w:rsid w:val="603269D2"/>
    <w:rsid w:val="60E455D3"/>
    <w:rsid w:val="60E5134B"/>
    <w:rsid w:val="61730705"/>
    <w:rsid w:val="61A52BCA"/>
    <w:rsid w:val="639A3D54"/>
    <w:rsid w:val="64B10789"/>
    <w:rsid w:val="64FB2EEB"/>
    <w:rsid w:val="65921AA2"/>
    <w:rsid w:val="668B6207"/>
    <w:rsid w:val="669929BC"/>
    <w:rsid w:val="67095496"/>
    <w:rsid w:val="67ED7463"/>
    <w:rsid w:val="681A546A"/>
    <w:rsid w:val="69CB37D4"/>
    <w:rsid w:val="69FA5E67"/>
    <w:rsid w:val="6A0D5B9B"/>
    <w:rsid w:val="6A3B23B1"/>
    <w:rsid w:val="6AEA32DC"/>
    <w:rsid w:val="6C557385"/>
    <w:rsid w:val="6CC24AB5"/>
    <w:rsid w:val="6CCF5389"/>
    <w:rsid w:val="6D837F22"/>
    <w:rsid w:val="6D9271B2"/>
    <w:rsid w:val="6E0A0682"/>
    <w:rsid w:val="6EC95E08"/>
    <w:rsid w:val="6F134790"/>
    <w:rsid w:val="71B2772B"/>
    <w:rsid w:val="71F238C8"/>
    <w:rsid w:val="72446028"/>
    <w:rsid w:val="72A67D13"/>
    <w:rsid w:val="73076EC0"/>
    <w:rsid w:val="73571C35"/>
    <w:rsid w:val="73FB6A64"/>
    <w:rsid w:val="74210CA6"/>
    <w:rsid w:val="76F748BE"/>
    <w:rsid w:val="788C25F5"/>
    <w:rsid w:val="79F72AA9"/>
    <w:rsid w:val="7B2A7C2F"/>
    <w:rsid w:val="7B6C56C6"/>
    <w:rsid w:val="7D3134F6"/>
    <w:rsid w:val="7DD37FAE"/>
    <w:rsid w:val="7E0230E5"/>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B402E"/>
  <w15:docId w15:val="{E13230FA-A8AA-4DA5-AED3-5CA6572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autoRedefine/>
    <w:semiHidden/>
    <w:unhideWhenUsed/>
    <w:qFormat/>
    <w:pPr>
      <w:spacing w:beforeAutospacing="1" w:afterAutospacing="1"/>
      <w:outlineLvl w:val="3"/>
    </w:pPr>
    <w:rPr>
      <w:rFonts w:ascii="宋体" w:eastAsia="宋体" w:hAnsi="宋体" w:cs="Times New Roman" w:hint="eastAsia"/>
      <w:b/>
      <w:bCs/>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character" w:styleId="ae">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7170-6C21-4C32-BBDE-37051B46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306</Words>
  <Characters>1749</Characters>
  <Application>Microsoft Office Word</Application>
  <DocSecurity>0</DocSecurity>
  <Lines>14</Lines>
  <Paragraphs>4</Paragraphs>
  <ScaleCrop>false</ScaleCrop>
  <Company>Organization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雷茗富</cp:lastModifiedBy>
  <cp:revision>13</cp:revision>
  <cp:lastPrinted>2023-05-25T08:20:00Z</cp:lastPrinted>
  <dcterms:created xsi:type="dcterms:W3CDTF">2023-04-24T04:57:00Z</dcterms:created>
  <dcterms:modified xsi:type="dcterms:W3CDTF">2024-05-21T08:09:00Z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57D148DF2F764966BF4E1C38A6255FA2</vt:lpwstr>
  </property>
</Properties>
</file>