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宋体"/>
          <w:b/>
          <w:bCs/>
          <w:sz w:val="30"/>
          <w:szCs w:val="30"/>
        </w:rPr>
      </w:pPr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深圳佰维存储科技股份有限公司</w:t>
      </w:r>
    </w:p>
    <w:p>
      <w:pPr>
        <w:jc w:val="center"/>
        <w:rPr>
          <w:rFonts w:ascii="Times New Roman" w:hAnsi="Times New Roman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投资者关系活动记录汇总表</w:t>
      </w:r>
    </w:p>
    <w:bookmarkEnd w:id="0"/>
    <w:p>
      <w:pPr>
        <w:jc w:val="center"/>
        <w:rPr>
          <w:rFonts w:ascii="Times New Roman" w:hAnsi="Times New Roman" w:eastAsia="宋体" w:cs="宋体"/>
          <w:b/>
          <w:bCs/>
          <w:sz w:val="30"/>
          <w:szCs w:val="30"/>
        </w:rPr>
      </w:pPr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（2024年5月17日）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7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spacing w:line="240" w:lineRule="atLeast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投资者关系活动类别</w:t>
            </w:r>
          </w:p>
        </w:tc>
        <w:tc>
          <w:tcPr>
            <w:tcW w:w="7406" w:type="dxa"/>
          </w:tcPr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F0FE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 xml:space="preserve">特定对象调研                        </w:t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>分析师会议</w:t>
            </w:r>
          </w:p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 xml:space="preserve">媒体采访                            </w:t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>业绩说明会</w:t>
            </w:r>
          </w:p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 xml:space="preserve">新闻发布会                          </w:t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>路演活动</w:t>
            </w:r>
          </w:p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 xml:space="preserve">专场机构交流会                      </w:t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>现场参观</w:t>
            </w:r>
          </w:p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szCs w:val="21"/>
                <w:shd w:val="clear" w:color="auto" w:fill="FFFFFF"/>
              </w:rPr>
              <w:t xml:space="preserve">其他 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  <w:shd w:val="clear" w:color="auto" w:fill="FFFFFF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参与单位名称及人员姓名</w:t>
            </w:r>
          </w:p>
        </w:tc>
        <w:tc>
          <w:tcPr>
            <w:tcW w:w="7406" w:type="dxa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瀚伦投资 黄志青、怀远基金 李岩岩、中金公司 胡炯益、景林资产 孙玮、东方阿尔法 梁少文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会议时间</w:t>
            </w:r>
          </w:p>
        </w:tc>
        <w:tc>
          <w:tcPr>
            <w:tcW w:w="7406" w:type="dxa"/>
            <w:vAlign w:val="center"/>
          </w:tcPr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2024年5月17日 15：00</w:t>
            </w:r>
            <w:r>
              <w:rPr>
                <w:rFonts w:ascii="Times New Roman" w:hAnsi="Times New Roman" w:eastAsia="宋体" w:cs="宋体"/>
                <w:szCs w:val="21"/>
              </w:rPr>
              <w:t>-</w:t>
            </w:r>
            <w:r>
              <w:rPr>
                <w:rFonts w:hint="eastAsia" w:ascii="Times New Roman" w:hAnsi="Times New Roman" w:eastAsia="宋体" w:cs="宋体"/>
                <w:szCs w:val="21"/>
              </w:rPr>
              <w:t>16：0</w:t>
            </w:r>
            <w:r>
              <w:rPr>
                <w:rFonts w:ascii="Times New Roman" w:hAnsi="Times New Roman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会议地点</w:t>
            </w:r>
          </w:p>
        </w:tc>
        <w:tc>
          <w:tcPr>
            <w:tcW w:w="7406" w:type="dxa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佰维存储三楼会议室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上市公司接待人员姓名</w:t>
            </w:r>
          </w:p>
        </w:tc>
        <w:tc>
          <w:tcPr>
            <w:tcW w:w="7406" w:type="dxa"/>
            <w:vAlign w:val="center"/>
          </w:tcPr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公司管理层</w:t>
            </w:r>
          </w:p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董办工作人员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投资者关系活动主要内容介绍</w:t>
            </w:r>
          </w:p>
        </w:tc>
        <w:tc>
          <w:tcPr>
            <w:tcW w:w="7406" w:type="dxa"/>
          </w:tcPr>
          <w:p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Q1.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请介绍下公司一季度业绩情况？另外，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从产品应用领域来看，哪个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领域对2024年一季度业绩增长贡献度最大？</w:t>
            </w:r>
          </w:p>
          <w:p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A1：2024年第一季度，公司实现营业收入172,664.23万元，同比增长305.80%，环比增长17.59%，归属于上市公司股东的净利润16,756.23万元，同比增长232.97%。</w:t>
            </w:r>
            <w:r>
              <w:rPr>
                <w:rFonts w:ascii="Calibri" w:hAnsi="Calibri" w:cs="Calibri"/>
                <w:szCs w:val="21"/>
              </w:rPr>
              <w:t>从终端应用需求来看，公司产品主要应用于PC、手机、智能穿戴、工车规、服务器等领域。</w:t>
            </w:r>
            <w:r>
              <w:rPr>
                <w:rFonts w:hint="eastAsia" w:ascii="Calibri" w:hAnsi="Calibri" w:cs="Calibri"/>
                <w:szCs w:val="21"/>
              </w:rPr>
              <w:t>从一季度情况来看，手机端客户需求复苏明显</w:t>
            </w:r>
            <w:r>
              <w:rPr>
                <w:rFonts w:ascii="Calibri" w:hAnsi="Calibri" w:cs="Calibri"/>
                <w:szCs w:val="21"/>
              </w:rPr>
              <w:t>，其他领域的</w:t>
            </w:r>
            <w:r>
              <w:rPr>
                <w:rFonts w:hint="eastAsia" w:ascii="Calibri" w:hAnsi="Calibri" w:cs="Calibri"/>
                <w:szCs w:val="21"/>
              </w:rPr>
              <w:t>需求</w:t>
            </w:r>
            <w:r>
              <w:rPr>
                <w:rFonts w:ascii="Calibri" w:hAnsi="Calibri" w:cs="Calibri"/>
                <w:szCs w:val="21"/>
              </w:rPr>
              <w:t>增长对收入增长均有所贡献。</w:t>
            </w:r>
          </w:p>
          <w:p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Q2. 公司在智能穿戴领域有哪些布局？目前已经</w:t>
            </w:r>
            <w:r>
              <w:rPr>
                <w:rFonts w:hint="eastAsia" w:ascii="Calibri" w:hAnsi="Calibri" w:cs="Calibri"/>
                <w:b/>
                <w:bCs/>
                <w:szCs w:val="21"/>
              </w:rPr>
              <w:t>进</w:t>
            </w:r>
            <w:r>
              <w:rPr>
                <w:rFonts w:ascii="Calibri" w:hAnsi="Calibri" w:cs="Calibri"/>
                <w:b/>
                <w:bCs/>
                <w:szCs w:val="21"/>
              </w:rPr>
              <w:t>入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哪些客户？</w:t>
            </w:r>
          </w:p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A2：公司在智能穿戴领域推出了</w:t>
            </w:r>
            <w:r>
              <w:rPr>
                <w:rFonts w:ascii="Calibri" w:hAnsi="Calibri" w:cs="Calibri"/>
                <w:szCs w:val="21"/>
              </w:rPr>
              <w:t>ePOP、eMCP系列产品</w:t>
            </w:r>
            <w:r>
              <w:rPr>
                <w:rFonts w:hint="eastAsia" w:ascii="Calibri" w:hAnsi="Calibri" w:cs="Calibri"/>
                <w:szCs w:val="21"/>
              </w:rPr>
              <w:t>，该系列产品</w:t>
            </w:r>
            <w:r>
              <w:rPr>
                <w:rFonts w:ascii="Calibri" w:hAnsi="Calibri" w:cs="Calibri"/>
                <w:szCs w:val="21"/>
              </w:rPr>
              <w:t>具备小尺寸、低功耗、高可靠、高性能等优势</w:t>
            </w:r>
            <w:r>
              <w:rPr>
                <w:rFonts w:hint="eastAsia" w:ascii="Calibri" w:hAnsi="Calibri" w:cs="Calibri"/>
                <w:szCs w:val="21"/>
              </w:rPr>
              <w:t>。在智能穿戴领域，公司产品已进入Google、小米、Meta、小天才等国际知名智能穿戴厂商；</w:t>
            </w:r>
            <w:r>
              <w:rPr>
                <w:rFonts w:ascii="Calibri" w:hAnsi="Calibri" w:cs="Calibri"/>
                <w:szCs w:val="21"/>
              </w:rPr>
              <w:t>其中，公司为Meta最新款AI智能眼镜Ray-Ban Meta提供ROM+RAM存储器芯片。</w:t>
            </w:r>
          </w:p>
          <w:p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 公司在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手机领域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目前已经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入哪些客户？</w:t>
            </w:r>
          </w:p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公司嵌入式存储产品已进入OPPO、传音控股、摩托罗拉、HMD、ZTE、TCL等知名手机厂商客户。</w:t>
            </w:r>
          </w:p>
          <w:p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 公司未来研发投入是否会持续增长？</w:t>
            </w:r>
          </w:p>
          <w:p>
            <w:pP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2023年，公司研发费用为2.50亿元，同比增长</w:t>
            </w:r>
            <w:r>
              <w:t>97.77</w:t>
            </w:r>
            <w:r>
              <w:rPr>
                <w:rFonts w:hint="eastAsia"/>
              </w:rPr>
              <w:t>%。2024年第一季度，公司研发费用为</w:t>
            </w:r>
            <w:r>
              <w:t>9,770.75</w:t>
            </w:r>
            <w:r>
              <w:rPr>
                <w:rFonts w:hint="eastAsia"/>
              </w:rPr>
              <w:t>万元，同比增长</w:t>
            </w:r>
            <w:r>
              <w:t>217.62</w:t>
            </w:r>
            <w:r>
              <w:rPr>
                <w:rFonts w:hint="eastAsia"/>
              </w:rPr>
              <w:t>%。</w:t>
            </w: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公司坚持“科技是第一生产力、创新是第一动力”，始终高度重视研发投入，在芯片设计、存储解决方案研发、先进封测及芯片测试设备等领域加大研发投入力度，并大力引进业内优秀的技术骨干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。2023年，</w:t>
            </w: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公司在</w:t>
            </w:r>
            <w:r>
              <w:t>IC设计、先进封测、芯片测试设备研发等</w:t>
            </w:r>
            <w:r>
              <w:rPr>
                <w:rFonts w:ascii="Calibri" w:hAnsi="Calibri" w:cs="Calibri"/>
                <w:szCs w:val="21"/>
              </w:rPr>
              <w:t>核心技术研发上取得突破性进展</w:t>
            </w:r>
            <w:r>
              <w:rPr>
                <w:rFonts w:hint="eastAsia" w:ascii="Calibri" w:hAnsi="Calibri" w:cs="Calibri"/>
                <w:szCs w:val="21"/>
              </w:rPr>
              <w:t>，</w:t>
            </w:r>
            <w:r>
              <w:rPr>
                <w:rFonts w:ascii="Calibri" w:hAnsi="Calibri" w:cs="Calibri"/>
                <w:szCs w:val="21"/>
              </w:rPr>
              <w:t>未来，公司将持续加大研发投入，不断增强企业硬科技实力。</w:t>
            </w:r>
          </w:p>
          <w:p>
            <w:pP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在企业级领域有哪些产品布局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公司企业级存储可分为SATA SSD、PCIe SSD和CXL内存三大类产品，其中公司SS系列企业级SATA SSD产品采用SATA 6Gbps接口规范，搭载DDR4外置缓存；公司SP系列企业级PCIe SSD产品，采用创新架构，可实现超低且一致的读写延迟，具备优秀的能效比表现，可为客户提供业界领先的KIOPS/Watt综合性能；公司CXL内存扩展模组产品，支持CXL 2.0规范，内存容量高达96GB，支持PCIe 5.0×8接口，理论带宽高达32GB/s，可与支持CXL规范及E3.S接口的背板和服务器主板直连，扩展服务器内存容量和带宽。</w:t>
            </w:r>
          </w:p>
          <w:p>
            <w:pP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 如何展望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二季度及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下半年存储行业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景气度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，是否会持续涨价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：随着原厂逐步复产，二季度继续涨价的意愿很强，三季度和四季度的行业趋势有待观察。但目前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行业层面</w:t>
            </w: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还是看到不少的积极因素，比如HBM需求爆满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，SK海力士表示其HBM芯片的生产能力到明年几乎已被预订满；</w:t>
            </w: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北美服务器市场复苏强劲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，据</w:t>
            </w: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TrendForce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表示，北美云端服务业者扩大采用QLC Enterprise SSD作为存储的解决方案，带动企业级SSD需求，并加速部分供应商的库存去化。目前原厂普遍对于非HBM晶圆产能的资本支出趋于保守，尤其是价格仍处于损益平衡点的NAND Flash，上游减产涨价策略有望延续，</w:t>
            </w: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预计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原厂</w:t>
            </w: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价格不会出现剧烈恶化的情况。</w:t>
            </w:r>
          </w:p>
          <w:p>
            <w:pP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Calibri" w:hAnsi="Calibri" w:cs="Calibr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公司目前已获得多少项发明专利？</w:t>
            </w:r>
          </w:p>
          <w:p>
            <w:pP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截至2023年12月31日，公司共取得95项发明专利，其中2023年新增申请发明专利84项，新增授权发明专利56项。</w:t>
            </w:r>
          </w:p>
          <w:p>
            <w:pP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附件清单</w:t>
            </w:r>
          </w:p>
        </w:tc>
        <w:tc>
          <w:tcPr>
            <w:tcW w:w="7406" w:type="dxa"/>
          </w:tcPr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日期</w:t>
            </w:r>
          </w:p>
        </w:tc>
        <w:tc>
          <w:tcPr>
            <w:tcW w:w="7406" w:type="dxa"/>
          </w:tcPr>
          <w:p>
            <w:pPr>
              <w:wordWrap w:val="0"/>
              <w:topLinePunct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2024年5月17日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center"/>
          </w:tcPr>
          <w:p>
            <w:pPr>
              <w:wordWrap w:val="0"/>
              <w:topLinePunct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备注</w:t>
            </w:r>
          </w:p>
        </w:tc>
        <w:tc>
          <w:tcPr>
            <w:tcW w:w="7406" w:type="dxa"/>
          </w:tcPr>
          <w:p>
            <w:pPr>
              <w:wordWrap w:val="0"/>
              <w:topLinePunct/>
              <w:ind w:firstLine="420" w:firstLineChars="200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接待过程中，公司与投资者进行了充分的交流与沟通，并严格按照公司《信息披露管理制度》等规定，保证信息披露的真实、准确、完整、及时、公平，没有出现未公开重大信息披露等情况。</w:t>
            </w:r>
          </w:p>
        </w:tc>
      </w:tr>
    </w:tbl>
    <w:p>
      <w:pPr>
        <w:rPr>
          <w:rFonts w:ascii="Times New Roman" w:hAnsi="Times New Roman" w:eastAsia="宋体" w:cs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  <w:rPr>
        <w:rFonts w:ascii="Times New Roman" w:hAnsi="Times New Roman" w:eastAsia="宋体" w:cs="宋体"/>
        <w:szCs w:val="21"/>
      </w:rPr>
    </w:pPr>
    <w:r>
      <w:rPr>
        <w:rFonts w:hint="eastAsia" w:ascii="Times New Roman" w:hAnsi="Times New Roman" w:eastAsia="宋体" w:cs="宋体"/>
        <w:szCs w:val="21"/>
      </w:rPr>
      <w:t>证券代码：688525                                       证券简称：佰维存储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mYmE5MDYxOTlhNDEyNzlhZjRiNmE2NmM5MWNlMmYifQ=="/>
  </w:docVars>
  <w:rsids>
    <w:rsidRoot w:val="6AC1576E"/>
    <w:rsid w:val="00005DE8"/>
    <w:rsid w:val="0000706B"/>
    <w:rsid w:val="00012E7D"/>
    <w:rsid w:val="000157CB"/>
    <w:rsid w:val="00026B52"/>
    <w:rsid w:val="0004273E"/>
    <w:rsid w:val="000427FB"/>
    <w:rsid w:val="00042CF9"/>
    <w:rsid w:val="00055474"/>
    <w:rsid w:val="00056924"/>
    <w:rsid w:val="00061A01"/>
    <w:rsid w:val="00062EF0"/>
    <w:rsid w:val="0007172A"/>
    <w:rsid w:val="00071A8C"/>
    <w:rsid w:val="000878B3"/>
    <w:rsid w:val="00092C1D"/>
    <w:rsid w:val="000A50E8"/>
    <w:rsid w:val="000B3869"/>
    <w:rsid w:val="000C0887"/>
    <w:rsid w:val="000C7FE8"/>
    <w:rsid w:val="000D0B68"/>
    <w:rsid w:val="000D3EFA"/>
    <w:rsid w:val="000D47B0"/>
    <w:rsid w:val="000E0BAC"/>
    <w:rsid w:val="000E79C5"/>
    <w:rsid w:val="000F0336"/>
    <w:rsid w:val="000F3276"/>
    <w:rsid w:val="000F3EF1"/>
    <w:rsid w:val="00100E20"/>
    <w:rsid w:val="0010248C"/>
    <w:rsid w:val="00116553"/>
    <w:rsid w:val="00120068"/>
    <w:rsid w:val="001213BF"/>
    <w:rsid w:val="00130057"/>
    <w:rsid w:val="00130090"/>
    <w:rsid w:val="00134380"/>
    <w:rsid w:val="00137043"/>
    <w:rsid w:val="0014382F"/>
    <w:rsid w:val="00147193"/>
    <w:rsid w:val="00153FD0"/>
    <w:rsid w:val="00171146"/>
    <w:rsid w:val="00173CA8"/>
    <w:rsid w:val="00175953"/>
    <w:rsid w:val="00180AE5"/>
    <w:rsid w:val="00182BA2"/>
    <w:rsid w:val="0018509F"/>
    <w:rsid w:val="00191AEF"/>
    <w:rsid w:val="001A300B"/>
    <w:rsid w:val="001A6EB8"/>
    <w:rsid w:val="001A6ED8"/>
    <w:rsid w:val="001A769D"/>
    <w:rsid w:val="001B01A2"/>
    <w:rsid w:val="001B3E19"/>
    <w:rsid w:val="001B6625"/>
    <w:rsid w:val="001C3608"/>
    <w:rsid w:val="001C4A12"/>
    <w:rsid w:val="001C5456"/>
    <w:rsid w:val="001D4085"/>
    <w:rsid w:val="001E1195"/>
    <w:rsid w:val="001E4ECA"/>
    <w:rsid w:val="001F07B6"/>
    <w:rsid w:val="001F21BA"/>
    <w:rsid w:val="0020303D"/>
    <w:rsid w:val="002054C3"/>
    <w:rsid w:val="0021107F"/>
    <w:rsid w:val="00212CE2"/>
    <w:rsid w:val="00213E3C"/>
    <w:rsid w:val="00217A6F"/>
    <w:rsid w:val="00222F71"/>
    <w:rsid w:val="002244D1"/>
    <w:rsid w:val="00225959"/>
    <w:rsid w:val="002263A1"/>
    <w:rsid w:val="00227D69"/>
    <w:rsid w:val="00244407"/>
    <w:rsid w:val="0024599E"/>
    <w:rsid w:val="00250026"/>
    <w:rsid w:val="00256CCD"/>
    <w:rsid w:val="00257408"/>
    <w:rsid w:val="00261964"/>
    <w:rsid w:val="00271C8B"/>
    <w:rsid w:val="00272625"/>
    <w:rsid w:val="00287EF0"/>
    <w:rsid w:val="002922A4"/>
    <w:rsid w:val="00294303"/>
    <w:rsid w:val="00294791"/>
    <w:rsid w:val="002950C7"/>
    <w:rsid w:val="002976F5"/>
    <w:rsid w:val="002B31FD"/>
    <w:rsid w:val="002B4E1F"/>
    <w:rsid w:val="002C3183"/>
    <w:rsid w:val="002C5BE9"/>
    <w:rsid w:val="002E042E"/>
    <w:rsid w:val="002E1347"/>
    <w:rsid w:val="002E4C29"/>
    <w:rsid w:val="002E4DF3"/>
    <w:rsid w:val="002E5C10"/>
    <w:rsid w:val="002F4AC0"/>
    <w:rsid w:val="003021D0"/>
    <w:rsid w:val="00302EBD"/>
    <w:rsid w:val="00304ECB"/>
    <w:rsid w:val="00312335"/>
    <w:rsid w:val="003135AF"/>
    <w:rsid w:val="00316033"/>
    <w:rsid w:val="003223C6"/>
    <w:rsid w:val="00325916"/>
    <w:rsid w:val="00326335"/>
    <w:rsid w:val="00333897"/>
    <w:rsid w:val="003405A4"/>
    <w:rsid w:val="00340E1B"/>
    <w:rsid w:val="00342FC6"/>
    <w:rsid w:val="003440DC"/>
    <w:rsid w:val="00350028"/>
    <w:rsid w:val="00352423"/>
    <w:rsid w:val="0035334F"/>
    <w:rsid w:val="00353777"/>
    <w:rsid w:val="003544A0"/>
    <w:rsid w:val="00354837"/>
    <w:rsid w:val="00357789"/>
    <w:rsid w:val="00366015"/>
    <w:rsid w:val="00385706"/>
    <w:rsid w:val="003863EB"/>
    <w:rsid w:val="00387442"/>
    <w:rsid w:val="003918C9"/>
    <w:rsid w:val="003A1588"/>
    <w:rsid w:val="003A269C"/>
    <w:rsid w:val="003A27FF"/>
    <w:rsid w:val="003A6949"/>
    <w:rsid w:val="003B19A6"/>
    <w:rsid w:val="003B3AB5"/>
    <w:rsid w:val="003B687D"/>
    <w:rsid w:val="003C5511"/>
    <w:rsid w:val="003D1487"/>
    <w:rsid w:val="003D2D9C"/>
    <w:rsid w:val="003D3B8E"/>
    <w:rsid w:val="003D7938"/>
    <w:rsid w:val="003E10AD"/>
    <w:rsid w:val="003E45DF"/>
    <w:rsid w:val="003F045C"/>
    <w:rsid w:val="003F04D3"/>
    <w:rsid w:val="003F0864"/>
    <w:rsid w:val="003F2F84"/>
    <w:rsid w:val="00400713"/>
    <w:rsid w:val="004032B4"/>
    <w:rsid w:val="004043D6"/>
    <w:rsid w:val="00405C53"/>
    <w:rsid w:val="0040653D"/>
    <w:rsid w:val="00407590"/>
    <w:rsid w:val="0042237A"/>
    <w:rsid w:val="004274D1"/>
    <w:rsid w:val="00431DD7"/>
    <w:rsid w:val="00437630"/>
    <w:rsid w:val="00445DC7"/>
    <w:rsid w:val="00452582"/>
    <w:rsid w:val="00460388"/>
    <w:rsid w:val="00466787"/>
    <w:rsid w:val="004703D7"/>
    <w:rsid w:val="00474BD5"/>
    <w:rsid w:val="00477223"/>
    <w:rsid w:val="00481173"/>
    <w:rsid w:val="00481976"/>
    <w:rsid w:val="00481A8E"/>
    <w:rsid w:val="00482E15"/>
    <w:rsid w:val="00484362"/>
    <w:rsid w:val="00485017"/>
    <w:rsid w:val="00487E7B"/>
    <w:rsid w:val="0049428F"/>
    <w:rsid w:val="0049590D"/>
    <w:rsid w:val="004965BE"/>
    <w:rsid w:val="00497237"/>
    <w:rsid w:val="004A12BD"/>
    <w:rsid w:val="004A26A2"/>
    <w:rsid w:val="004B5CF0"/>
    <w:rsid w:val="004B6193"/>
    <w:rsid w:val="004C2CF1"/>
    <w:rsid w:val="004D0B6B"/>
    <w:rsid w:val="004D281B"/>
    <w:rsid w:val="004D5183"/>
    <w:rsid w:val="004E6DAB"/>
    <w:rsid w:val="004E7509"/>
    <w:rsid w:val="004F347B"/>
    <w:rsid w:val="004F4DE6"/>
    <w:rsid w:val="004F5356"/>
    <w:rsid w:val="004F6647"/>
    <w:rsid w:val="0050116D"/>
    <w:rsid w:val="00505D22"/>
    <w:rsid w:val="00512877"/>
    <w:rsid w:val="005145AD"/>
    <w:rsid w:val="00517D63"/>
    <w:rsid w:val="005215D5"/>
    <w:rsid w:val="0052300E"/>
    <w:rsid w:val="0053046B"/>
    <w:rsid w:val="00532C81"/>
    <w:rsid w:val="005375A0"/>
    <w:rsid w:val="00554E85"/>
    <w:rsid w:val="00556B1A"/>
    <w:rsid w:val="005619BB"/>
    <w:rsid w:val="00562E4F"/>
    <w:rsid w:val="00563952"/>
    <w:rsid w:val="00575010"/>
    <w:rsid w:val="00582739"/>
    <w:rsid w:val="0059132B"/>
    <w:rsid w:val="005A3157"/>
    <w:rsid w:val="005B0045"/>
    <w:rsid w:val="005B576A"/>
    <w:rsid w:val="005B65D5"/>
    <w:rsid w:val="005C0476"/>
    <w:rsid w:val="005C5CAD"/>
    <w:rsid w:val="005F0027"/>
    <w:rsid w:val="0060422D"/>
    <w:rsid w:val="00604F69"/>
    <w:rsid w:val="00611BC5"/>
    <w:rsid w:val="00613AAF"/>
    <w:rsid w:val="00616D74"/>
    <w:rsid w:val="006200FD"/>
    <w:rsid w:val="00621E01"/>
    <w:rsid w:val="006258FA"/>
    <w:rsid w:val="006321C7"/>
    <w:rsid w:val="00636847"/>
    <w:rsid w:val="00646043"/>
    <w:rsid w:val="006503C7"/>
    <w:rsid w:val="00650598"/>
    <w:rsid w:val="0065451B"/>
    <w:rsid w:val="00654BB7"/>
    <w:rsid w:val="006558A2"/>
    <w:rsid w:val="00657826"/>
    <w:rsid w:val="00661D74"/>
    <w:rsid w:val="00666DF6"/>
    <w:rsid w:val="00671736"/>
    <w:rsid w:val="006725BE"/>
    <w:rsid w:val="00673486"/>
    <w:rsid w:val="00673D73"/>
    <w:rsid w:val="00680896"/>
    <w:rsid w:val="00690DFB"/>
    <w:rsid w:val="00693EAC"/>
    <w:rsid w:val="00694C6F"/>
    <w:rsid w:val="00696C28"/>
    <w:rsid w:val="006A064E"/>
    <w:rsid w:val="006A1C60"/>
    <w:rsid w:val="006A3FB8"/>
    <w:rsid w:val="006A714D"/>
    <w:rsid w:val="006B6910"/>
    <w:rsid w:val="006C52A1"/>
    <w:rsid w:val="006C5E43"/>
    <w:rsid w:val="006D2841"/>
    <w:rsid w:val="006D521E"/>
    <w:rsid w:val="006E2B9D"/>
    <w:rsid w:val="006E5A6A"/>
    <w:rsid w:val="006F23AE"/>
    <w:rsid w:val="006F35D1"/>
    <w:rsid w:val="006F4963"/>
    <w:rsid w:val="006F6FC6"/>
    <w:rsid w:val="0070369D"/>
    <w:rsid w:val="00707323"/>
    <w:rsid w:val="007073A2"/>
    <w:rsid w:val="00712BAD"/>
    <w:rsid w:val="0071377B"/>
    <w:rsid w:val="00715B5F"/>
    <w:rsid w:val="00720133"/>
    <w:rsid w:val="007206D4"/>
    <w:rsid w:val="007243DC"/>
    <w:rsid w:val="00724594"/>
    <w:rsid w:val="007265EA"/>
    <w:rsid w:val="007340B9"/>
    <w:rsid w:val="00740E5C"/>
    <w:rsid w:val="00742AA8"/>
    <w:rsid w:val="00744466"/>
    <w:rsid w:val="007475FB"/>
    <w:rsid w:val="00770861"/>
    <w:rsid w:val="00770B4F"/>
    <w:rsid w:val="00770CCC"/>
    <w:rsid w:val="007716D2"/>
    <w:rsid w:val="00771799"/>
    <w:rsid w:val="00771BD9"/>
    <w:rsid w:val="00774A02"/>
    <w:rsid w:val="0077648A"/>
    <w:rsid w:val="007A7B52"/>
    <w:rsid w:val="007B0FE9"/>
    <w:rsid w:val="007B1A71"/>
    <w:rsid w:val="007B5007"/>
    <w:rsid w:val="007C0988"/>
    <w:rsid w:val="007C2A0C"/>
    <w:rsid w:val="007C3834"/>
    <w:rsid w:val="007C6081"/>
    <w:rsid w:val="007C6624"/>
    <w:rsid w:val="007D2150"/>
    <w:rsid w:val="007E2A68"/>
    <w:rsid w:val="007E78D5"/>
    <w:rsid w:val="007E7FC2"/>
    <w:rsid w:val="007F2C92"/>
    <w:rsid w:val="007F3533"/>
    <w:rsid w:val="007F484F"/>
    <w:rsid w:val="007F7FCE"/>
    <w:rsid w:val="00817472"/>
    <w:rsid w:val="00817F35"/>
    <w:rsid w:val="00820217"/>
    <w:rsid w:val="008243C5"/>
    <w:rsid w:val="00825CC9"/>
    <w:rsid w:val="00826370"/>
    <w:rsid w:val="0083646A"/>
    <w:rsid w:val="00853BB6"/>
    <w:rsid w:val="008602C8"/>
    <w:rsid w:val="00867924"/>
    <w:rsid w:val="0088028C"/>
    <w:rsid w:val="00883717"/>
    <w:rsid w:val="00885239"/>
    <w:rsid w:val="0089329F"/>
    <w:rsid w:val="008A02A4"/>
    <w:rsid w:val="008A244C"/>
    <w:rsid w:val="008A3FAC"/>
    <w:rsid w:val="008A72D2"/>
    <w:rsid w:val="008A76ED"/>
    <w:rsid w:val="008B2169"/>
    <w:rsid w:val="008B3490"/>
    <w:rsid w:val="008B3FFA"/>
    <w:rsid w:val="008D0E15"/>
    <w:rsid w:val="008D52E5"/>
    <w:rsid w:val="008E000F"/>
    <w:rsid w:val="008E099A"/>
    <w:rsid w:val="008E7889"/>
    <w:rsid w:val="008F5F5C"/>
    <w:rsid w:val="0090308A"/>
    <w:rsid w:val="00903777"/>
    <w:rsid w:val="00907341"/>
    <w:rsid w:val="00915DC0"/>
    <w:rsid w:val="00921104"/>
    <w:rsid w:val="00923EB2"/>
    <w:rsid w:val="00924B61"/>
    <w:rsid w:val="0093656B"/>
    <w:rsid w:val="009431FA"/>
    <w:rsid w:val="00943219"/>
    <w:rsid w:val="0094403A"/>
    <w:rsid w:val="009440CE"/>
    <w:rsid w:val="0094531D"/>
    <w:rsid w:val="00950604"/>
    <w:rsid w:val="009558E3"/>
    <w:rsid w:val="00956188"/>
    <w:rsid w:val="009564B3"/>
    <w:rsid w:val="00966934"/>
    <w:rsid w:val="00975B4D"/>
    <w:rsid w:val="0098312F"/>
    <w:rsid w:val="00987C19"/>
    <w:rsid w:val="009A7944"/>
    <w:rsid w:val="009B65EB"/>
    <w:rsid w:val="009C3202"/>
    <w:rsid w:val="009D19E8"/>
    <w:rsid w:val="009E23FA"/>
    <w:rsid w:val="009E2D6F"/>
    <w:rsid w:val="009F0C92"/>
    <w:rsid w:val="009F1E9A"/>
    <w:rsid w:val="009F280C"/>
    <w:rsid w:val="009F7C60"/>
    <w:rsid w:val="00A13914"/>
    <w:rsid w:val="00A215CB"/>
    <w:rsid w:val="00A21CAB"/>
    <w:rsid w:val="00A344AB"/>
    <w:rsid w:val="00A374ED"/>
    <w:rsid w:val="00A4190B"/>
    <w:rsid w:val="00A44337"/>
    <w:rsid w:val="00A474A0"/>
    <w:rsid w:val="00A52016"/>
    <w:rsid w:val="00A60E9B"/>
    <w:rsid w:val="00A72E66"/>
    <w:rsid w:val="00A738D4"/>
    <w:rsid w:val="00A745CA"/>
    <w:rsid w:val="00A768D2"/>
    <w:rsid w:val="00A77E6A"/>
    <w:rsid w:val="00A803E0"/>
    <w:rsid w:val="00AA0C38"/>
    <w:rsid w:val="00AA6A24"/>
    <w:rsid w:val="00AA7453"/>
    <w:rsid w:val="00AC11AA"/>
    <w:rsid w:val="00AC6254"/>
    <w:rsid w:val="00AD157C"/>
    <w:rsid w:val="00AD2504"/>
    <w:rsid w:val="00AE07AD"/>
    <w:rsid w:val="00AE0ECA"/>
    <w:rsid w:val="00AE3865"/>
    <w:rsid w:val="00AF0A93"/>
    <w:rsid w:val="00B01658"/>
    <w:rsid w:val="00B0177D"/>
    <w:rsid w:val="00B0197A"/>
    <w:rsid w:val="00B0515F"/>
    <w:rsid w:val="00B10D20"/>
    <w:rsid w:val="00B15674"/>
    <w:rsid w:val="00B20A9E"/>
    <w:rsid w:val="00B238D7"/>
    <w:rsid w:val="00B32A3C"/>
    <w:rsid w:val="00B35BB9"/>
    <w:rsid w:val="00B4088A"/>
    <w:rsid w:val="00B40949"/>
    <w:rsid w:val="00B413E5"/>
    <w:rsid w:val="00B417D2"/>
    <w:rsid w:val="00B45F4D"/>
    <w:rsid w:val="00B45FF9"/>
    <w:rsid w:val="00B51575"/>
    <w:rsid w:val="00B525E0"/>
    <w:rsid w:val="00B6111A"/>
    <w:rsid w:val="00B63BE9"/>
    <w:rsid w:val="00B6565E"/>
    <w:rsid w:val="00B6583E"/>
    <w:rsid w:val="00B6698C"/>
    <w:rsid w:val="00B67B17"/>
    <w:rsid w:val="00B71E81"/>
    <w:rsid w:val="00B742AC"/>
    <w:rsid w:val="00B75C3B"/>
    <w:rsid w:val="00B77144"/>
    <w:rsid w:val="00B77C1C"/>
    <w:rsid w:val="00B822A2"/>
    <w:rsid w:val="00B83E24"/>
    <w:rsid w:val="00B873D9"/>
    <w:rsid w:val="00B95496"/>
    <w:rsid w:val="00BA1273"/>
    <w:rsid w:val="00BA4216"/>
    <w:rsid w:val="00BA5759"/>
    <w:rsid w:val="00BA6C95"/>
    <w:rsid w:val="00BA723D"/>
    <w:rsid w:val="00BB3693"/>
    <w:rsid w:val="00BB69FD"/>
    <w:rsid w:val="00BC0CA8"/>
    <w:rsid w:val="00BC2BEE"/>
    <w:rsid w:val="00BC5EE1"/>
    <w:rsid w:val="00BC66B1"/>
    <w:rsid w:val="00BD5E7E"/>
    <w:rsid w:val="00BE3885"/>
    <w:rsid w:val="00BE7818"/>
    <w:rsid w:val="00BF1F0E"/>
    <w:rsid w:val="00C03D9F"/>
    <w:rsid w:val="00C109DC"/>
    <w:rsid w:val="00C175B5"/>
    <w:rsid w:val="00C212DB"/>
    <w:rsid w:val="00C22A7A"/>
    <w:rsid w:val="00C22B40"/>
    <w:rsid w:val="00C35AEF"/>
    <w:rsid w:val="00C50311"/>
    <w:rsid w:val="00C5081D"/>
    <w:rsid w:val="00C53AA3"/>
    <w:rsid w:val="00C55CD6"/>
    <w:rsid w:val="00C57D73"/>
    <w:rsid w:val="00C64ABF"/>
    <w:rsid w:val="00C6531B"/>
    <w:rsid w:val="00C7122A"/>
    <w:rsid w:val="00C74E8E"/>
    <w:rsid w:val="00C80368"/>
    <w:rsid w:val="00C85D84"/>
    <w:rsid w:val="00C864A3"/>
    <w:rsid w:val="00C93EE4"/>
    <w:rsid w:val="00CA6138"/>
    <w:rsid w:val="00CB29EB"/>
    <w:rsid w:val="00CC79C7"/>
    <w:rsid w:val="00CD66EE"/>
    <w:rsid w:val="00CE209D"/>
    <w:rsid w:val="00CE7FA7"/>
    <w:rsid w:val="00CF0673"/>
    <w:rsid w:val="00CF1583"/>
    <w:rsid w:val="00D00D65"/>
    <w:rsid w:val="00D05726"/>
    <w:rsid w:val="00D05B83"/>
    <w:rsid w:val="00D10A40"/>
    <w:rsid w:val="00D113A6"/>
    <w:rsid w:val="00D1268D"/>
    <w:rsid w:val="00D15ACE"/>
    <w:rsid w:val="00D172AD"/>
    <w:rsid w:val="00D25543"/>
    <w:rsid w:val="00D33B82"/>
    <w:rsid w:val="00D34ECA"/>
    <w:rsid w:val="00D46386"/>
    <w:rsid w:val="00D521C3"/>
    <w:rsid w:val="00D52678"/>
    <w:rsid w:val="00D56575"/>
    <w:rsid w:val="00D62573"/>
    <w:rsid w:val="00D72DB2"/>
    <w:rsid w:val="00D73060"/>
    <w:rsid w:val="00D76A29"/>
    <w:rsid w:val="00D77554"/>
    <w:rsid w:val="00D81175"/>
    <w:rsid w:val="00DA0D97"/>
    <w:rsid w:val="00DA4EFE"/>
    <w:rsid w:val="00DA6D2C"/>
    <w:rsid w:val="00DB74E0"/>
    <w:rsid w:val="00DC4A08"/>
    <w:rsid w:val="00DC65F3"/>
    <w:rsid w:val="00DD5401"/>
    <w:rsid w:val="00DD5DAC"/>
    <w:rsid w:val="00DE083A"/>
    <w:rsid w:val="00DE110A"/>
    <w:rsid w:val="00DF10BF"/>
    <w:rsid w:val="00E10EB2"/>
    <w:rsid w:val="00E228CF"/>
    <w:rsid w:val="00E338E1"/>
    <w:rsid w:val="00E33FA0"/>
    <w:rsid w:val="00E41E93"/>
    <w:rsid w:val="00E42591"/>
    <w:rsid w:val="00E45469"/>
    <w:rsid w:val="00E454E5"/>
    <w:rsid w:val="00E4615A"/>
    <w:rsid w:val="00E4688C"/>
    <w:rsid w:val="00E4714F"/>
    <w:rsid w:val="00E50CAC"/>
    <w:rsid w:val="00E60313"/>
    <w:rsid w:val="00E65C1D"/>
    <w:rsid w:val="00E714EC"/>
    <w:rsid w:val="00E748A9"/>
    <w:rsid w:val="00E8394E"/>
    <w:rsid w:val="00EA699E"/>
    <w:rsid w:val="00EA6BCD"/>
    <w:rsid w:val="00EB15D9"/>
    <w:rsid w:val="00EB230E"/>
    <w:rsid w:val="00EB485A"/>
    <w:rsid w:val="00EB6FB0"/>
    <w:rsid w:val="00EB746A"/>
    <w:rsid w:val="00ED7E7A"/>
    <w:rsid w:val="00EE1791"/>
    <w:rsid w:val="00EE2FDB"/>
    <w:rsid w:val="00EE484D"/>
    <w:rsid w:val="00F00F24"/>
    <w:rsid w:val="00F07ED0"/>
    <w:rsid w:val="00F10B80"/>
    <w:rsid w:val="00F125C9"/>
    <w:rsid w:val="00F13B9D"/>
    <w:rsid w:val="00F20357"/>
    <w:rsid w:val="00F22635"/>
    <w:rsid w:val="00F2359E"/>
    <w:rsid w:val="00F278C2"/>
    <w:rsid w:val="00F31109"/>
    <w:rsid w:val="00F321A3"/>
    <w:rsid w:val="00F41CF5"/>
    <w:rsid w:val="00F444AC"/>
    <w:rsid w:val="00F536A9"/>
    <w:rsid w:val="00F54984"/>
    <w:rsid w:val="00F54A04"/>
    <w:rsid w:val="00F62CC1"/>
    <w:rsid w:val="00F63CFA"/>
    <w:rsid w:val="00F67D0B"/>
    <w:rsid w:val="00F80934"/>
    <w:rsid w:val="00F81C9E"/>
    <w:rsid w:val="00F94DB7"/>
    <w:rsid w:val="00F96198"/>
    <w:rsid w:val="00FA26DC"/>
    <w:rsid w:val="00FA2BA5"/>
    <w:rsid w:val="00FA5590"/>
    <w:rsid w:val="00FA7CB1"/>
    <w:rsid w:val="00FB2ED5"/>
    <w:rsid w:val="00FB73EA"/>
    <w:rsid w:val="00FC0CB6"/>
    <w:rsid w:val="00FC4F18"/>
    <w:rsid w:val="00FC7B5D"/>
    <w:rsid w:val="00FD5299"/>
    <w:rsid w:val="00FE08DE"/>
    <w:rsid w:val="00FE4787"/>
    <w:rsid w:val="00FF5B25"/>
    <w:rsid w:val="0576341B"/>
    <w:rsid w:val="082609BC"/>
    <w:rsid w:val="146925FB"/>
    <w:rsid w:val="1D61352C"/>
    <w:rsid w:val="21E819AE"/>
    <w:rsid w:val="2C3B19B2"/>
    <w:rsid w:val="3599471C"/>
    <w:rsid w:val="3EC407F0"/>
    <w:rsid w:val="439123AD"/>
    <w:rsid w:val="45427A17"/>
    <w:rsid w:val="4D077BC8"/>
    <w:rsid w:val="50706ABC"/>
    <w:rsid w:val="51EF0845"/>
    <w:rsid w:val="5A63604A"/>
    <w:rsid w:val="5ABD56B1"/>
    <w:rsid w:val="5C173D7D"/>
    <w:rsid w:val="603F0141"/>
    <w:rsid w:val="690F37A3"/>
    <w:rsid w:val="6AC1576E"/>
    <w:rsid w:val="6BA16D20"/>
    <w:rsid w:val="6BF223C4"/>
    <w:rsid w:val="780B4948"/>
    <w:rsid w:val="7A7F272C"/>
    <w:rsid w:val="7D2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annotation subject"/>
    <w:basedOn w:val="2"/>
    <w:next w:val="2"/>
    <w:link w:val="11"/>
    <w:autoRedefine/>
    <w:qFormat/>
    <w:uiPriority w:val="0"/>
    <w:rPr>
      <w:b/>
      <w:bCs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autoRedefine/>
    <w:qFormat/>
    <w:uiPriority w:val="0"/>
    <w:rPr>
      <w:sz w:val="21"/>
      <w:szCs w:val="21"/>
    </w:rPr>
  </w:style>
  <w:style w:type="character" w:customStyle="1" w:styleId="10">
    <w:name w:val="批注文字 字符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批注主题 字符"/>
    <w:basedOn w:val="10"/>
    <w:link w:val="5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1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1621</Characters>
  <Lines>13</Lines>
  <Paragraphs>3</Paragraphs>
  <TotalTime>2738</TotalTime>
  <ScaleCrop>false</ScaleCrop>
  <LinksUpToDate>false</LinksUpToDate>
  <CharactersWithSpaces>1902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2023-09-25T07:28:00Z</dcterms:created>
  <dc:creator>董咚咚</dc:creator>
  <cp:lastModifiedBy>钟清青</cp:lastModifiedBy>
  <cp:lastPrinted>2023-01-12T08:57:00Z</cp:lastPrinted>
  <dcterms:modified xsi:type="dcterms:W3CDTF">2024-05-21T09:15:27Z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6559CC78C262404F96133FD968E359D9_13</vt:lpwstr>
  </property>
</Properties>
</file>