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E319" w14:textId="00E5CBDB" w:rsidR="00666D6F" w:rsidRPr="00666D6F" w:rsidRDefault="00666D6F" w:rsidP="00666D6F">
      <w:pPr>
        <w:spacing w:line="360" w:lineRule="auto"/>
        <w:jc w:val="center"/>
        <w:rPr>
          <w:rFonts w:ascii="Times New Roman" w:eastAsia="宋体" w:hAnsi="Times New Roman" w:cs="Times New Roman"/>
          <w:b/>
          <w:bCs/>
          <w:sz w:val="28"/>
          <w:szCs w:val="32"/>
        </w:rPr>
      </w:pPr>
      <w:r w:rsidRPr="00666D6F">
        <w:rPr>
          <w:rFonts w:ascii="Times New Roman" w:eastAsia="宋体" w:hAnsi="Times New Roman" w:cs="Times New Roman" w:hint="eastAsia"/>
          <w:b/>
          <w:bCs/>
          <w:sz w:val="28"/>
          <w:szCs w:val="32"/>
        </w:rPr>
        <w:t>上海建工集团股份有限公司</w:t>
      </w:r>
    </w:p>
    <w:p w14:paraId="0E9AC82F" w14:textId="6C40340F" w:rsidR="00666D6F" w:rsidRPr="00666D6F" w:rsidRDefault="00666D6F" w:rsidP="00666D6F">
      <w:pPr>
        <w:spacing w:line="360" w:lineRule="auto"/>
        <w:jc w:val="center"/>
        <w:rPr>
          <w:rFonts w:ascii="Times New Roman" w:eastAsia="宋体" w:hAnsi="Times New Roman" w:cs="Times New Roman"/>
          <w:b/>
          <w:bCs/>
          <w:sz w:val="28"/>
          <w:szCs w:val="32"/>
        </w:rPr>
      </w:pPr>
      <w:r w:rsidRPr="00666D6F">
        <w:rPr>
          <w:rFonts w:ascii="Times New Roman" w:eastAsia="宋体" w:hAnsi="Times New Roman" w:cs="Times New Roman" w:hint="eastAsia"/>
          <w:b/>
          <w:bCs/>
          <w:sz w:val="28"/>
          <w:szCs w:val="32"/>
        </w:rPr>
        <w:t>投资者关系活动记录表</w:t>
      </w:r>
    </w:p>
    <w:p w14:paraId="5F7861CC" w14:textId="4C420746" w:rsidR="00666D6F" w:rsidRPr="00666D6F" w:rsidRDefault="00666D6F" w:rsidP="00666D6F">
      <w:pPr>
        <w:spacing w:line="360" w:lineRule="auto"/>
        <w:jc w:val="right"/>
        <w:rPr>
          <w:rFonts w:ascii="Times New Roman" w:eastAsia="宋体" w:hAnsi="Times New Roman" w:cs="Times New Roman"/>
          <w:sz w:val="24"/>
          <w:szCs w:val="28"/>
        </w:rPr>
      </w:pPr>
    </w:p>
    <w:tbl>
      <w:tblPr>
        <w:tblStyle w:val="a3"/>
        <w:tblW w:w="0" w:type="auto"/>
        <w:tblLook w:val="04A0" w:firstRow="1" w:lastRow="0" w:firstColumn="1" w:lastColumn="0" w:noHBand="0" w:noVBand="1"/>
      </w:tblPr>
      <w:tblGrid>
        <w:gridCol w:w="2122"/>
        <w:gridCol w:w="6174"/>
      </w:tblGrid>
      <w:tr w:rsidR="00666D6F" w:rsidRPr="000F3B36" w14:paraId="232E80A6" w14:textId="77777777" w:rsidTr="00CC145B">
        <w:tc>
          <w:tcPr>
            <w:tcW w:w="2122" w:type="dxa"/>
            <w:vAlign w:val="center"/>
          </w:tcPr>
          <w:p w14:paraId="24894E8E" w14:textId="77777777"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投资者关系</w:t>
            </w:r>
          </w:p>
          <w:p w14:paraId="71DBDEAF" w14:textId="6AA3AF4F"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活动类别</w:t>
            </w:r>
          </w:p>
        </w:tc>
        <w:tc>
          <w:tcPr>
            <w:tcW w:w="6174" w:type="dxa"/>
            <w:vAlign w:val="center"/>
          </w:tcPr>
          <w:p w14:paraId="1AFAD0F1" w14:textId="6545FCFC" w:rsidR="00666D6F" w:rsidRPr="00B4235A" w:rsidRDefault="006F18C2" w:rsidP="00CC145B">
            <w:pPr>
              <w:spacing w:line="360" w:lineRule="auto"/>
              <w:ind w:right="241"/>
              <w:rPr>
                <w:rFonts w:ascii="仿宋" w:eastAsia="仿宋" w:hAnsi="仿宋" w:cs="Times New Roman"/>
                <w:sz w:val="22"/>
                <w:szCs w:val="24"/>
              </w:rPr>
            </w:pPr>
            <w:r w:rsidRPr="006F18C2">
              <w:rPr>
                <w:rFonts w:ascii="仿宋" w:eastAsia="仿宋" w:hAnsi="仿宋" w:cs="Times New Roman" w:hint="eastAsia"/>
                <w:sz w:val="22"/>
                <w:szCs w:val="24"/>
              </w:rPr>
              <w:t>基金经理、券商分析师调研、分析师会议</w:t>
            </w:r>
          </w:p>
        </w:tc>
      </w:tr>
      <w:tr w:rsidR="00666D6F" w:rsidRPr="000F3B36" w14:paraId="7E73CE4D" w14:textId="77777777" w:rsidTr="00CC145B">
        <w:trPr>
          <w:trHeight w:val="1401"/>
        </w:trPr>
        <w:tc>
          <w:tcPr>
            <w:tcW w:w="2122" w:type="dxa"/>
            <w:vAlign w:val="center"/>
          </w:tcPr>
          <w:p w14:paraId="028D3F03" w14:textId="77777777"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参与单位名称</w:t>
            </w:r>
          </w:p>
          <w:p w14:paraId="4A0A24A4" w14:textId="2E0A996D"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和人员姓名</w:t>
            </w:r>
          </w:p>
        </w:tc>
        <w:tc>
          <w:tcPr>
            <w:tcW w:w="6174" w:type="dxa"/>
            <w:vAlign w:val="center"/>
          </w:tcPr>
          <w:p w14:paraId="022C743C" w14:textId="19D19FD6" w:rsidR="00CC145B" w:rsidRPr="000F3B36" w:rsidRDefault="001B196C" w:rsidP="00CC145B">
            <w:pPr>
              <w:spacing w:line="360" w:lineRule="auto"/>
              <w:ind w:right="241"/>
              <w:rPr>
                <w:rFonts w:ascii="仿宋" w:eastAsia="仿宋" w:hAnsi="仿宋" w:cs="Times New Roman"/>
                <w:sz w:val="22"/>
                <w:szCs w:val="24"/>
              </w:rPr>
            </w:pPr>
            <w:r>
              <w:rPr>
                <w:rFonts w:ascii="仿宋" w:eastAsia="仿宋" w:hAnsi="仿宋" w:cs="Times New Roman" w:hint="eastAsia"/>
                <w:sz w:val="22"/>
                <w:szCs w:val="24"/>
              </w:rPr>
              <w:t>中金公司：陈彦、</w:t>
            </w:r>
            <w:r w:rsidR="00CD64AF">
              <w:rPr>
                <w:rFonts w:ascii="仿宋" w:eastAsia="仿宋" w:hAnsi="仿宋" w:cs="Times New Roman" w:hint="eastAsia"/>
                <w:sz w:val="22"/>
                <w:szCs w:val="24"/>
              </w:rPr>
              <w:t>龚晴、徐贇妍；Schroders：Erica Hua；景林资产：周茜；恒越基金：张蓉蓉；工银理财：李婉婧；中银理财：Tony Fei；平安资管：陈孟智；</w:t>
            </w:r>
            <w:r w:rsidR="00CC145B">
              <w:rPr>
                <w:rFonts w:ascii="仿宋" w:eastAsia="仿宋" w:hAnsi="仿宋" w:cs="Times New Roman" w:hint="eastAsia"/>
                <w:sz w:val="22"/>
                <w:szCs w:val="24"/>
              </w:rPr>
              <w:t>兴全基金：钱逸文；仁桥资产：史国财；德弘资产：封一帆；民生通惠基金：肖尧；Macquarie：Megan Jin；Manulife: Richard Wu；淡马锡富敦：姚允中；马来西亚联昌银行：Tony Tang、Grace Shao</w:t>
            </w:r>
          </w:p>
        </w:tc>
      </w:tr>
      <w:tr w:rsidR="00666D6F" w:rsidRPr="000F3B36" w14:paraId="2E7A6B69" w14:textId="77777777" w:rsidTr="00CC145B">
        <w:tc>
          <w:tcPr>
            <w:tcW w:w="2122" w:type="dxa"/>
            <w:vAlign w:val="center"/>
          </w:tcPr>
          <w:p w14:paraId="3BBE5C22" w14:textId="67ACB97F" w:rsidR="00666D6F" w:rsidRPr="000F3B36" w:rsidRDefault="00666D6F" w:rsidP="00666D6F">
            <w:pPr>
              <w:spacing w:line="360" w:lineRule="auto"/>
              <w:ind w:right="241"/>
              <w:jc w:val="center"/>
              <w:rPr>
                <w:rFonts w:ascii="仿宋" w:eastAsia="仿宋" w:hAnsi="仿宋" w:cs="Times New Roman"/>
                <w:sz w:val="22"/>
                <w:szCs w:val="24"/>
              </w:rPr>
            </w:pPr>
            <w:r w:rsidRPr="000F3B36">
              <w:rPr>
                <w:rFonts w:ascii="仿宋" w:eastAsia="仿宋" w:hAnsi="仿宋" w:cs="Times New Roman" w:hint="eastAsia"/>
                <w:sz w:val="22"/>
                <w:szCs w:val="24"/>
              </w:rPr>
              <w:t>时间</w:t>
            </w:r>
          </w:p>
        </w:tc>
        <w:tc>
          <w:tcPr>
            <w:tcW w:w="6174" w:type="dxa"/>
            <w:vAlign w:val="center"/>
          </w:tcPr>
          <w:p w14:paraId="10E14E02" w14:textId="186769AA" w:rsidR="00666D6F" w:rsidRPr="000F3B36" w:rsidRDefault="00666D6F" w:rsidP="00CC145B">
            <w:pPr>
              <w:spacing w:line="360" w:lineRule="auto"/>
              <w:ind w:right="241"/>
              <w:rPr>
                <w:rFonts w:ascii="仿宋" w:eastAsia="仿宋" w:hAnsi="仿宋" w:cs="Times New Roman"/>
                <w:sz w:val="22"/>
                <w:szCs w:val="24"/>
              </w:rPr>
            </w:pPr>
            <w:r w:rsidRPr="000F3B36">
              <w:rPr>
                <w:rFonts w:ascii="仿宋" w:eastAsia="仿宋" w:hAnsi="仿宋" w:cs="Times New Roman" w:hint="eastAsia"/>
                <w:sz w:val="22"/>
                <w:szCs w:val="24"/>
              </w:rPr>
              <w:t>2</w:t>
            </w:r>
            <w:r w:rsidRPr="000F3B36">
              <w:rPr>
                <w:rFonts w:ascii="仿宋" w:eastAsia="仿宋" w:hAnsi="仿宋" w:cs="Times New Roman"/>
                <w:sz w:val="22"/>
                <w:szCs w:val="24"/>
              </w:rPr>
              <w:t>024</w:t>
            </w:r>
            <w:r w:rsidRPr="000F3B36">
              <w:rPr>
                <w:rFonts w:ascii="仿宋" w:eastAsia="仿宋" w:hAnsi="仿宋" w:cs="Times New Roman" w:hint="eastAsia"/>
                <w:sz w:val="22"/>
                <w:szCs w:val="24"/>
              </w:rPr>
              <w:t>年</w:t>
            </w:r>
            <w:r w:rsidR="001B196C">
              <w:rPr>
                <w:rFonts w:ascii="仿宋" w:eastAsia="仿宋" w:hAnsi="仿宋" w:cs="Times New Roman" w:hint="eastAsia"/>
                <w:sz w:val="22"/>
                <w:szCs w:val="24"/>
              </w:rPr>
              <w:t>4</w:t>
            </w:r>
            <w:r w:rsidRPr="000F3B36">
              <w:rPr>
                <w:rFonts w:ascii="仿宋" w:eastAsia="仿宋" w:hAnsi="仿宋" w:cs="Times New Roman" w:hint="eastAsia"/>
                <w:sz w:val="22"/>
                <w:szCs w:val="24"/>
              </w:rPr>
              <w:t>月</w:t>
            </w:r>
            <w:r w:rsidR="001B196C">
              <w:rPr>
                <w:rFonts w:ascii="仿宋" w:eastAsia="仿宋" w:hAnsi="仿宋" w:cs="Times New Roman" w:hint="eastAsia"/>
                <w:sz w:val="22"/>
                <w:szCs w:val="24"/>
              </w:rPr>
              <w:t>30</w:t>
            </w:r>
            <w:r w:rsidRPr="000F3B36">
              <w:rPr>
                <w:rFonts w:ascii="仿宋" w:eastAsia="仿宋" w:hAnsi="仿宋" w:cs="Times New Roman" w:hint="eastAsia"/>
                <w:sz w:val="22"/>
                <w:szCs w:val="24"/>
              </w:rPr>
              <w:t>日</w:t>
            </w:r>
            <w:r w:rsidR="00C2120D" w:rsidRPr="000F3B36">
              <w:rPr>
                <w:rFonts w:ascii="仿宋" w:eastAsia="仿宋" w:hAnsi="仿宋" w:cs="Times New Roman" w:hint="eastAsia"/>
                <w:sz w:val="22"/>
                <w:szCs w:val="24"/>
              </w:rPr>
              <w:t>至2024年</w:t>
            </w:r>
            <w:r w:rsidR="001B196C">
              <w:rPr>
                <w:rFonts w:ascii="仿宋" w:eastAsia="仿宋" w:hAnsi="仿宋" w:cs="Times New Roman" w:hint="eastAsia"/>
                <w:sz w:val="22"/>
                <w:szCs w:val="24"/>
              </w:rPr>
              <w:t>5</w:t>
            </w:r>
            <w:r w:rsidR="00C2120D" w:rsidRPr="000F3B36">
              <w:rPr>
                <w:rFonts w:ascii="仿宋" w:eastAsia="仿宋" w:hAnsi="仿宋" w:cs="Times New Roman" w:hint="eastAsia"/>
                <w:sz w:val="22"/>
                <w:szCs w:val="24"/>
              </w:rPr>
              <w:t>月</w:t>
            </w:r>
            <w:r w:rsidR="001B196C">
              <w:rPr>
                <w:rFonts w:ascii="仿宋" w:eastAsia="仿宋" w:hAnsi="仿宋" w:cs="Times New Roman" w:hint="eastAsia"/>
                <w:sz w:val="22"/>
                <w:szCs w:val="24"/>
              </w:rPr>
              <w:t>22</w:t>
            </w:r>
            <w:r w:rsidR="00C2120D" w:rsidRPr="000F3B36">
              <w:rPr>
                <w:rFonts w:ascii="仿宋" w:eastAsia="仿宋" w:hAnsi="仿宋" w:cs="Times New Roman" w:hint="eastAsia"/>
                <w:sz w:val="22"/>
                <w:szCs w:val="24"/>
              </w:rPr>
              <w:t>日</w:t>
            </w:r>
          </w:p>
        </w:tc>
      </w:tr>
      <w:tr w:rsidR="00666D6F" w:rsidRPr="000F3B36" w14:paraId="742233FF" w14:textId="77777777" w:rsidTr="00CC145B">
        <w:tc>
          <w:tcPr>
            <w:tcW w:w="2122" w:type="dxa"/>
            <w:vAlign w:val="center"/>
          </w:tcPr>
          <w:p w14:paraId="297755F7" w14:textId="6855213D" w:rsidR="00666D6F" w:rsidRPr="000F3B36" w:rsidRDefault="00666D6F" w:rsidP="00666D6F">
            <w:pPr>
              <w:spacing w:line="360" w:lineRule="auto"/>
              <w:ind w:right="241"/>
              <w:jc w:val="center"/>
              <w:rPr>
                <w:rFonts w:ascii="仿宋" w:eastAsia="仿宋" w:hAnsi="仿宋" w:cs="Times New Roman"/>
                <w:sz w:val="22"/>
                <w:szCs w:val="24"/>
              </w:rPr>
            </w:pPr>
            <w:r w:rsidRPr="000F3B36">
              <w:rPr>
                <w:rFonts w:ascii="仿宋" w:eastAsia="仿宋" w:hAnsi="仿宋" w:cs="Times New Roman" w:hint="eastAsia"/>
                <w:sz w:val="22"/>
                <w:szCs w:val="24"/>
              </w:rPr>
              <w:t>地点</w:t>
            </w:r>
          </w:p>
        </w:tc>
        <w:tc>
          <w:tcPr>
            <w:tcW w:w="6174" w:type="dxa"/>
            <w:vAlign w:val="center"/>
          </w:tcPr>
          <w:p w14:paraId="6229AEC2" w14:textId="49074C9A" w:rsidR="00666D6F" w:rsidRPr="000F3B36" w:rsidRDefault="001B196C" w:rsidP="006F18C2">
            <w:pPr>
              <w:spacing w:line="360" w:lineRule="auto"/>
              <w:ind w:right="241"/>
              <w:rPr>
                <w:rFonts w:ascii="仿宋" w:eastAsia="仿宋" w:hAnsi="仿宋" w:cs="Times New Roman"/>
                <w:sz w:val="22"/>
                <w:szCs w:val="24"/>
              </w:rPr>
            </w:pPr>
            <w:r>
              <w:rPr>
                <w:rFonts w:ascii="仿宋" w:eastAsia="仿宋" w:hAnsi="仿宋" w:cs="Times New Roman" w:hint="eastAsia"/>
                <w:sz w:val="22"/>
                <w:szCs w:val="24"/>
              </w:rPr>
              <w:t>上海市东大名路666号上海建工大厦</w:t>
            </w:r>
          </w:p>
        </w:tc>
      </w:tr>
      <w:tr w:rsidR="00666D6F" w:rsidRPr="009D3815" w14:paraId="64C9DEC6" w14:textId="77777777" w:rsidTr="00CC145B">
        <w:trPr>
          <w:trHeight w:val="1165"/>
        </w:trPr>
        <w:tc>
          <w:tcPr>
            <w:tcW w:w="2122" w:type="dxa"/>
            <w:vAlign w:val="center"/>
          </w:tcPr>
          <w:p w14:paraId="45AEEA43" w14:textId="77777777"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公司接待</w:t>
            </w:r>
          </w:p>
          <w:p w14:paraId="5F31B093" w14:textId="625DE85A"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人员姓名</w:t>
            </w:r>
          </w:p>
        </w:tc>
        <w:tc>
          <w:tcPr>
            <w:tcW w:w="6174" w:type="dxa"/>
            <w:vAlign w:val="center"/>
          </w:tcPr>
          <w:p w14:paraId="26BFA460" w14:textId="004777D7" w:rsidR="00666D6F" w:rsidRPr="000F3B36" w:rsidRDefault="001F41DF" w:rsidP="00CC145B">
            <w:pPr>
              <w:spacing w:line="360" w:lineRule="auto"/>
              <w:ind w:right="241"/>
              <w:rPr>
                <w:rFonts w:ascii="仿宋" w:eastAsia="仿宋" w:hAnsi="仿宋" w:cs="Times New Roman"/>
                <w:sz w:val="22"/>
                <w:szCs w:val="24"/>
              </w:rPr>
            </w:pPr>
            <w:r w:rsidRPr="000F3B36">
              <w:rPr>
                <w:rFonts w:ascii="仿宋" w:eastAsia="仿宋" w:hAnsi="仿宋" w:cs="Times New Roman" w:hint="eastAsia"/>
                <w:sz w:val="22"/>
                <w:szCs w:val="24"/>
              </w:rPr>
              <w:t>董事会秘书：李胜</w:t>
            </w:r>
          </w:p>
          <w:p w14:paraId="104FE9D2" w14:textId="6E9279EC" w:rsidR="001F41DF" w:rsidRPr="000F3B36" w:rsidRDefault="001F41DF" w:rsidP="00CC145B">
            <w:pPr>
              <w:spacing w:line="360" w:lineRule="auto"/>
              <w:ind w:right="241"/>
              <w:rPr>
                <w:rFonts w:ascii="仿宋" w:eastAsia="仿宋" w:hAnsi="仿宋" w:cs="Times New Roman"/>
                <w:sz w:val="22"/>
                <w:szCs w:val="24"/>
              </w:rPr>
            </w:pPr>
            <w:r w:rsidRPr="000F3B36">
              <w:rPr>
                <w:rFonts w:ascii="仿宋" w:eastAsia="仿宋" w:hAnsi="仿宋" w:cs="Times New Roman" w:hint="eastAsia"/>
                <w:sz w:val="22"/>
                <w:szCs w:val="24"/>
              </w:rPr>
              <w:t>董办</w:t>
            </w:r>
            <w:r w:rsidR="003B4D4B">
              <w:rPr>
                <w:rFonts w:ascii="仿宋" w:eastAsia="仿宋" w:hAnsi="仿宋" w:cs="Times New Roman" w:hint="eastAsia"/>
                <w:sz w:val="22"/>
                <w:szCs w:val="24"/>
              </w:rPr>
              <w:t>证券事务专员</w:t>
            </w:r>
            <w:r w:rsidRPr="000F3B36">
              <w:rPr>
                <w:rFonts w:ascii="仿宋" w:eastAsia="仿宋" w:hAnsi="仿宋" w:cs="Times New Roman" w:hint="eastAsia"/>
                <w:sz w:val="22"/>
                <w:szCs w:val="24"/>
              </w:rPr>
              <w:t>：阮琰炜</w:t>
            </w:r>
          </w:p>
        </w:tc>
      </w:tr>
      <w:tr w:rsidR="00666D6F" w:rsidRPr="000F3B36" w14:paraId="23820559" w14:textId="77777777" w:rsidTr="00CC145B">
        <w:trPr>
          <w:trHeight w:val="5378"/>
        </w:trPr>
        <w:tc>
          <w:tcPr>
            <w:tcW w:w="2122" w:type="dxa"/>
            <w:vAlign w:val="center"/>
          </w:tcPr>
          <w:p w14:paraId="5FD35F7D" w14:textId="77777777"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投资者关系活动</w:t>
            </w:r>
          </w:p>
          <w:p w14:paraId="2F7448B1" w14:textId="35D51833" w:rsidR="00666D6F" w:rsidRPr="000F3B36" w:rsidRDefault="00666D6F" w:rsidP="001F41DF">
            <w:pPr>
              <w:ind w:right="238"/>
              <w:jc w:val="center"/>
              <w:rPr>
                <w:rFonts w:ascii="仿宋" w:eastAsia="仿宋" w:hAnsi="仿宋" w:cs="Times New Roman"/>
                <w:sz w:val="22"/>
                <w:szCs w:val="24"/>
              </w:rPr>
            </w:pPr>
            <w:r w:rsidRPr="000F3B36">
              <w:rPr>
                <w:rFonts w:ascii="仿宋" w:eastAsia="仿宋" w:hAnsi="仿宋" w:cs="Times New Roman" w:hint="eastAsia"/>
                <w:sz w:val="22"/>
                <w:szCs w:val="24"/>
              </w:rPr>
              <w:t>主要内容介绍</w:t>
            </w:r>
          </w:p>
        </w:tc>
        <w:tc>
          <w:tcPr>
            <w:tcW w:w="6174" w:type="dxa"/>
            <w:vAlign w:val="center"/>
          </w:tcPr>
          <w:p w14:paraId="0A700081" w14:textId="0643CA2F" w:rsidR="007D7FA9" w:rsidRPr="000F3B36" w:rsidRDefault="00DF2182"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2023年和2024年第一季度</w:t>
            </w:r>
            <w:r w:rsidR="00914920">
              <w:rPr>
                <w:rFonts w:ascii="仿宋" w:eastAsia="仿宋" w:hAnsi="仿宋" w:cs="Times New Roman" w:hint="eastAsia"/>
                <w:b/>
                <w:bCs/>
                <w:sz w:val="22"/>
                <w:szCs w:val="24"/>
              </w:rPr>
              <w:t>经营</w:t>
            </w:r>
            <w:r w:rsidR="000044AE">
              <w:rPr>
                <w:rFonts w:ascii="仿宋" w:eastAsia="仿宋" w:hAnsi="仿宋" w:cs="Times New Roman" w:hint="eastAsia"/>
                <w:b/>
                <w:bCs/>
                <w:sz w:val="22"/>
                <w:szCs w:val="24"/>
              </w:rPr>
              <w:t>概况</w:t>
            </w:r>
          </w:p>
          <w:p w14:paraId="754367C1" w14:textId="570E265E" w:rsidR="000044AE" w:rsidRDefault="00F41C21" w:rsidP="00DF2182">
            <w:pPr>
              <w:pStyle w:val="a4"/>
              <w:spacing w:line="360" w:lineRule="auto"/>
              <w:ind w:left="800" w:right="241" w:firstLine="440"/>
              <w:rPr>
                <w:rFonts w:ascii="仿宋" w:eastAsia="仿宋" w:hAnsi="仿宋" w:cs="Times New Roman"/>
                <w:sz w:val="22"/>
                <w:szCs w:val="24"/>
              </w:rPr>
            </w:pPr>
            <w:r w:rsidRPr="000F3B36">
              <w:rPr>
                <w:rFonts w:ascii="仿宋" w:eastAsia="仿宋" w:hAnsi="仿宋" w:cs="Times New Roman" w:hint="eastAsia"/>
                <w:sz w:val="22"/>
                <w:szCs w:val="24"/>
              </w:rPr>
              <w:t>2023年位列ENR全球最大250家工程承包商第8位，《财富》世界500强第351位</w:t>
            </w:r>
            <w:r w:rsidR="00B71174" w:rsidRPr="000F3B36">
              <w:rPr>
                <w:rFonts w:ascii="仿宋" w:eastAsia="仿宋" w:hAnsi="仿宋" w:cs="Times New Roman" w:hint="eastAsia"/>
                <w:sz w:val="22"/>
                <w:szCs w:val="24"/>
              </w:rPr>
              <w:t>。</w:t>
            </w:r>
          </w:p>
          <w:p w14:paraId="78756F2B" w14:textId="77777777" w:rsidR="00DF2182" w:rsidRDefault="00DF2182" w:rsidP="00DF2182">
            <w:pPr>
              <w:pStyle w:val="a4"/>
              <w:spacing w:line="360" w:lineRule="auto"/>
              <w:ind w:left="800" w:right="241" w:firstLine="440"/>
              <w:rPr>
                <w:rFonts w:ascii="仿宋" w:eastAsia="仿宋" w:hAnsi="仿宋" w:cs="Times New Roman"/>
                <w:sz w:val="22"/>
                <w:szCs w:val="24"/>
              </w:rPr>
            </w:pPr>
            <w:r w:rsidRPr="004E1279">
              <w:rPr>
                <w:rFonts w:ascii="仿宋" w:eastAsia="仿宋" w:hAnsi="仿宋" w:cs="Times New Roman" w:hint="eastAsia"/>
                <w:sz w:val="22"/>
                <w:szCs w:val="24"/>
              </w:rPr>
              <w:t>2023</w:t>
            </w:r>
            <w:r>
              <w:rPr>
                <w:rFonts w:ascii="仿宋" w:eastAsia="仿宋" w:hAnsi="仿宋" w:cs="Times New Roman" w:hint="eastAsia"/>
                <w:sz w:val="22"/>
                <w:szCs w:val="24"/>
              </w:rPr>
              <w:t>全年实现营业收入3046亿元，同比</w:t>
            </w:r>
            <w:r w:rsidRPr="004E1279">
              <w:rPr>
                <w:rFonts w:ascii="仿宋" w:eastAsia="仿宋" w:hAnsi="仿宋" w:cs="Times New Roman" w:hint="eastAsia"/>
                <w:sz w:val="22"/>
                <w:szCs w:val="24"/>
              </w:rPr>
              <w:t>增长</w:t>
            </w:r>
            <w:r w:rsidRPr="004E1279">
              <w:rPr>
                <w:rFonts w:ascii="仿宋" w:eastAsia="仿宋" w:hAnsi="仿宋" w:cs="Times New Roman"/>
                <w:sz w:val="22"/>
                <w:szCs w:val="24"/>
              </w:rPr>
              <w:t>6.5%；实现利润总额30亿元，同比增长30.0%，规模效益稳健增长，效益增速高于规模增速</w:t>
            </w:r>
            <w:r>
              <w:rPr>
                <w:rFonts w:ascii="仿宋" w:eastAsia="仿宋" w:hAnsi="仿宋" w:cs="Times New Roman" w:hint="eastAsia"/>
                <w:sz w:val="22"/>
                <w:szCs w:val="24"/>
              </w:rPr>
              <w:t>；</w:t>
            </w:r>
          </w:p>
          <w:p w14:paraId="22586090" w14:textId="77777777" w:rsidR="002A1B15" w:rsidRDefault="002A1B15" w:rsidP="002A1B15">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2023年六大新兴业务稳步增长，全年新签订单955亿元，占集团新签合同金额22%，在建合同两位数增长，新兴“增长极”作用显现。</w:t>
            </w:r>
          </w:p>
          <w:p w14:paraId="4C36B4DD" w14:textId="77777777" w:rsidR="00DF2182" w:rsidRDefault="00DF2182" w:rsidP="00DF2182">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2024第一季度，</w:t>
            </w:r>
            <w:r w:rsidRPr="004E1279">
              <w:rPr>
                <w:rFonts w:ascii="仿宋" w:eastAsia="仿宋" w:hAnsi="仿宋" w:cs="Times New Roman" w:hint="eastAsia"/>
                <w:sz w:val="22"/>
                <w:szCs w:val="24"/>
              </w:rPr>
              <w:t>生产经营稳中有进、回升向好，新签合同</w:t>
            </w:r>
            <w:r w:rsidRPr="004E1279">
              <w:rPr>
                <w:rFonts w:ascii="仿宋" w:eastAsia="仿宋" w:hAnsi="仿宋" w:cs="Times New Roman"/>
                <w:sz w:val="22"/>
                <w:szCs w:val="24"/>
              </w:rPr>
              <w:t>1153亿元，营业收入747亿元、净利润2.9亿元，均实现10%以上同比增长，为全年工作奠定良好开局。</w:t>
            </w:r>
          </w:p>
          <w:p w14:paraId="712B5A97" w14:textId="10245EA4" w:rsidR="007D7FA9" w:rsidRPr="000F3B36" w:rsidRDefault="00704CE7"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近期地产相关政策调整对公司房产开发乃至建筑施工业务将产生什么影响？</w:t>
            </w:r>
          </w:p>
          <w:p w14:paraId="2B9AE93C" w14:textId="31E045B5" w:rsidR="00EB45D5" w:rsidRDefault="00704CE7"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lastRenderedPageBreak/>
              <w:t>从最新获悉的政策信息来看，短期内</w:t>
            </w:r>
            <w:r w:rsidR="00D04953">
              <w:rPr>
                <w:rFonts w:ascii="仿宋" w:eastAsia="仿宋" w:hAnsi="仿宋" w:cs="Times New Roman" w:hint="eastAsia"/>
                <w:sz w:val="22"/>
                <w:szCs w:val="24"/>
              </w:rPr>
              <w:t>将有望提升地产开发商的存货去化节奏。</w:t>
            </w:r>
            <w:r w:rsidR="007445C7">
              <w:rPr>
                <w:rFonts w:ascii="仿宋" w:eastAsia="仿宋" w:hAnsi="仿宋" w:cs="Times New Roman" w:hint="eastAsia"/>
                <w:sz w:val="22"/>
                <w:szCs w:val="24"/>
              </w:rPr>
              <w:t>政策有利于降低购房者</w:t>
            </w:r>
            <w:r w:rsidR="006E4389">
              <w:rPr>
                <w:rFonts w:ascii="仿宋" w:eastAsia="仿宋" w:hAnsi="仿宋" w:cs="Times New Roman" w:hint="eastAsia"/>
                <w:sz w:val="22"/>
                <w:szCs w:val="24"/>
              </w:rPr>
              <w:t>置业</w:t>
            </w:r>
            <w:r w:rsidR="007445C7">
              <w:rPr>
                <w:rFonts w:ascii="仿宋" w:eastAsia="仿宋" w:hAnsi="仿宋" w:cs="Times New Roman" w:hint="eastAsia"/>
                <w:sz w:val="22"/>
                <w:szCs w:val="24"/>
              </w:rPr>
              <w:t>成本，推动地产市场企稳回升。</w:t>
            </w:r>
          </w:p>
          <w:p w14:paraId="56EFA419" w14:textId="60D5E354" w:rsidR="007445C7" w:rsidRPr="004D1496" w:rsidRDefault="004D1496"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长期来看，长三角地区地产政策调整，导致潜在购房者资格</w:t>
            </w:r>
            <w:r w:rsidR="002A1B15">
              <w:rPr>
                <w:rFonts w:ascii="仿宋" w:eastAsia="仿宋" w:hAnsi="仿宋" w:cs="Times New Roman" w:hint="eastAsia"/>
                <w:sz w:val="22"/>
                <w:szCs w:val="24"/>
              </w:rPr>
              <w:t>门槛减低，</w:t>
            </w:r>
            <w:r>
              <w:rPr>
                <w:rFonts w:ascii="仿宋" w:eastAsia="仿宋" w:hAnsi="仿宋" w:cs="Times New Roman" w:hint="eastAsia"/>
                <w:sz w:val="22"/>
                <w:szCs w:val="24"/>
              </w:rPr>
              <w:t>范围</w:t>
            </w:r>
            <w:r w:rsidR="002A1B15">
              <w:rPr>
                <w:rFonts w:ascii="仿宋" w:eastAsia="仿宋" w:hAnsi="仿宋" w:cs="Times New Roman" w:hint="eastAsia"/>
                <w:sz w:val="22"/>
                <w:szCs w:val="24"/>
              </w:rPr>
              <w:t>扩大，有利于购房人群导入；开发商销售节奏的加快，</w:t>
            </w:r>
            <w:r>
              <w:rPr>
                <w:rFonts w:ascii="仿宋" w:eastAsia="仿宋" w:hAnsi="仿宋" w:cs="Times New Roman" w:hint="eastAsia"/>
                <w:sz w:val="22"/>
                <w:szCs w:val="24"/>
              </w:rPr>
              <w:t>有利于改善</w:t>
            </w:r>
            <w:r w:rsidR="002A1B15">
              <w:rPr>
                <w:rFonts w:ascii="仿宋" w:eastAsia="仿宋" w:hAnsi="仿宋" w:cs="Times New Roman" w:hint="eastAsia"/>
                <w:sz w:val="22"/>
                <w:szCs w:val="24"/>
              </w:rPr>
              <w:t>其</w:t>
            </w:r>
            <w:r>
              <w:rPr>
                <w:rFonts w:ascii="仿宋" w:eastAsia="仿宋" w:hAnsi="仿宋" w:cs="Times New Roman" w:hint="eastAsia"/>
                <w:sz w:val="22"/>
                <w:szCs w:val="24"/>
              </w:rPr>
              <w:t>现金流，降低</w:t>
            </w:r>
            <w:r w:rsidR="002A1B15">
              <w:rPr>
                <w:rFonts w:ascii="仿宋" w:eastAsia="仿宋" w:hAnsi="仿宋" w:cs="Times New Roman" w:hint="eastAsia"/>
                <w:sz w:val="22"/>
                <w:szCs w:val="24"/>
              </w:rPr>
              <w:t>公司</w:t>
            </w:r>
            <w:r>
              <w:rPr>
                <w:rFonts w:ascii="仿宋" w:eastAsia="仿宋" w:hAnsi="仿宋" w:cs="Times New Roman" w:hint="eastAsia"/>
                <w:sz w:val="22"/>
                <w:szCs w:val="24"/>
              </w:rPr>
              <w:t>设计咨询、建筑施工</w:t>
            </w:r>
            <w:r w:rsidR="002A1B15">
              <w:rPr>
                <w:rFonts w:ascii="仿宋" w:eastAsia="仿宋" w:hAnsi="仿宋" w:cs="Times New Roman" w:hint="eastAsia"/>
                <w:sz w:val="22"/>
                <w:szCs w:val="24"/>
              </w:rPr>
              <w:t>等</w:t>
            </w:r>
            <w:r>
              <w:rPr>
                <w:rFonts w:ascii="仿宋" w:eastAsia="仿宋" w:hAnsi="仿宋" w:cs="Times New Roman" w:hint="eastAsia"/>
                <w:sz w:val="22"/>
                <w:szCs w:val="24"/>
              </w:rPr>
              <w:t>业务的应收账款风险。</w:t>
            </w:r>
          </w:p>
          <w:p w14:paraId="3296C7FD" w14:textId="7742C4B5" w:rsidR="00EC0741" w:rsidRPr="000F3B36" w:rsidRDefault="00505F01"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公司</w:t>
            </w:r>
            <w:r w:rsidR="0072606A">
              <w:rPr>
                <w:rFonts w:ascii="仿宋" w:eastAsia="仿宋" w:hAnsi="仿宋" w:cs="Times New Roman" w:hint="eastAsia"/>
                <w:b/>
                <w:bCs/>
                <w:sz w:val="22"/>
                <w:szCs w:val="24"/>
              </w:rPr>
              <w:t>对2024年新签订单收入以及毛利的展望</w:t>
            </w:r>
            <w:r>
              <w:rPr>
                <w:rFonts w:ascii="仿宋" w:eastAsia="仿宋" w:hAnsi="仿宋" w:cs="Times New Roman" w:hint="eastAsia"/>
                <w:b/>
                <w:bCs/>
                <w:sz w:val="22"/>
                <w:szCs w:val="24"/>
              </w:rPr>
              <w:t>？</w:t>
            </w:r>
          </w:p>
          <w:p w14:paraId="1E38EC3C" w14:textId="54AD3007" w:rsidR="007533A6" w:rsidRPr="00025B0F" w:rsidRDefault="00025B0F" w:rsidP="00025B0F">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2</w:t>
            </w:r>
            <w:r w:rsidR="005C6B20">
              <w:rPr>
                <w:rFonts w:ascii="仿宋" w:eastAsia="仿宋" w:hAnsi="仿宋" w:cs="Times New Roman" w:hint="eastAsia"/>
                <w:sz w:val="22"/>
                <w:szCs w:val="24"/>
              </w:rPr>
              <w:t>024年将</w:t>
            </w:r>
            <w:r w:rsidR="001101CB">
              <w:rPr>
                <w:rFonts w:ascii="仿宋" w:eastAsia="仿宋" w:hAnsi="仿宋" w:cs="Times New Roman" w:hint="eastAsia"/>
                <w:sz w:val="22"/>
                <w:szCs w:val="24"/>
              </w:rPr>
              <w:t>力争实现新签订单收入5000亿元</w:t>
            </w:r>
            <w:r w:rsidR="00EA3835">
              <w:rPr>
                <w:rFonts w:ascii="仿宋" w:eastAsia="仿宋" w:hAnsi="仿宋" w:cs="Times New Roman" w:hint="eastAsia"/>
                <w:sz w:val="22"/>
                <w:szCs w:val="24"/>
              </w:rPr>
              <w:t>。</w:t>
            </w:r>
            <w:r w:rsidR="007533A6">
              <w:rPr>
                <w:rFonts w:ascii="仿宋" w:eastAsia="仿宋" w:hAnsi="仿宋" w:cs="Times New Roman" w:hint="eastAsia"/>
                <w:sz w:val="22"/>
                <w:szCs w:val="24"/>
              </w:rPr>
              <w:t>分</w:t>
            </w:r>
            <w:r w:rsidR="001101CB">
              <w:rPr>
                <w:rFonts w:ascii="仿宋" w:eastAsia="仿宋" w:hAnsi="仿宋" w:cs="Times New Roman" w:hint="eastAsia"/>
                <w:sz w:val="22"/>
                <w:szCs w:val="24"/>
              </w:rPr>
              <w:t>板块来看，建筑施工</w:t>
            </w:r>
            <w:r w:rsidR="007533A6">
              <w:rPr>
                <w:rFonts w:ascii="仿宋" w:eastAsia="仿宋" w:hAnsi="仿宋" w:cs="Times New Roman" w:hint="eastAsia"/>
                <w:sz w:val="22"/>
                <w:szCs w:val="24"/>
              </w:rPr>
              <w:t>业务得益于合同履约管理的持续加强，2024</w:t>
            </w:r>
            <w:r w:rsidR="008F1C48">
              <w:rPr>
                <w:rFonts w:ascii="仿宋" w:eastAsia="仿宋" w:hAnsi="仿宋" w:cs="Times New Roman" w:hint="eastAsia"/>
                <w:sz w:val="22"/>
                <w:szCs w:val="24"/>
              </w:rPr>
              <w:t>年整体毛利率有望</w:t>
            </w:r>
            <w:r w:rsidR="007533A6">
              <w:rPr>
                <w:rFonts w:ascii="仿宋" w:eastAsia="仿宋" w:hAnsi="仿宋" w:cs="Times New Roman" w:hint="eastAsia"/>
                <w:sz w:val="22"/>
                <w:szCs w:val="24"/>
              </w:rPr>
              <w:t>提升；设计咨询业务毛利率与业务结构相关，市政设计</w:t>
            </w:r>
            <w:r w:rsidR="008914E3">
              <w:rPr>
                <w:rFonts w:ascii="仿宋" w:eastAsia="仿宋" w:hAnsi="仿宋" w:cs="Times New Roman" w:hint="eastAsia"/>
                <w:sz w:val="22"/>
                <w:szCs w:val="24"/>
              </w:rPr>
              <w:t>类</w:t>
            </w:r>
            <w:r w:rsidR="007533A6">
              <w:rPr>
                <w:rFonts w:ascii="仿宋" w:eastAsia="仿宋" w:hAnsi="仿宋" w:cs="Times New Roman" w:hint="eastAsia"/>
                <w:sz w:val="22"/>
                <w:szCs w:val="24"/>
              </w:rPr>
              <w:t>业务比重的提升有利于</w:t>
            </w:r>
            <w:r w:rsidR="008F1C48">
              <w:rPr>
                <w:rFonts w:ascii="仿宋" w:eastAsia="仿宋" w:hAnsi="仿宋" w:cs="Times New Roman" w:hint="eastAsia"/>
                <w:sz w:val="22"/>
                <w:szCs w:val="24"/>
              </w:rPr>
              <w:t>该</w:t>
            </w:r>
            <w:r w:rsidR="008914E3">
              <w:rPr>
                <w:rFonts w:ascii="仿宋" w:eastAsia="仿宋" w:hAnsi="仿宋" w:cs="Times New Roman" w:hint="eastAsia"/>
                <w:sz w:val="22"/>
                <w:szCs w:val="24"/>
              </w:rPr>
              <w:t>板块毛利</w:t>
            </w:r>
            <w:r w:rsidR="008F1C48">
              <w:rPr>
                <w:rFonts w:ascii="仿宋" w:eastAsia="仿宋" w:hAnsi="仿宋" w:cs="Times New Roman" w:hint="eastAsia"/>
                <w:sz w:val="22"/>
                <w:szCs w:val="24"/>
              </w:rPr>
              <w:t>提升</w:t>
            </w:r>
            <w:r w:rsidR="008914E3">
              <w:rPr>
                <w:rFonts w:ascii="仿宋" w:eastAsia="仿宋" w:hAnsi="仿宋" w:cs="Times New Roman" w:hint="eastAsia"/>
                <w:sz w:val="22"/>
                <w:szCs w:val="24"/>
              </w:rPr>
              <w:t>；建材工业业务毛利受成本影响、市场需求波动等因素影响，存在一定不确定性；房产开发业务</w:t>
            </w:r>
            <w:r w:rsidR="008F1C48">
              <w:rPr>
                <w:rFonts w:ascii="仿宋" w:eastAsia="仿宋" w:hAnsi="仿宋" w:cs="Times New Roman" w:hint="eastAsia"/>
                <w:sz w:val="22"/>
                <w:szCs w:val="24"/>
              </w:rPr>
              <w:t>受制于</w:t>
            </w:r>
            <w:r>
              <w:rPr>
                <w:rFonts w:ascii="仿宋" w:eastAsia="仿宋" w:hAnsi="仿宋" w:cs="Times New Roman" w:hint="eastAsia"/>
                <w:sz w:val="22"/>
                <w:szCs w:val="24"/>
              </w:rPr>
              <w:t>存货影响，整体毛利水平不高，但随着新项目比重的提升，有望修复</w:t>
            </w:r>
            <w:r w:rsidR="008F1C48">
              <w:rPr>
                <w:rFonts w:ascii="仿宋" w:eastAsia="仿宋" w:hAnsi="仿宋" w:cs="Times New Roman" w:hint="eastAsia"/>
                <w:sz w:val="22"/>
                <w:szCs w:val="24"/>
              </w:rPr>
              <w:t>该</w:t>
            </w:r>
            <w:r>
              <w:rPr>
                <w:rFonts w:ascii="仿宋" w:eastAsia="仿宋" w:hAnsi="仿宋" w:cs="Times New Roman" w:hint="eastAsia"/>
                <w:sz w:val="22"/>
                <w:szCs w:val="24"/>
              </w:rPr>
              <w:t>板块毛利；城市建设投资业务毛利与投资标的实际运营情况相关，预计未来两年毛利将维持稳定水平。</w:t>
            </w:r>
          </w:p>
          <w:p w14:paraId="35649A50" w14:textId="3A21D42D" w:rsidR="009D4B65" w:rsidRPr="000F3B36" w:rsidRDefault="006178C2"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公司应付账款</w:t>
            </w:r>
            <w:r w:rsidR="00730582" w:rsidRPr="00730582">
              <w:rPr>
                <w:rFonts w:ascii="仿宋" w:eastAsia="仿宋" w:hAnsi="仿宋" w:cs="Times New Roman" w:hint="eastAsia"/>
                <w:b/>
                <w:bCs/>
                <w:sz w:val="22"/>
                <w:szCs w:val="24"/>
              </w:rPr>
              <w:t>金额较大</w:t>
            </w:r>
            <w:r w:rsidR="00730582" w:rsidRPr="00730582">
              <w:rPr>
                <w:rFonts w:ascii="仿宋" w:eastAsia="仿宋" w:hAnsi="仿宋" w:cs="Times New Roman" w:hint="eastAsia"/>
                <w:b/>
                <w:bCs/>
                <w:sz w:val="22"/>
                <w:szCs w:val="24"/>
              </w:rPr>
              <w:t>，</w:t>
            </w:r>
            <w:r>
              <w:rPr>
                <w:rFonts w:ascii="仿宋" w:eastAsia="仿宋" w:hAnsi="仿宋" w:cs="Times New Roman" w:hint="eastAsia"/>
                <w:b/>
                <w:bCs/>
                <w:sz w:val="22"/>
                <w:szCs w:val="24"/>
              </w:rPr>
              <w:t>包含哪些方面</w:t>
            </w:r>
            <w:r w:rsidR="009D4B65" w:rsidRPr="000F3B36">
              <w:rPr>
                <w:rFonts w:ascii="仿宋" w:eastAsia="仿宋" w:hAnsi="仿宋" w:cs="Times New Roman" w:hint="eastAsia"/>
                <w:b/>
                <w:bCs/>
                <w:sz w:val="22"/>
                <w:szCs w:val="24"/>
              </w:rPr>
              <w:t>？</w:t>
            </w:r>
          </w:p>
          <w:p w14:paraId="799B9646" w14:textId="11A6CFE1" w:rsidR="00194A67" w:rsidRDefault="00FB1356"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bCs/>
                <w:sz w:val="22"/>
                <w:szCs w:val="24"/>
              </w:rPr>
              <w:t>业主、总包和专业分包间存在结算周期差，</w:t>
            </w:r>
            <w:r w:rsidR="006178C2">
              <w:rPr>
                <w:rFonts w:ascii="仿宋" w:eastAsia="仿宋" w:hAnsi="仿宋" w:cs="Times New Roman" w:hint="eastAsia"/>
                <w:bCs/>
                <w:sz w:val="22"/>
                <w:szCs w:val="24"/>
              </w:rPr>
              <w:t>公司应付</w:t>
            </w:r>
            <w:r w:rsidR="0040609C">
              <w:rPr>
                <w:rFonts w:ascii="仿宋" w:eastAsia="仿宋" w:hAnsi="仿宋" w:cs="Times New Roman" w:hint="eastAsia"/>
                <w:bCs/>
                <w:sz w:val="22"/>
                <w:szCs w:val="24"/>
              </w:rPr>
              <w:t>款</w:t>
            </w:r>
            <w:r w:rsidR="006178C2">
              <w:rPr>
                <w:rFonts w:ascii="仿宋" w:eastAsia="仿宋" w:hAnsi="仿宋" w:cs="Times New Roman" w:hint="eastAsia"/>
                <w:bCs/>
                <w:sz w:val="22"/>
                <w:szCs w:val="24"/>
              </w:rPr>
              <w:t>主要</w:t>
            </w:r>
            <w:r>
              <w:rPr>
                <w:rFonts w:ascii="仿宋" w:eastAsia="仿宋" w:hAnsi="仿宋" w:cs="Times New Roman" w:hint="eastAsia"/>
                <w:bCs/>
                <w:sz w:val="22"/>
                <w:szCs w:val="24"/>
              </w:rPr>
              <w:t>是</w:t>
            </w:r>
            <w:r w:rsidR="00AA6B95">
              <w:rPr>
                <w:rFonts w:ascii="仿宋" w:eastAsia="仿宋" w:hAnsi="仿宋" w:cs="Times New Roman" w:hint="eastAsia"/>
                <w:bCs/>
                <w:sz w:val="22"/>
                <w:szCs w:val="24"/>
              </w:rPr>
              <w:t>工程施工项目对专业分包</w:t>
            </w:r>
            <w:r>
              <w:rPr>
                <w:rFonts w:ascii="仿宋" w:eastAsia="仿宋" w:hAnsi="仿宋" w:cs="Times New Roman" w:hint="eastAsia"/>
                <w:bCs/>
                <w:sz w:val="22"/>
                <w:szCs w:val="24"/>
              </w:rPr>
              <w:t>已完工未支付的</w:t>
            </w:r>
            <w:r w:rsidR="00730582">
              <w:rPr>
                <w:rFonts w:ascii="仿宋" w:eastAsia="仿宋" w:hAnsi="仿宋" w:cs="Times New Roman" w:hint="eastAsia"/>
                <w:bCs/>
                <w:sz w:val="22"/>
                <w:szCs w:val="24"/>
              </w:rPr>
              <w:t>工程</w:t>
            </w:r>
            <w:r w:rsidR="0040609C">
              <w:rPr>
                <w:rFonts w:ascii="仿宋" w:eastAsia="仿宋" w:hAnsi="仿宋" w:cs="Times New Roman" w:hint="eastAsia"/>
                <w:bCs/>
                <w:sz w:val="22"/>
                <w:szCs w:val="24"/>
              </w:rPr>
              <w:t>款</w:t>
            </w:r>
            <w:r>
              <w:rPr>
                <w:rFonts w:ascii="仿宋" w:eastAsia="仿宋" w:hAnsi="仿宋" w:cs="Times New Roman" w:hint="eastAsia"/>
                <w:bCs/>
                <w:sz w:val="22"/>
                <w:szCs w:val="24"/>
              </w:rPr>
              <w:t>项</w:t>
            </w:r>
            <w:r w:rsidR="00AA6B95">
              <w:rPr>
                <w:rFonts w:ascii="仿宋" w:eastAsia="仿宋" w:hAnsi="仿宋" w:cs="Times New Roman" w:hint="eastAsia"/>
                <w:bCs/>
                <w:sz w:val="22"/>
                <w:szCs w:val="24"/>
              </w:rPr>
              <w:t>和未支付的原材料款项</w:t>
            </w:r>
            <w:r w:rsidR="006178C2">
              <w:rPr>
                <w:rFonts w:ascii="仿宋" w:eastAsia="仿宋" w:hAnsi="仿宋" w:cs="Times New Roman" w:hint="eastAsia"/>
                <w:bCs/>
                <w:sz w:val="22"/>
                <w:szCs w:val="24"/>
              </w:rPr>
              <w:t>，</w:t>
            </w:r>
            <w:r w:rsidR="00730582">
              <w:rPr>
                <w:rFonts w:ascii="仿宋" w:eastAsia="仿宋" w:hAnsi="仿宋" w:cs="Times New Roman" w:hint="eastAsia"/>
                <w:bCs/>
                <w:sz w:val="22"/>
                <w:szCs w:val="24"/>
              </w:rPr>
              <w:t>金额较大</w:t>
            </w:r>
            <w:r w:rsidR="0040609C">
              <w:rPr>
                <w:rFonts w:ascii="仿宋" w:eastAsia="仿宋" w:hAnsi="仿宋" w:cs="Times New Roman" w:hint="eastAsia"/>
                <w:bCs/>
                <w:sz w:val="22"/>
                <w:szCs w:val="24"/>
              </w:rPr>
              <w:t>反映出较强的占款能力</w:t>
            </w:r>
            <w:r w:rsidR="00344DDE">
              <w:rPr>
                <w:rFonts w:ascii="仿宋" w:eastAsia="仿宋" w:hAnsi="仿宋" w:cs="Times New Roman" w:hint="eastAsia"/>
                <w:bCs/>
                <w:sz w:val="22"/>
                <w:szCs w:val="24"/>
              </w:rPr>
              <w:t>。</w:t>
            </w:r>
          </w:p>
          <w:p w14:paraId="6FC10B5C" w14:textId="5604929D" w:rsidR="00344DDE" w:rsidRPr="000F3B36" w:rsidRDefault="009F3ED4"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近几年上海市场竞争愈发激烈，在与其他央国企的竞争中，公司的优势是什么？</w:t>
            </w:r>
          </w:p>
          <w:p w14:paraId="75076999" w14:textId="51B30E07" w:rsidR="00344DDE" w:rsidRDefault="00ED6F52"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在市场化竞争过程中，上海建工的优势可以总结为以下几点：</w:t>
            </w:r>
          </w:p>
          <w:p w14:paraId="47DC1169" w14:textId="50584AE4" w:rsidR="00ED6F52" w:rsidRDefault="00ED6F52"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一，公司</w:t>
            </w:r>
            <w:r w:rsidR="00AA26A3">
              <w:rPr>
                <w:rFonts w:ascii="仿宋" w:eastAsia="仿宋" w:hAnsi="仿宋" w:cs="Times New Roman" w:hint="eastAsia"/>
                <w:sz w:val="22"/>
                <w:szCs w:val="24"/>
              </w:rPr>
              <w:t>在核心领域</w:t>
            </w:r>
            <w:r>
              <w:rPr>
                <w:rFonts w:ascii="仿宋" w:eastAsia="仿宋" w:hAnsi="仿宋" w:cs="Times New Roman" w:hint="eastAsia"/>
                <w:sz w:val="22"/>
                <w:szCs w:val="24"/>
              </w:rPr>
              <w:t>具备与建筑央企同等的资质</w:t>
            </w:r>
            <w:r w:rsidR="00AA26A3">
              <w:rPr>
                <w:rFonts w:ascii="仿宋" w:eastAsia="仿宋" w:hAnsi="仿宋" w:cs="Times New Roman" w:hint="eastAsia"/>
                <w:sz w:val="22"/>
                <w:szCs w:val="24"/>
              </w:rPr>
              <w:t>水平</w:t>
            </w:r>
            <w:r>
              <w:rPr>
                <w:rFonts w:ascii="仿宋" w:eastAsia="仿宋" w:hAnsi="仿宋" w:cs="Times New Roman" w:hint="eastAsia"/>
                <w:sz w:val="22"/>
                <w:szCs w:val="24"/>
              </w:rPr>
              <w:t>，</w:t>
            </w:r>
            <w:r w:rsidR="00AA26A3">
              <w:rPr>
                <w:rFonts w:ascii="仿宋" w:eastAsia="仿宋" w:hAnsi="仿宋" w:cs="Times New Roman" w:hint="eastAsia"/>
                <w:sz w:val="22"/>
                <w:szCs w:val="24"/>
              </w:rPr>
              <w:t>具备竞争的技术、工程经验；</w:t>
            </w:r>
          </w:p>
          <w:p w14:paraId="736A55E3" w14:textId="76FA8657" w:rsidR="00AA26A3" w:rsidRDefault="00AA26A3"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二，公司</w:t>
            </w:r>
            <w:r w:rsidR="00C60917">
              <w:rPr>
                <w:rFonts w:ascii="仿宋" w:eastAsia="仿宋" w:hAnsi="仿宋" w:cs="Times New Roman" w:hint="eastAsia"/>
                <w:sz w:val="22"/>
                <w:szCs w:val="24"/>
              </w:rPr>
              <w:t>是</w:t>
            </w:r>
            <w:r>
              <w:rPr>
                <w:rFonts w:ascii="仿宋" w:eastAsia="仿宋" w:hAnsi="仿宋" w:cs="Times New Roman" w:hint="eastAsia"/>
                <w:sz w:val="22"/>
                <w:szCs w:val="24"/>
              </w:rPr>
              <w:t>上海</w:t>
            </w:r>
            <w:r w:rsidR="00C60917">
              <w:rPr>
                <w:rFonts w:ascii="仿宋" w:eastAsia="仿宋" w:hAnsi="仿宋" w:cs="Times New Roman" w:hint="eastAsia"/>
                <w:sz w:val="22"/>
                <w:szCs w:val="24"/>
              </w:rPr>
              <w:t>城市建设的主力军</w:t>
            </w:r>
            <w:r>
              <w:rPr>
                <w:rFonts w:ascii="仿宋" w:eastAsia="仿宋" w:hAnsi="仿宋" w:cs="Times New Roman" w:hint="eastAsia"/>
                <w:sz w:val="22"/>
                <w:szCs w:val="24"/>
              </w:rPr>
              <w:t>，</w:t>
            </w:r>
            <w:r w:rsidR="00387C8D">
              <w:rPr>
                <w:rFonts w:ascii="仿宋" w:eastAsia="仿宋" w:hAnsi="仿宋" w:cs="Times New Roman" w:hint="eastAsia"/>
                <w:sz w:val="22"/>
                <w:szCs w:val="24"/>
              </w:rPr>
              <w:t>得益于上</w:t>
            </w:r>
            <w:r w:rsidR="00387C8D">
              <w:rPr>
                <w:rFonts w:ascii="仿宋" w:eastAsia="仿宋" w:hAnsi="仿宋" w:cs="Times New Roman" w:hint="eastAsia"/>
                <w:sz w:val="22"/>
                <w:szCs w:val="24"/>
              </w:rPr>
              <w:lastRenderedPageBreak/>
              <w:t>海建筑市场的前沿性、先进性，</w:t>
            </w:r>
            <w:r>
              <w:rPr>
                <w:rFonts w:ascii="仿宋" w:eastAsia="仿宋" w:hAnsi="仿宋" w:cs="Times New Roman" w:hint="eastAsia"/>
                <w:sz w:val="22"/>
                <w:szCs w:val="24"/>
              </w:rPr>
              <w:t>在</w:t>
            </w:r>
            <w:r w:rsidR="00387C8D">
              <w:rPr>
                <w:rFonts w:ascii="仿宋" w:eastAsia="仿宋" w:hAnsi="仿宋" w:cs="Times New Roman" w:hint="eastAsia"/>
                <w:sz w:val="22"/>
                <w:szCs w:val="24"/>
              </w:rPr>
              <w:t>特定</w:t>
            </w:r>
            <w:r>
              <w:rPr>
                <w:rFonts w:ascii="仿宋" w:eastAsia="仿宋" w:hAnsi="仿宋" w:cs="Times New Roman" w:hint="eastAsia"/>
                <w:sz w:val="22"/>
                <w:szCs w:val="24"/>
              </w:rPr>
              <w:t>领域具备先发优势</w:t>
            </w:r>
            <w:r w:rsidR="00387C8D">
              <w:rPr>
                <w:rFonts w:ascii="仿宋" w:eastAsia="仿宋" w:hAnsi="仿宋" w:cs="Times New Roman" w:hint="eastAsia"/>
                <w:sz w:val="22"/>
                <w:szCs w:val="24"/>
              </w:rPr>
              <w:t>，积累了大量技术、工程经验，得以向外省市传播拓展，获得了业主方的认可与好评</w:t>
            </w:r>
            <w:r>
              <w:rPr>
                <w:rFonts w:ascii="仿宋" w:eastAsia="仿宋" w:hAnsi="仿宋" w:cs="Times New Roman" w:hint="eastAsia"/>
                <w:sz w:val="22"/>
                <w:szCs w:val="24"/>
              </w:rPr>
              <w:t>。</w:t>
            </w:r>
          </w:p>
          <w:p w14:paraId="14288B56" w14:textId="204210E0" w:rsidR="00387C8D" w:rsidRDefault="00387C8D"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三，公司在数十年的</w:t>
            </w:r>
            <w:r w:rsidR="006668B7">
              <w:rPr>
                <w:rFonts w:ascii="仿宋" w:eastAsia="仿宋" w:hAnsi="仿宋" w:cs="Times New Roman" w:hint="eastAsia"/>
                <w:sz w:val="22"/>
                <w:szCs w:val="24"/>
              </w:rPr>
              <w:t>城市</w:t>
            </w:r>
            <w:r>
              <w:rPr>
                <w:rFonts w:ascii="仿宋" w:eastAsia="仿宋" w:hAnsi="仿宋" w:cs="Times New Roman" w:hint="eastAsia"/>
                <w:sz w:val="22"/>
                <w:szCs w:val="24"/>
              </w:rPr>
              <w:t>建设过程中，与业主方建立了深厚的</w:t>
            </w:r>
            <w:r w:rsidR="005B73EF">
              <w:rPr>
                <w:rFonts w:ascii="仿宋" w:eastAsia="仿宋" w:hAnsi="仿宋" w:cs="Times New Roman" w:hint="eastAsia"/>
                <w:sz w:val="22"/>
                <w:szCs w:val="24"/>
              </w:rPr>
              <w:t>商业友谊及信任基础，贡献了大量EPC综合方案，涵盖建筑全生命周期管理，满足业主方设计</w:t>
            </w:r>
            <w:r w:rsidR="00734DA0">
              <w:rPr>
                <w:rFonts w:ascii="仿宋" w:eastAsia="仿宋" w:hAnsi="仿宋" w:cs="Times New Roman" w:hint="eastAsia"/>
                <w:sz w:val="22"/>
                <w:szCs w:val="24"/>
              </w:rPr>
              <w:t>规划</w:t>
            </w:r>
            <w:r w:rsidR="005B73EF">
              <w:rPr>
                <w:rFonts w:ascii="仿宋" w:eastAsia="仿宋" w:hAnsi="仿宋" w:cs="Times New Roman" w:hint="eastAsia"/>
                <w:sz w:val="22"/>
                <w:szCs w:val="24"/>
              </w:rPr>
              <w:t>、工程实施、更新维护等多方面需求，并持续</w:t>
            </w:r>
            <w:r w:rsidR="00734DA0">
              <w:rPr>
                <w:rFonts w:ascii="仿宋" w:eastAsia="仿宋" w:hAnsi="仿宋" w:cs="Times New Roman" w:hint="eastAsia"/>
                <w:sz w:val="22"/>
                <w:szCs w:val="24"/>
              </w:rPr>
              <w:t>巩固、提升</w:t>
            </w:r>
            <w:r w:rsidR="005B73EF">
              <w:rPr>
                <w:rFonts w:ascii="仿宋" w:eastAsia="仿宋" w:hAnsi="仿宋" w:cs="Times New Roman" w:hint="eastAsia"/>
                <w:sz w:val="22"/>
                <w:szCs w:val="24"/>
              </w:rPr>
              <w:t>战略伙伴</w:t>
            </w:r>
            <w:r w:rsidR="00734DA0">
              <w:rPr>
                <w:rFonts w:ascii="仿宋" w:eastAsia="仿宋" w:hAnsi="仿宋" w:cs="Times New Roman" w:hint="eastAsia"/>
                <w:sz w:val="22"/>
                <w:szCs w:val="24"/>
              </w:rPr>
              <w:t>关系；</w:t>
            </w:r>
          </w:p>
          <w:p w14:paraId="763D595A" w14:textId="73D7BB01" w:rsidR="005B73EF" w:rsidRPr="00AA26A3" w:rsidRDefault="005B73EF" w:rsidP="00CC145B">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四，长三角地区地质条件不同于内陆地区，软土层</w:t>
            </w:r>
            <w:r w:rsidR="0089560E">
              <w:rPr>
                <w:rFonts w:ascii="仿宋" w:eastAsia="仿宋" w:hAnsi="仿宋" w:cs="Times New Roman" w:hint="eastAsia"/>
                <w:sz w:val="22"/>
                <w:szCs w:val="24"/>
              </w:rPr>
              <w:t>高含水区域的设计、施工业务</w:t>
            </w:r>
            <w:r>
              <w:rPr>
                <w:rFonts w:ascii="仿宋" w:eastAsia="仿宋" w:hAnsi="仿宋" w:cs="Times New Roman" w:hint="eastAsia"/>
                <w:sz w:val="22"/>
                <w:szCs w:val="24"/>
              </w:rPr>
              <w:t>，存在一定的技术、工程实施经验壁垒，</w:t>
            </w:r>
            <w:r w:rsidR="0089560E">
              <w:rPr>
                <w:rFonts w:ascii="仿宋" w:eastAsia="仿宋" w:hAnsi="仿宋" w:cs="Times New Roman" w:hint="eastAsia"/>
                <w:sz w:val="22"/>
                <w:szCs w:val="24"/>
              </w:rPr>
              <w:t>公司在这些领域的经验、技术更加丰富，更具</w:t>
            </w:r>
            <w:r>
              <w:rPr>
                <w:rFonts w:ascii="仿宋" w:eastAsia="仿宋" w:hAnsi="仿宋" w:cs="Times New Roman" w:hint="eastAsia"/>
                <w:sz w:val="22"/>
                <w:szCs w:val="24"/>
              </w:rPr>
              <w:t>竞争</w:t>
            </w:r>
            <w:r w:rsidR="0089560E">
              <w:rPr>
                <w:rFonts w:ascii="仿宋" w:eastAsia="仿宋" w:hAnsi="仿宋" w:cs="Times New Roman" w:hint="eastAsia"/>
                <w:sz w:val="22"/>
                <w:szCs w:val="24"/>
              </w:rPr>
              <w:t>优势</w:t>
            </w:r>
            <w:r>
              <w:rPr>
                <w:rFonts w:ascii="仿宋" w:eastAsia="仿宋" w:hAnsi="仿宋" w:cs="Times New Roman" w:hint="eastAsia"/>
                <w:sz w:val="22"/>
                <w:szCs w:val="24"/>
              </w:rPr>
              <w:t>。</w:t>
            </w:r>
          </w:p>
          <w:p w14:paraId="67707253" w14:textId="5E42DA44" w:rsidR="00485967" w:rsidRPr="00835BD4" w:rsidRDefault="005B73EF"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2023年经营性现金流</w:t>
            </w:r>
            <w:r w:rsidR="005C79E7">
              <w:rPr>
                <w:rFonts w:ascii="仿宋" w:eastAsia="仿宋" w:hAnsi="仿宋" w:cs="Times New Roman" w:hint="eastAsia"/>
                <w:b/>
                <w:bCs/>
                <w:sz w:val="22"/>
                <w:szCs w:val="24"/>
              </w:rPr>
              <w:t>显著改善，采用了哪些举措</w:t>
            </w:r>
            <w:r w:rsidR="00835BD4" w:rsidRPr="00835BD4">
              <w:rPr>
                <w:rFonts w:ascii="仿宋" w:eastAsia="仿宋" w:hAnsi="仿宋" w:cs="Times New Roman" w:hint="eastAsia"/>
                <w:b/>
                <w:bCs/>
                <w:sz w:val="22"/>
                <w:szCs w:val="24"/>
              </w:rPr>
              <w:t>？</w:t>
            </w:r>
          </w:p>
          <w:p w14:paraId="69B5EF77" w14:textId="011DBF95" w:rsidR="00835BD4" w:rsidRDefault="001B7FC6" w:rsidP="00CC145B">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整体来看，经营性现金流的改善既得益于外部环境稳中向好，</w:t>
            </w:r>
            <w:r>
              <w:rPr>
                <w:rFonts w:ascii="仿宋" w:eastAsia="仿宋" w:hAnsi="仿宋" w:cs="Times New Roman" w:hint="eastAsia"/>
                <w:sz w:val="22"/>
                <w:szCs w:val="24"/>
              </w:rPr>
              <w:t>也是</w:t>
            </w:r>
            <w:r>
              <w:rPr>
                <w:rFonts w:ascii="仿宋" w:eastAsia="仿宋" w:hAnsi="仿宋" w:cs="Times New Roman" w:hint="eastAsia"/>
                <w:sz w:val="22"/>
                <w:szCs w:val="24"/>
              </w:rPr>
              <w:t>自身“提质增效”举措</w:t>
            </w:r>
            <w:r>
              <w:rPr>
                <w:rFonts w:ascii="仿宋" w:eastAsia="仿宋" w:hAnsi="仿宋" w:cs="Times New Roman" w:hint="eastAsia"/>
                <w:sz w:val="22"/>
                <w:szCs w:val="24"/>
              </w:rPr>
              <w:t>的成果</w:t>
            </w:r>
            <w:r>
              <w:rPr>
                <w:rFonts w:ascii="仿宋" w:eastAsia="仿宋" w:hAnsi="仿宋" w:cs="Times New Roman" w:hint="eastAsia"/>
                <w:sz w:val="22"/>
                <w:szCs w:val="24"/>
              </w:rPr>
              <w:t>。</w:t>
            </w:r>
            <w:r w:rsidR="005C79E7">
              <w:rPr>
                <w:rFonts w:ascii="仿宋" w:eastAsia="仿宋" w:hAnsi="仿宋" w:cs="Times New Roman" w:hint="eastAsia"/>
                <w:sz w:val="22"/>
                <w:szCs w:val="24"/>
              </w:rPr>
              <w:t>2023年，</w:t>
            </w:r>
            <w:r>
              <w:rPr>
                <w:rFonts w:ascii="仿宋" w:eastAsia="仿宋" w:hAnsi="仿宋" w:cs="Times New Roman" w:hint="eastAsia"/>
                <w:sz w:val="22"/>
                <w:szCs w:val="24"/>
              </w:rPr>
              <w:t>公司</w:t>
            </w:r>
            <w:r w:rsidR="005C79E7">
              <w:rPr>
                <w:rFonts w:ascii="仿宋" w:eastAsia="仿宋" w:hAnsi="仿宋" w:cs="Times New Roman" w:hint="eastAsia"/>
                <w:sz w:val="22"/>
                <w:szCs w:val="24"/>
              </w:rPr>
              <w:t>全年经营性现金流净额同比提升134.2%，得益于以下措施：</w:t>
            </w:r>
          </w:p>
          <w:p w14:paraId="1418F629" w14:textId="77777777" w:rsidR="005C79E7" w:rsidRPr="005C79E7" w:rsidRDefault="005C79E7" w:rsidP="005C79E7">
            <w:pPr>
              <w:pStyle w:val="a4"/>
              <w:spacing w:line="360" w:lineRule="auto"/>
              <w:ind w:left="800" w:right="241" w:firstLine="440"/>
              <w:rPr>
                <w:rFonts w:ascii="仿宋" w:eastAsia="仿宋" w:hAnsi="仿宋" w:cs="Times New Roman"/>
                <w:sz w:val="22"/>
                <w:szCs w:val="24"/>
              </w:rPr>
            </w:pPr>
            <w:r>
              <w:rPr>
                <w:rFonts w:ascii="仿宋" w:eastAsia="仿宋" w:hAnsi="仿宋" w:cs="Times New Roman" w:hint="eastAsia"/>
                <w:sz w:val="22"/>
                <w:szCs w:val="24"/>
              </w:rPr>
              <w:t>其一，加强合同管理</w:t>
            </w:r>
            <w:r w:rsidRPr="005C79E7">
              <w:rPr>
                <w:rFonts w:ascii="仿宋" w:eastAsia="仿宋" w:hAnsi="仿宋" w:cs="Times New Roman" w:hint="eastAsia"/>
                <w:sz w:val="22"/>
                <w:szCs w:val="24"/>
              </w:rPr>
              <w:t>，持续完善结算相关条款，确保合同条款清晰可操作，减少后期结算纠纷；</w:t>
            </w:r>
          </w:p>
          <w:p w14:paraId="1CA85086" w14:textId="77777777" w:rsidR="005C79E7" w:rsidRPr="005C79E7" w:rsidRDefault="005C79E7" w:rsidP="005C79E7">
            <w:pPr>
              <w:pStyle w:val="a4"/>
              <w:spacing w:line="360" w:lineRule="auto"/>
              <w:ind w:left="800" w:right="241" w:firstLine="440"/>
              <w:rPr>
                <w:rFonts w:ascii="仿宋" w:eastAsia="仿宋" w:hAnsi="仿宋" w:cs="Times New Roman"/>
                <w:sz w:val="22"/>
                <w:szCs w:val="24"/>
              </w:rPr>
            </w:pPr>
            <w:r w:rsidRPr="005C79E7">
              <w:rPr>
                <w:rFonts w:ascii="仿宋" w:eastAsia="仿宋" w:hAnsi="仿宋" w:cs="Times New Roman" w:hint="eastAsia"/>
                <w:sz w:val="22"/>
                <w:szCs w:val="24"/>
              </w:rPr>
              <w:t>其二，加强内控管理，建立健全结算制度、流程，明确各环节责任人和执行标准；</w:t>
            </w:r>
          </w:p>
          <w:p w14:paraId="0025DF0E" w14:textId="188A5A96" w:rsidR="005C79E7" w:rsidRPr="005C79E7" w:rsidRDefault="005C79E7" w:rsidP="005C79E7">
            <w:pPr>
              <w:pStyle w:val="a4"/>
              <w:spacing w:line="360" w:lineRule="auto"/>
              <w:ind w:left="800" w:right="241" w:firstLine="440"/>
              <w:rPr>
                <w:rFonts w:ascii="仿宋" w:eastAsia="仿宋" w:hAnsi="仿宋" w:cs="Times New Roman"/>
                <w:sz w:val="22"/>
                <w:szCs w:val="24"/>
              </w:rPr>
            </w:pPr>
            <w:r w:rsidRPr="005C79E7">
              <w:rPr>
                <w:rFonts w:ascii="仿宋" w:eastAsia="仿宋" w:hAnsi="仿宋" w:cs="Times New Roman" w:hint="eastAsia"/>
                <w:sz w:val="22"/>
                <w:szCs w:val="24"/>
              </w:rPr>
              <w:t>其三，</w:t>
            </w:r>
            <w:r w:rsidR="001B7FC6" w:rsidRPr="005C79E7">
              <w:rPr>
                <w:rFonts w:ascii="仿宋" w:eastAsia="仿宋" w:hAnsi="仿宋" w:cs="Times New Roman" w:hint="eastAsia"/>
                <w:sz w:val="22"/>
                <w:szCs w:val="24"/>
              </w:rPr>
              <w:t>完善项目管理、财务管理系统建设，</w:t>
            </w:r>
            <w:r w:rsidRPr="005C79E7">
              <w:rPr>
                <w:rFonts w:ascii="仿宋" w:eastAsia="仿宋" w:hAnsi="仿宋" w:cs="Times New Roman" w:hint="eastAsia"/>
                <w:sz w:val="22"/>
                <w:szCs w:val="24"/>
              </w:rPr>
              <w:t>加强成本控制，提升项目现场信息化管理水平，提升结算效率和准确性；</w:t>
            </w:r>
          </w:p>
          <w:p w14:paraId="3DBB9444" w14:textId="2698032E" w:rsidR="005C79E7" w:rsidRDefault="005C79E7" w:rsidP="005C79E7">
            <w:pPr>
              <w:pStyle w:val="a4"/>
              <w:spacing w:line="360" w:lineRule="auto"/>
              <w:ind w:left="800" w:right="241" w:firstLineChars="0" w:firstLine="450"/>
              <w:rPr>
                <w:rFonts w:ascii="仿宋" w:eastAsia="仿宋" w:hAnsi="仿宋" w:cs="Times New Roman"/>
                <w:sz w:val="22"/>
                <w:szCs w:val="24"/>
              </w:rPr>
            </w:pPr>
            <w:r w:rsidRPr="005C79E7">
              <w:rPr>
                <w:rFonts w:ascii="仿宋" w:eastAsia="仿宋" w:hAnsi="仿宋" w:cs="Times New Roman" w:hint="eastAsia"/>
                <w:sz w:val="22"/>
                <w:szCs w:val="24"/>
              </w:rPr>
              <w:t>其四，建立健全风险管理体系，识别评估结算过程中</w:t>
            </w:r>
            <w:r w:rsidR="006E4389">
              <w:rPr>
                <w:rFonts w:ascii="仿宋" w:eastAsia="仿宋" w:hAnsi="仿宋" w:cs="Times New Roman" w:hint="eastAsia"/>
                <w:sz w:val="22"/>
                <w:szCs w:val="24"/>
              </w:rPr>
              <w:t>可能</w:t>
            </w:r>
            <w:r w:rsidRPr="005C79E7">
              <w:rPr>
                <w:rFonts w:ascii="仿宋" w:eastAsia="仿宋" w:hAnsi="仿宋" w:cs="Times New Roman" w:hint="eastAsia"/>
                <w:sz w:val="22"/>
                <w:szCs w:val="24"/>
              </w:rPr>
              <w:t>遇到的风险，制定应对策略。</w:t>
            </w:r>
          </w:p>
          <w:p w14:paraId="771F9405" w14:textId="54446509" w:rsidR="00277C59" w:rsidRPr="00835BD4" w:rsidRDefault="005C79E7" w:rsidP="00CC145B">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政府</w:t>
            </w:r>
            <w:r w:rsidR="001507E8">
              <w:rPr>
                <w:rFonts w:ascii="仿宋" w:eastAsia="仿宋" w:hAnsi="仿宋" w:cs="Times New Roman" w:hint="eastAsia"/>
                <w:b/>
                <w:bCs/>
                <w:sz w:val="22"/>
                <w:szCs w:val="24"/>
              </w:rPr>
              <w:t>专项</w:t>
            </w:r>
            <w:r>
              <w:rPr>
                <w:rFonts w:ascii="仿宋" w:eastAsia="仿宋" w:hAnsi="仿宋" w:cs="Times New Roman" w:hint="eastAsia"/>
                <w:b/>
                <w:bCs/>
                <w:sz w:val="22"/>
                <w:szCs w:val="24"/>
              </w:rPr>
              <w:t>债</w:t>
            </w:r>
            <w:r w:rsidR="001507E8">
              <w:rPr>
                <w:rFonts w:ascii="仿宋" w:eastAsia="仿宋" w:hAnsi="仿宋" w:cs="Times New Roman" w:hint="eastAsia"/>
                <w:b/>
                <w:bCs/>
                <w:sz w:val="22"/>
                <w:szCs w:val="24"/>
              </w:rPr>
              <w:t>对公司回款的影响</w:t>
            </w:r>
            <w:r w:rsidR="00277C59" w:rsidRPr="00835BD4">
              <w:rPr>
                <w:rFonts w:ascii="仿宋" w:eastAsia="仿宋" w:hAnsi="仿宋" w:cs="Times New Roman" w:hint="eastAsia"/>
                <w:b/>
                <w:bCs/>
                <w:sz w:val="22"/>
                <w:szCs w:val="24"/>
              </w:rPr>
              <w:t>？</w:t>
            </w:r>
          </w:p>
          <w:p w14:paraId="55F9A8D5" w14:textId="597F4BD8" w:rsidR="00277C59" w:rsidRDefault="001507E8" w:rsidP="00CC145B">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公司</w:t>
            </w:r>
            <w:r w:rsidR="00683B91">
              <w:rPr>
                <w:rFonts w:ascii="仿宋" w:eastAsia="仿宋" w:hAnsi="仿宋" w:cs="Times New Roman" w:hint="eastAsia"/>
                <w:sz w:val="22"/>
                <w:szCs w:val="24"/>
              </w:rPr>
              <w:t>业务90%集中于长三角、华南地区，</w:t>
            </w:r>
            <w:r>
              <w:rPr>
                <w:rFonts w:ascii="仿宋" w:eastAsia="仿宋" w:hAnsi="仿宋" w:cs="Times New Roman" w:hint="eastAsia"/>
                <w:sz w:val="22"/>
                <w:szCs w:val="24"/>
              </w:rPr>
              <w:t>本轮政府化债工作主要</w:t>
            </w:r>
            <w:r w:rsidR="00683B91">
              <w:rPr>
                <w:rFonts w:ascii="仿宋" w:eastAsia="仿宋" w:hAnsi="仿宋" w:cs="Times New Roman" w:hint="eastAsia"/>
                <w:sz w:val="22"/>
                <w:szCs w:val="24"/>
              </w:rPr>
              <w:t>针对中西部地区，</w:t>
            </w:r>
            <w:r w:rsidR="002374E3">
              <w:rPr>
                <w:rFonts w:ascii="仿宋" w:eastAsia="仿宋" w:hAnsi="仿宋" w:cs="Times New Roman" w:hint="eastAsia"/>
                <w:sz w:val="22"/>
                <w:szCs w:val="24"/>
              </w:rPr>
              <w:t>有利于公司在中西部</w:t>
            </w:r>
            <w:r w:rsidR="00C60E0D">
              <w:rPr>
                <w:rFonts w:ascii="仿宋" w:eastAsia="仿宋" w:hAnsi="仿宋" w:cs="Times New Roman" w:hint="eastAsia"/>
                <w:sz w:val="22"/>
                <w:szCs w:val="24"/>
              </w:rPr>
              <w:t>项目的回款</w:t>
            </w:r>
            <w:r w:rsidR="00986DFA">
              <w:rPr>
                <w:rFonts w:ascii="仿宋" w:eastAsia="仿宋" w:hAnsi="仿宋" w:cs="Times New Roman" w:hint="eastAsia"/>
                <w:sz w:val="22"/>
                <w:szCs w:val="24"/>
              </w:rPr>
              <w:t>。</w:t>
            </w:r>
          </w:p>
          <w:p w14:paraId="7BD3B7D5" w14:textId="120B2AB0" w:rsidR="00683B91" w:rsidRPr="00835BD4" w:rsidRDefault="00683B91" w:rsidP="00683B91">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关于钍基核能项目，当初公司基于什么方面的考量</w:t>
            </w:r>
            <w:r>
              <w:rPr>
                <w:rFonts w:ascii="仿宋" w:eastAsia="仿宋" w:hAnsi="仿宋" w:cs="Times New Roman" w:hint="eastAsia"/>
                <w:b/>
                <w:bCs/>
                <w:sz w:val="22"/>
                <w:szCs w:val="24"/>
              </w:rPr>
              <w:lastRenderedPageBreak/>
              <w:t>参与建设，自身在该领域有何优势</w:t>
            </w:r>
            <w:r w:rsidRPr="00835BD4">
              <w:rPr>
                <w:rFonts w:ascii="仿宋" w:eastAsia="仿宋" w:hAnsi="仿宋" w:cs="Times New Roman" w:hint="eastAsia"/>
                <w:b/>
                <w:bCs/>
                <w:sz w:val="22"/>
                <w:szCs w:val="24"/>
              </w:rPr>
              <w:t>？</w:t>
            </w:r>
          </w:p>
          <w:p w14:paraId="044052CE" w14:textId="45A165B5" w:rsidR="00683B91" w:rsidRDefault="008F6883" w:rsidP="00683B91">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公司在大科学装置建设安装领域具有丰富的经验，</w:t>
            </w:r>
            <w:r w:rsidR="0049646F">
              <w:rPr>
                <w:rFonts w:ascii="仿宋" w:eastAsia="仿宋" w:hAnsi="仿宋" w:cs="Times New Roman" w:hint="eastAsia"/>
                <w:sz w:val="22"/>
                <w:szCs w:val="24"/>
              </w:rPr>
              <w:t>与中科院上海应用物理研究所保持长期良好的战略合作，参与了</w:t>
            </w:r>
            <w:r>
              <w:rPr>
                <w:rFonts w:ascii="仿宋" w:eastAsia="仿宋" w:hAnsi="仿宋" w:cs="Times New Roman" w:hint="eastAsia"/>
                <w:sz w:val="22"/>
                <w:szCs w:val="24"/>
              </w:rPr>
              <w:t>钍基熔盐堆仿真堆</w:t>
            </w:r>
            <w:r>
              <w:rPr>
                <w:rFonts w:ascii="仿宋" w:eastAsia="仿宋" w:hAnsi="仿宋" w:cs="Times New Roman" w:hint="eastAsia"/>
                <w:sz w:val="22"/>
                <w:szCs w:val="24"/>
              </w:rPr>
              <w:t>、</w:t>
            </w:r>
            <w:r w:rsidR="0049646F">
              <w:rPr>
                <w:rFonts w:ascii="仿宋" w:eastAsia="仿宋" w:hAnsi="仿宋" w:cs="Times New Roman" w:hint="eastAsia"/>
                <w:sz w:val="22"/>
                <w:szCs w:val="24"/>
              </w:rPr>
              <w:t>上海光源等重大科学装置建设项目。在长期合作中，双方保持紧密合作，</w:t>
            </w:r>
            <w:r>
              <w:rPr>
                <w:rFonts w:ascii="仿宋" w:eastAsia="仿宋" w:hAnsi="仿宋" w:cs="Times New Roman" w:hint="eastAsia"/>
                <w:sz w:val="22"/>
                <w:szCs w:val="24"/>
              </w:rPr>
              <w:t>在</w:t>
            </w:r>
            <w:r w:rsidRPr="008F6883">
              <w:rPr>
                <w:rFonts w:ascii="仿宋" w:eastAsia="仿宋" w:hAnsi="仿宋" w:cs="Times New Roman" w:hint="eastAsia"/>
                <w:sz w:val="22"/>
                <w:szCs w:val="24"/>
              </w:rPr>
              <w:t>钍基核能项目</w:t>
            </w:r>
            <w:r>
              <w:rPr>
                <w:rFonts w:ascii="仿宋" w:eastAsia="仿宋" w:hAnsi="仿宋" w:cs="Times New Roman" w:hint="eastAsia"/>
                <w:sz w:val="22"/>
                <w:szCs w:val="24"/>
              </w:rPr>
              <w:t>上形成</w:t>
            </w:r>
            <w:r w:rsidR="0049646F">
              <w:rPr>
                <w:rFonts w:ascii="仿宋" w:eastAsia="仿宋" w:hAnsi="仿宋" w:cs="Times New Roman" w:hint="eastAsia"/>
                <w:sz w:val="22"/>
                <w:szCs w:val="24"/>
              </w:rPr>
              <w:t>了深度业务绑定</w:t>
            </w:r>
            <w:r w:rsidR="00683B91">
              <w:rPr>
                <w:rFonts w:ascii="仿宋" w:eastAsia="仿宋" w:hAnsi="仿宋" w:cs="Times New Roman" w:hint="eastAsia"/>
                <w:sz w:val="22"/>
                <w:szCs w:val="24"/>
              </w:rPr>
              <w:t>。</w:t>
            </w:r>
          </w:p>
          <w:p w14:paraId="137CED1A" w14:textId="6CEF90E4" w:rsidR="00683B91" w:rsidRDefault="0049646F" w:rsidP="00CC145B">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公司在核能建设中持续发挥专业优势，包括不限于特种防辐射建材制备、核堆精细化安装调试等。</w:t>
            </w:r>
          </w:p>
          <w:p w14:paraId="70984F95" w14:textId="43143333" w:rsidR="00DF3F24" w:rsidRDefault="00DF3F24" w:rsidP="00CC145B">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核能项目作为新基建领域代表性工程，是公司实现高质量转型发展的重要</w:t>
            </w:r>
            <w:r w:rsidR="008F6883">
              <w:rPr>
                <w:rFonts w:ascii="仿宋" w:eastAsia="仿宋" w:hAnsi="仿宋" w:cs="Times New Roman" w:hint="eastAsia"/>
                <w:sz w:val="22"/>
                <w:szCs w:val="24"/>
              </w:rPr>
              <w:t>抓手。公司目前正在加强相关领域技术储备、资质储备</w:t>
            </w:r>
            <w:r>
              <w:rPr>
                <w:rFonts w:ascii="仿宋" w:eastAsia="仿宋" w:hAnsi="仿宋" w:cs="Times New Roman" w:hint="eastAsia"/>
                <w:sz w:val="22"/>
                <w:szCs w:val="24"/>
              </w:rPr>
              <w:t>，</w:t>
            </w:r>
            <w:r w:rsidR="008F6883">
              <w:rPr>
                <w:rFonts w:ascii="仿宋" w:eastAsia="仿宋" w:hAnsi="仿宋" w:cs="Times New Roman" w:hint="eastAsia"/>
                <w:sz w:val="22"/>
                <w:szCs w:val="24"/>
              </w:rPr>
              <w:t>继续推进</w:t>
            </w:r>
            <w:r w:rsidR="008F6883">
              <w:rPr>
                <w:rFonts w:ascii="仿宋" w:eastAsia="仿宋" w:hAnsi="仿宋" w:cs="Times New Roman" w:hint="eastAsia"/>
                <w:sz w:val="22"/>
                <w:szCs w:val="24"/>
              </w:rPr>
              <w:t>后续</w:t>
            </w:r>
            <w:r w:rsidR="008F6883">
              <w:rPr>
                <w:rFonts w:ascii="仿宋" w:eastAsia="仿宋" w:hAnsi="仿宋" w:cs="Times New Roman" w:hint="eastAsia"/>
                <w:sz w:val="22"/>
                <w:szCs w:val="24"/>
              </w:rPr>
              <w:t>更大功率堆型建设的</w:t>
            </w:r>
            <w:r w:rsidR="008F6883">
              <w:rPr>
                <w:rFonts w:ascii="仿宋" w:eastAsia="仿宋" w:hAnsi="仿宋" w:cs="Times New Roman" w:hint="eastAsia"/>
                <w:sz w:val="22"/>
                <w:szCs w:val="24"/>
              </w:rPr>
              <w:t>联合研发工作。</w:t>
            </w:r>
          </w:p>
          <w:p w14:paraId="77E69580" w14:textId="7222266F" w:rsidR="00DF3F24" w:rsidRPr="00835BD4" w:rsidRDefault="00DF3F24" w:rsidP="00DF3F24">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2024年减值预计趋势</w:t>
            </w:r>
            <w:r w:rsidRPr="00835BD4">
              <w:rPr>
                <w:rFonts w:ascii="仿宋" w:eastAsia="仿宋" w:hAnsi="仿宋" w:cs="Times New Roman" w:hint="eastAsia"/>
                <w:b/>
                <w:bCs/>
                <w:sz w:val="22"/>
                <w:szCs w:val="24"/>
              </w:rPr>
              <w:t>？</w:t>
            </w:r>
          </w:p>
          <w:p w14:paraId="640251B9" w14:textId="0F941545" w:rsidR="00DF3F24" w:rsidRDefault="00DF3F24" w:rsidP="00DF3F24">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目前公司减值</w:t>
            </w:r>
            <w:r w:rsidR="00AC10C5">
              <w:rPr>
                <w:rFonts w:ascii="仿宋" w:eastAsia="仿宋" w:hAnsi="仿宋" w:cs="Times New Roman" w:hint="eastAsia"/>
                <w:sz w:val="22"/>
                <w:szCs w:val="24"/>
              </w:rPr>
              <w:t>损失中，主要是应收账款坏账准备、存货跌价、合同资产减值损失等，单项占比最高的是出险</w:t>
            </w:r>
            <w:r>
              <w:rPr>
                <w:rFonts w:ascii="仿宋" w:eastAsia="仿宋" w:hAnsi="仿宋" w:cs="Times New Roman" w:hint="eastAsia"/>
                <w:sz w:val="22"/>
                <w:szCs w:val="24"/>
              </w:rPr>
              <w:t>地产企业的应收账款减值以及历史在手地产开发项目存货减值。截止2023年末</w:t>
            </w:r>
            <w:r w:rsidR="00AC10C5">
              <w:rPr>
                <w:rFonts w:ascii="仿宋" w:eastAsia="仿宋" w:hAnsi="仿宋" w:cs="Times New Roman" w:hint="eastAsia"/>
                <w:sz w:val="22"/>
                <w:szCs w:val="24"/>
              </w:rPr>
              <w:t>，这两类资产</w:t>
            </w:r>
            <w:r>
              <w:rPr>
                <w:rFonts w:ascii="仿宋" w:eastAsia="仿宋" w:hAnsi="仿宋" w:cs="Times New Roman" w:hint="eastAsia"/>
                <w:sz w:val="22"/>
                <w:szCs w:val="24"/>
              </w:rPr>
              <w:t>已计提了较高比例</w:t>
            </w:r>
            <w:r w:rsidR="00AC10C5">
              <w:rPr>
                <w:rFonts w:ascii="仿宋" w:eastAsia="仿宋" w:hAnsi="仿宋" w:cs="Times New Roman" w:hint="eastAsia"/>
                <w:sz w:val="22"/>
                <w:szCs w:val="24"/>
              </w:rPr>
              <w:t>减值</w:t>
            </w:r>
            <w:r>
              <w:rPr>
                <w:rFonts w:ascii="仿宋" w:eastAsia="仿宋" w:hAnsi="仿宋" w:cs="Times New Roman" w:hint="eastAsia"/>
                <w:sz w:val="22"/>
                <w:szCs w:val="24"/>
              </w:rPr>
              <w:t>，如果没有异常的负面因素影响，今明两年</w:t>
            </w:r>
            <w:r w:rsidR="00FB5D27">
              <w:rPr>
                <w:rFonts w:ascii="仿宋" w:eastAsia="仿宋" w:hAnsi="仿宋" w:cs="Times New Roman" w:hint="eastAsia"/>
                <w:sz w:val="22"/>
                <w:szCs w:val="24"/>
              </w:rPr>
              <w:t>新计</w:t>
            </w:r>
            <w:r>
              <w:rPr>
                <w:rFonts w:ascii="仿宋" w:eastAsia="仿宋" w:hAnsi="仿宋" w:cs="Times New Roman" w:hint="eastAsia"/>
                <w:sz w:val="22"/>
                <w:szCs w:val="24"/>
              </w:rPr>
              <w:t>减值比例及规模有望下降。</w:t>
            </w:r>
          </w:p>
          <w:p w14:paraId="3B8F100E" w14:textId="1ABE1FE3" w:rsidR="00C62506" w:rsidRPr="00835BD4" w:rsidRDefault="00C62506" w:rsidP="00C62506">
            <w:pPr>
              <w:pStyle w:val="a4"/>
              <w:numPr>
                <w:ilvl w:val="0"/>
                <w:numId w:val="1"/>
              </w:numPr>
              <w:spacing w:line="360" w:lineRule="auto"/>
              <w:ind w:right="241" w:firstLineChars="0"/>
              <w:rPr>
                <w:rFonts w:ascii="仿宋" w:eastAsia="仿宋" w:hAnsi="仿宋" w:cs="Times New Roman"/>
                <w:b/>
                <w:bCs/>
                <w:sz w:val="22"/>
                <w:szCs w:val="24"/>
              </w:rPr>
            </w:pPr>
            <w:r>
              <w:rPr>
                <w:rFonts w:ascii="仿宋" w:eastAsia="仿宋" w:hAnsi="仿宋" w:cs="Times New Roman" w:hint="eastAsia"/>
                <w:b/>
                <w:bCs/>
                <w:sz w:val="22"/>
                <w:szCs w:val="24"/>
              </w:rPr>
              <w:t>前十大股东名单中新增一名自然人，是不是公司的关联人</w:t>
            </w:r>
            <w:r w:rsidRPr="00835BD4">
              <w:rPr>
                <w:rFonts w:ascii="仿宋" w:eastAsia="仿宋" w:hAnsi="仿宋" w:cs="Times New Roman" w:hint="eastAsia"/>
                <w:b/>
                <w:bCs/>
                <w:sz w:val="22"/>
                <w:szCs w:val="24"/>
              </w:rPr>
              <w:t>？</w:t>
            </w:r>
          </w:p>
          <w:p w14:paraId="1B158452" w14:textId="69B1B019" w:rsidR="00C62506" w:rsidRPr="00E0685B" w:rsidRDefault="00FB5D27" w:rsidP="00FB5D27">
            <w:pPr>
              <w:pStyle w:val="a4"/>
              <w:spacing w:line="360" w:lineRule="auto"/>
              <w:ind w:left="800" w:right="241" w:firstLineChars="0" w:firstLine="450"/>
              <w:rPr>
                <w:rFonts w:ascii="仿宋" w:eastAsia="仿宋" w:hAnsi="仿宋" w:cs="Times New Roman"/>
                <w:sz w:val="22"/>
                <w:szCs w:val="24"/>
              </w:rPr>
            </w:pPr>
            <w:r>
              <w:rPr>
                <w:rFonts w:ascii="仿宋" w:eastAsia="仿宋" w:hAnsi="仿宋" w:cs="Times New Roman" w:hint="eastAsia"/>
                <w:sz w:val="22"/>
                <w:szCs w:val="24"/>
              </w:rPr>
              <w:t>该个人投资者应是出于自身投资策略选择了对公司股票的投资，</w:t>
            </w:r>
            <w:r w:rsidR="00E0685B">
              <w:rPr>
                <w:rFonts w:ascii="仿宋" w:eastAsia="仿宋" w:hAnsi="仿宋" w:cs="Times New Roman" w:hint="eastAsia"/>
                <w:sz w:val="22"/>
                <w:szCs w:val="24"/>
              </w:rPr>
              <w:t>与公司及</w:t>
            </w:r>
            <w:r>
              <w:rPr>
                <w:rFonts w:ascii="仿宋" w:eastAsia="仿宋" w:hAnsi="仿宋" w:cs="Times New Roman" w:hint="eastAsia"/>
                <w:sz w:val="22"/>
                <w:szCs w:val="24"/>
              </w:rPr>
              <w:t>控股股东</w:t>
            </w:r>
            <w:r w:rsidR="00E0685B">
              <w:rPr>
                <w:rFonts w:ascii="仿宋" w:eastAsia="仿宋" w:hAnsi="仿宋" w:cs="Times New Roman" w:hint="eastAsia"/>
                <w:sz w:val="22"/>
                <w:szCs w:val="24"/>
              </w:rPr>
              <w:t>不存在关联关系</w:t>
            </w:r>
            <w:r w:rsidR="00C62506">
              <w:rPr>
                <w:rFonts w:ascii="仿宋" w:eastAsia="仿宋" w:hAnsi="仿宋" w:cs="Times New Roman" w:hint="eastAsia"/>
                <w:sz w:val="22"/>
                <w:szCs w:val="24"/>
              </w:rPr>
              <w:t>。</w:t>
            </w:r>
            <w:r>
              <w:rPr>
                <w:rFonts w:ascii="仿宋" w:eastAsia="仿宋" w:hAnsi="仿宋" w:cs="Times New Roman" w:hint="eastAsia"/>
                <w:sz w:val="22"/>
                <w:szCs w:val="24"/>
              </w:rPr>
              <w:t>上海建工欢迎各类投资者关注、投资公司股票。</w:t>
            </w:r>
            <w:bookmarkStart w:id="0" w:name="_GoBack"/>
            <w:bookmarkEnd w:id="0"/>
          </w:p>
        </w:tc>
      </w:tr>
    </w:tbl>
    <w:p w14:paraId="0A124807" w14:textId="77777777" w:rsidR="00666D6F" w:rsidRPr="00666D6F" w:rsidRDefault="00666D6F" w:rsidP="00666D6F">
      <w:pPr>
        <w:spacing w:line="360" w:lineRule="auto"/>
        <w:ind w:right="241"/>
        <w:rPr>
          <w:rFonts w:ascii="Times New Roman" w:eastAsia="宋体" w:hAnsi="Times New Roman" w:cs="Times New Roman"/>
          <w:b/>
          <w:bCs/>
          <w:sz w:val="24"/>
          <w:szCs w:val="28"/>
        </w:rPr>
      </w:pPr>
    </w:p>
    <w:sectPr w:rsidR="00666D6F" w:rsidRPr="00666D6F" w:rsidSect="008F5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11BF" w14:textId="77777777" w:rsidR="00AF6146" w:rsidRDefault="00AF6146" w:rsidP="008B49EB">
      <w:r>
        <w:separator/>
      </w:r>
    </w:p>
  </w:endnote>
  <w:endnote w:type="continuationSeparator" w:id="0">
    <w:p w14:paraId="50A70DE5" w14:textId="77777777" w:rsidR="00AF6146" w:rsidRDefault="00AF6146" w:rsidP="008B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8607" w14:textId="77777777" w:rsidR="00AF6146" w:rsidRDefault="00AF6146" w:rsidP="008B49EB">
      <w:r>
        <w:separator/>
      </w:r>
    </w:p>
  </w:footnote>
  <w:footnote w:type="continuationSeparator" w:id="0">
    <w:p w14:paraId="4F07A2B0" w14:textId="77777777" w:rsidR="00AF6146" w:rsidRDefault="00AF6146" w:rsidP="008B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4F03"/>
    <w:multiLevelType w:val="hybridMultilevel"/>
    <w:tmpl w:val="7B606DDC"/>
    <w:lvl w:ilvl="0" w:tplc="4B6CDB32">
      <w:start w:val="1"/>
      <w:numFmt w:val="decimal"/>
      <w:suff w:val="nothing"/>
      <w:lvlText w:val="%1、"/>
      <w:lvlJc w:val="left"/>
      <w:pPr>
        <w:ind w:left="800" w:hanging="360"/>
      </w:pPr>
      <w:rPr>
        <w:rFonts w:hint="default"/>
        <w:b/>
        <w:bCs/>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1">
    <w:nsid w:val="7E1D7EA8"/>
    <w:multiLevelType w:val="hybridMultilevel"/>
    <w:tmpl w:val="E0305732"/>
    <w:lvl w:ilvl="0" w:tplc="9C70EBA6">
      <w:start w:val="1"/>
      <w:numFmt w:val="japaneseCounting"/>
      <w:lvlText w:val="（%1）"/>
      <w:lvlJc w:val="left"/>
      <w:pPr>
        <w:ind w:left="1960" w:hanging="720"/>
      </w:pPr>
      <w:rPr>
        <w:rFonts w:hint="default"/>
      </w:rPr>
    </w:lvl>
    <w:lvl w:ilvl="1" w:tplc="04090019" w:tentative="1">
      <w:start w:val="1"/>
      <w:numFmt w:val="lowerLetter"/>
      <w:lvlText w:val="%2)"/>
      <w:lvlJc w:val="left"/>
      <w:pPr>
        <w:ind w:left="2120" w:hanging="440"/>
      </w:pPr>
    </w:lvl>
    <w:lvl w:ilvl="2" w:tplc="0409001B" w:tentative="1">
      <w:start w:val="1"/>
      <w:numFmt w:val="lowerRoman"/>
      <w:lvlText w:val="%3."/>
      <w:lvlJc w:val="right"/>
      <w:pPr>
        <w:ind w:left="2560" w:hanging="440"/>
      </w:pPr>
    </w:lvl>
    <w:lvl w:ilvl="3" w:tplc="0409000F" w:tentative="1">
      <w:start w:val="1"/>
      <w:numFmt w:val="decimal"/>
      <w:lvlText w:val="%4."/>
      <w:lvlJc w:val="left"/>
      <w:pPr>
        <w:ind w:left="3000" w:hanging="440"/>
      </w:pPr>
    </w:lvl>
    <w:lvl w:ilvl="4" w:tplc="04090019" w:tentative="1">
      <w:start w:val="1"/>
      <w:numFmt w:val="lowerLetter"/>
      <w:lvlText w:val="%5)"/>
      <w:lvlJc w:val="left"/>
      <w:pPr>
        <w:ind w:left="3440" w:hanging="440"/>
      </w:pPr>
    </w:lvl>
    <w:lvl w:ilvl="5" w:tplc="0409001B" w:tentative="1">
      <w:start w:val="1"/>
      <w:numFmt w:val="lowerRoman"/>
      <w:lvlText w:val="%6."/>
      <w:lvlJc w:val="right"/>
      <w:pPr>
        <w:ind w:left="3880" w:hanging="440"/>
      </w:pPr>
    </w:lvl>
    <w:lvl w:ilvl="6" w:tplc="0409000F" w:tentative="1">
      <w:start w:val="1"/>
      <w:numFmt w:val="decimal"/>
      <w:lvlText w:val="%7."/>
      <w:lvlJc w:val="left"/>
      <w:pPr>
        <w:ind w:left="4320" w:hanging="440"/>
      </w:pPr>
    </w:lvl>
    <w:lvl w:ilvl="7" w:tplc="04090019" w:tentative="1">
      <w:start w:val="1"/>
      <w:numFmt w:val="lowerLetter"/>
      <w:lvlText w:val="%8)"/>
      <w:lvlJc w:val="left"/>
      <w:pPr>
        <w:ind w:left="4760" w:hanging="440"/>
      </w:pPr>
    </w:lvl>
    <w:lvl w:ilvl="8" w:tplc="0409001B" w:tentative="1">
      <w:start w:val="1"/>
      <w:numFmt w:val="lowerRoman"/>
      <w:lvlText w:val="%9."/>
      <w:lvlJc w:val="right"/>
      <w:pPr>
        <w:ind w:left="52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6F"/>
    <w:rsid w:val="000006CE"/>
    <w:rsid w:val="000044AE"/>
    <w:rsid w:val="00005B6C"/>
    <w:rsid w:val="00005F51"/>
    <w:rsid w:val="0001131B"/>
    <w:rsid w:val="0002263E"/>
    <w:rsid w:val="00025B0F"/>
    <w:rsid w:val="000309CA"/>
    <w:rsid w:val="00036DA4"/>
    <w:rsid w:val="00037860"/>
    <w:rsid w:val="00045E75"/>
    <w:rsid w:val="00061264"/>
    <w:rsid w:val="00081230"/>
    <w:rsid w:val="000A0906"/>
    <w:rsid w:val="000A0DD8"/>
    <w:rsid w:val="000A2AB5"/>
    <w:rsid w:val="000C1F64"/>
    <w:rsid w:val="000D61EC"/>
    <w:rsid w:val="000E105E"/>
    <w:rsid w:val="000E5E08"/>
    <w:rsid w:val="000F2415"/>
    <w:rsid w:val="000F3B36"/>
    <w:rsid w:val="000F6046"/>
    <w:rsid w:val="000F6B6C"/>
    <w:rsid w:val="001101CB"/>
    <w:rsid w:val="00115A68"/>
    <w:rsid w:val="00127B6D"/>
    <w:rsid w:val="001507E8"/>
    <w:rsid w:val="00150F12"/>
    <w:rsid w:val="00152A0C"/>
    <w:rsid w:val="001827B8"/>
    <w:rsid w:val="001869B8"/>
    <w:rsid w:val="00194A67"/>
    <w:rsid w:val="001A2C52"/>
    <w:rsid w:val="001B196C"/>
    <w:rsid w:val="001B407F"/>
    <w:rsid w:val="001B7FC6"/>
    <w:rsid w:val="001C4EF0"/>
    <w:rsid w:val="001E6A1C"/>
    <w:rsid w:val="001F0721"/>
    <w:rsid w:val="001F41DF"/>
    <w:rsid w:val="00221D94"/>
    <w:rsid w:val="00231995"/>
    <w:rsid w:val="00236E07"/>
    <w:rsid w:val="002374E3"/>
    <w:rsid w:val="002458C8"/>
    <w:rsid w:val="00250291"/>
    <w:rsid w:val="00260189"/>
    <w:rsid w:val="00277C59"/>
    <w:rsid w:val="002851DE"/>
    <w:rsid w:val="00292254"/>
    <w:rsid w:val="00293178"/>
    <w:rsid w:val="00294365"/>
    <w:rsid w:val="002A1B15"/>
    <w:rsid w:val="002C1FD7"/>
    <w:rsid w:val="002F44E3"/>
    <w:rsid w:val="00300D81"/>
    <w:rsid w:val="00305473"/>
    <w:rsid w:val="00317640"/>
    <w:rsid w:val="003266D5"/>
    <w:rsid w:val="003275F8"/>
    <w:rsid w:val="00344DDE"/>
    <w:rsid w:val="003558E4"/>
    <w:rsid w:val="00363E76"/>
    <w:rsid w:val="0037443A"/>
    <w:rsid w:val="00376C87"/>
    <w:rsid w:val="003856E1"/>
    <w:rsid w:val="00387C8D"/>
    <w:rsid w:val="00397FCA"/>
    <w:rsid w:val="003A3E15"/>
    <w:rsid w:val="003A4CAE"/>
    <w:rsid w:val="003A4D06"/>
    <w:rsid w:val="003B4D4B"/>
    <w:rsid w:val="003C1D89"/>
    <w:rsid w:val="003C2FB9"/>
    <w:rsid w:val="003D143E"/>
    <w:rsid w:val="003D6320"/>
    <w:rsid w:val="003D7F51"/>
    <w:rsid w:val="003E0E15"/>
    <w:rsid w:val="003E2674"/>
    <w:rsid w:val="003E3EC7"/>
    <w:rsid w:val="003F577D"/>
    <w:rsid w:val="0040609C"/>
    <w:rsid w:val="00410A54"/>
    <w:rsid w:val="0044262C"/>
    <w:rsid w:val="004431C0"/>
    <w:rsid w:val="00444DFA"/>
    <w:rsid w:val="004475BD"/>
    <w:rsid w:val="0046219F"/>
    <w:rsid w:val="004625DF"/>
    <w:rsid w:val="004762B9"/>
    <w:rsid w:val="00481111"/>
    <w:rsid w:val="00482D97"/>
    <w:rsid w:val="00485967"/>
    <w:rsid w:val="00485E41"/>
    <w:rsid w:val="00491BFB"/>
    <w:rsid w:val="004925F9"/>
    <w:rsid w:val="0049646F"/>
    <w:rsid w:val="0049685A"/>
    <w:rsid w:val="004A6A83"/>
    <w:rsid w:val="004A6DF9"/>
    <w:rsid w:val="004C51F6"/>
    <w:rsid w:val="004C536D"/>
    <w:rsid w:val="004D1496"/>
    <w:rsid w:val="004E1279"/>
    <w:rsid w:val="004E421F"/>
    <w:rsid w:val="004E55C7"/>
    <w:rsid w:val="004F20F5"/>
    <w:rsid w:val="004F506D"/>
    <w:rsid w:val="004F729E"/>
    <w:rsid w:val="00505F01"/>
    <w:rsid w:val="005162D7"/>
    <w:rsid w:val="0052336D"/>
    <w:rsid w:val="005346DD"/>
    <w:rsid w:val="005361BA"/>
    <w:rsid w:val="00546469"/>
    <w:rsid w:val="00550A6A"/>
    <w:rsid w:val="0056756B"/>
    <w:rsid w:val="00594AAC"/>
    <w:rsid w:val="005A2DEA"/>
    <w:rsid w:val="005A7283"/>
    <w:rsid w:val="005B447D"/>
    <w:rsid w:val="005B626E"/>
    <w:rsid w:val="005B73EF"/>
    <w:rsid w:val="005C0C3A"/>
    <w:rsid w:val="005C161B"/>
    <w:rsid w:val="005C6B20"/>
    <w:rsid w:val="005C6B40"/>
    <w:rsid w:val="005C79E7"/>
    <w:rsid w:val="005E2856"/>
    <w:rsid w:val="005F1D56"/>
    <w:rsid w:val="00606C70"/>
    <w:rsid w:val="006178C2"/>
    <w:rsid w:val="0063371A"/>
    <w:rsid w:val="00633B42"/>
    <w:rsid w:val="006361D4"/>
    <w:rsid w:val="00637E11"/>
    <w:rsid w:val="00641FEB"/>
    <w:rsid w:val="006578DB"/>
    <w:rsid w:val="006668B7"/>
    <w:rsid w:val="00666BD8"/>
    <w:rsid w:val="00666D6F"/>
    <w:rsid w:val="00674B82"/>
    <w:rsid w:val="00680772"/>
    <w:rsid w:val="00683B91"/>
    <w:rsid w:val="00695B7A"/>
    <w:rsid w:val="006978E0"/>
    <w:rsid w:val="006A2A9D"/>
    <w:rsid w:val="006A3441"/>
    <w:rsid w:val="006C3050"/>
    <w:rsid w:val="006D064E"/>
    <w:rsid w:val="006D0BDD"/>
    <w:rsid w:val="006D524A"/>
    <w:rsid w:val="006E4389"/>
    <w:rsid w:val="006E7EE3"/>
    <w:rsid w:val="006F18C2"/>
    <w:rsid w:val="006F36B5"/>
    <w:rsid w:val="007001B9"/>
    <w:rsid w:val="00704CE7"/>
    <w:rsid w:val="0070549B"/>
    <w:rsid w:val="00705824"/>
    <w:rsid w:val="007067B9"/>
    <w:rsid w:val="00707CF6"/>
    <w:rsid w:val="0072606A"/>
    <w:rsid w:val="00730582"/>
    <w:rsid w:val="00734DA0"/>
    <w:rsid w:val="00735F21"/>
    <w:rsid w:val="007445C7"/>
    <w:rsid w:val="00746B0A"/>
    <w:rsid w:val="007533A6"/>
    <w:rsid w:val="00754EAA"/>
    <w:rsid w:val="00755560"/>
    <w:rsid w:val="00773F85"/>
    <w:rsid w:val="00775DAD"/>
    <w:rsid w:val="007945FE"/>
    <w:rsid w:val="007A12E1"/>
    <w:rsid w:val="007B2512"/>
    <w:rsid w:val="007B39A9"/>
    <w:rsid w:val="007D7FA9"/>
    <w:rsid w:val="007E07E0"/>
    <w:rsid w:val="007E7FE3"/>
    <w:rsid w:val="007F5EA1"/>
    <w:rsid w:val="007F621E"/>
    <w:rsid w:val="008116C8"/>
    <w:rsid w:val="00815BBA"/>
    <w:rsid w:val="00830F91"/>
    <w:rsid w:val="00833687"/>
    <w:rsid w:val="00835543"/>
    <w:rsid w:val="00835BD4"/>
    <w:rsid w:val="00846842"/>
    <w:rsid w:val="00867F57"/>
    <w:rsid w:val="008709C2"/>
    <w:rsid w:val="00873C31"/>
    <w:rsid w:val="00876BC6"/>
    <w:rsid w:val="008914E3"/>
    <w:rsid w:val="0089560E"/>
    <w:rsid w:val="00897E44"/>
    <w:rsid w:val="008A07A4"/>
    <w:rsid w:val="008A082E"/>
    <w:rsid w:val="008A1224"/>
    <w:rsid w:val="008A3BE9"/>
    <w:rsid w:val="008B1F05"/>
    <w:rsid w:val="008B49EB"/>
    <w:rsid w:val="008C5578"/>
    <w:rsid w:val="008D118C"/>
    <w:rsid w:val="008D6D5D"/>
    <w:rsid w:val="008F1C48"/>
    <w:rsid w:val="008F546B"/>
    <w:rsid w:val="008F5BEC"/>
    <w:rsid w:val="008F6883"/>
    <w:rsid w:val="0090084B"/>
    <w:rsid w:val="00901E8E"/>
    <w:rsid w:val="00904687"/>
    <w:rsid w:val="00906E46"/>
    <w:rsid w:val="00914920"/>
    <w:rsid w:val="0091689B"/>
    <w:rsid w:val="009172DD"/>
    <w:rsid w:val="0092082C"/>
    <w:rsid w:val="00920CCC"/>
    <w:rsid w:val="00921EFB"/>
    <w:rsid w:val="00922AB4"/>
    <w:rsid w:val="00926B7C"/>
    <w:rsid w:val="0092796E"/>
    <w:rsid w:val="009311EE"/>
    <w:rsid w:val="00931D45"/>
    <w:rsid w:val="009475AA"/>
    <w:rsid w:val="00951AC1"/>
    <w:rsid w:val="009538BC"/>
    <w:rsid w:val="00981AB2"/>
    <w:rsid w:val="00986DFA"/>
    <w:rsid w:val="0099215C"/>
    <w:rsid w:val="009966AD"/>
    <w:rsid w:val="009A378E"/>
    <w:rsid w:val="009A5909"/>
    <w:rsid w:val="009B04A0"/>
    <w:rsid w:val="009B276A"/>
    <w:rsid w:val="009B365C"/>
    <w:rsid w:val="009C7CEA"/>
    <w:rsid w:val="009C7D40"/>
    <w:rsid w:val="009D3815"/>
    <w:rsid w:val="009D4B65"/>
    <w:rsid w:val="009E1251"/>
    <w:rsid w:val="009F3ED4"/>
    <w:rsid w:val="00A01908"/>
    <w:rsid w:val="00A139E8"/>
    <w:rsid w:val="00A14E68"/>
    <w:rsid w:val="00A15246"/>
    <w:rsid w:val="00A1644C"/>
    <w:rsid w:val="00A1751F"/>
    <w:rsid w:val="00A25816"/>
    <w:rsid w:val="00A271AC"/>
    <w:rsid w:val="00A27DD9"/>
    <w:rsid w:val="00A5222D"/>
    <w:rsid w:val="00A7265D"/>
    <w:rsid w:val="00A91E99"/>
    <w:rsid w:val="00A935FD"/>
    <w:rsid w:val="00A9489C"/>
    <w:rsid w:val="00AA1A18"/>
    <w:rsid w:val="00AA26A3"/>
    <w:rsid w:val="00AA5F51"/>
    <w:rsid w:val="00AA6B95"/>
    <w:rsid w:val="00AB08F9"/>
    <w:rsid w:val="00AB443F"/>
    <w:rsid w:val="00AC0882"/>
    <w:rsid w:val="00AC10C5"/>
    <w:rsid w:val="00AC29D9"/>
    <w:rsid w:val="00AD3B3E"/>
    <w:rsid w:val="00AF6146"/>
    <w:rsid w:val="00B02EFB"/>
    <w:rsid w:val="00B124A5"/>
    <w:rsid w:val="00B17137"/>
    <w:rsid w:val="00B36477"/>
    <w:rsid w:val="00B37F84"/>
    <w:rsid w:val="00B4235A"/>
    <w:rsid w:val="00B447E5"/>
    <w:rsid w:val="00B50FD7"/>
    <w:rsid w:val="00B54E07"/>
    <w:rsid w:val="00B66F7D"/>
    <w:rsid w:val="00B67306"/>
    <w:rsid w:val="00B71174"/>
    <w:rsid w:val="00BA3F1F"/>
    <w:rsid w:val="00BB1D63"/>
    <w:rsid w:val="00BB4ECD"/>
    <w:rsid w:val="00BC3400"/>
    <w:rsid w:val="00BC384E"/>
    <w:rsid w:val="00BD126C"/>
    <w:rsid w:val="00BE2B32"/>
    <w:rsid w:val="00BF1CEF"/>
    <w:rsid w:val="00BF5339"/>
    <w:rsid w:val="00BF65EB"/>
    <w:rsid w:val="00C05337"/>
    <w:rsid w:val="00C16696"/>
    <w:rsid w:val="00C17047"/>
    <w:rsid w:val="00C20187"/>
    <w:rsid w:val="00C2120D"/>
    <w:rsid w:val="00C21A46"/>
    <w:rsid w:val="00C304C0"/>
    <w:rsid w:val="00C60917"/>
    <w:rsid w:val="00C60E0D"/>
    <w:rsid w:val="00C62506"/>
    <w:rsid w:val="00C66F04"/>
    <w:rsid w:val="00C751AB"/>
    <w:rsid w:val="00C84101"/>
    <w:rsid w:val="00C938A4"/>
    <w:rsid w:val="00CA4580"/>
    <w:rsid w:val="00CB1502"/>
    <w:rsid w:val="00CB65EC"/>
    <w:rsid w:val="00CC145B"/>
    <w:rsid w:val="00CD64AF"/>
    <w:rsid w:val="00CE006B"/>
    <w:rsid w:val="00CE21B9"/>
    <w:rsid w:val="00CE5504"/>
    <w:rsid w:val="00CE6F1E"/>
    <w:rsid w:val="00D04031"/>
    <w:rsid w:val="00D04953"/>
    <w:rsid w:val="00D124F6"/>
    <w:rsid w:val="00D20EEA"/>
    <w:rsid w:val="00D22610"/>
    <w:rsid w:val="00D3202E"/>
    <w:rsid w:val="00D36D3E"/>
    <w:rsid w:val="00D36EDF"/>
    <w:rsid w:val="00D51337"/>
    <w:rsid w:val="00D5743D"/>
    <w:rsid w:val="00D61B6C"/>
    <w:rsid w:val="00D66CEE"/>
    <w:rsid w:val="00D72363"/>
    <w:rsid w:val="00D748B4"/>
    <w:rsid w:val="00D847C2"/>
    <w:rsid w:val="00D907BE"/>
    <w:rsid w:val="00DC1999"/>
    <w:rsid w:val="00DD5910"/>
    <w:rsid w:val="00DD60B9"/>
    <w:rsid w:val="00DD78EA"/>
    <w:rsid w:val="00DF2182"/>
    <w:rsid w:val="00DF3F24"/>
    <w:rsid w:val="00DF58C9"/>
    <w:rsid w:val="00E0280A"/>
    <w:rsid w:val="00E0685B"/>
    <w:rsid w:val="00E125AA"/>
    <w:rsid w:val="00E13241"/>
    <w:rsid w:val="00E36187"/>
    <w:rsid w:val="00E4746D"/>
    <w:rsid w:val="00E47DBA"/>
    <w:rsid w:val="00E50627"/>
    <w:rsid w:val="00E57754"/>
    <w:rsid w:val="00E67050"/>
    <w:rsid w:val="00E72CD6"/>
    <w:rsid w:val="00E73B19"/>
    <w:rsid w:val="00E74F5D"/>
    <w:rsid w:val="00E77ABA"/>
    <w:rsid w:val="00E84EB5"/>
    <w:rsid w:val="00EA2B8F"/>
    <w:rsid w:val="00EA3835"/>
    <w:rsid w:val="00EA47B3"/>
    <w:rsid w:val="00EA4EC9"/>
    <w:rsid w:val="00EA5BB3"/>
    <w:rsid w:val="00EB1593"/>
    <w:rsid w:val="00EB24B8"/>
    <w:rsid w:val="00EB45D5"/>
    <w:rsid w:val="00EB656A"/>
    <w:rsid w:val="00EC0741"/>
    <w:rsid w:val="00EC4F0D"/>
    <w:rsid w:val="00EC6C2F"/>
    <w:rsid w:val="00ED6F52"/>
    <w:rsid w:val="00EE4C72"/>
    <w:rsid w:val="00F116F5"/>
    <w:rsid w:val="00F12DA4"/>
    <w:rsid w:val="00F22683"/>
    <w:rsid w:val="00F27B16"/>
    <w:rsid w:val="00F41C21"/>
    <w:rsid w:val="00F44A1D"/>
    <w:rsid w:val="00F5149E"/>
    <w:rsid w:val="00F56590"/>
    <w:rsid w:val="00F771A5"/>
    <w:rsid w:val="00F902D3"/>
    <w:rsid w:val="00FA12A3"/>
    <w:rsid w:val="00FA744E"/>
    <w:rsid w:val="00FB1356"/>
    <w:rsid w:val="00FB5D27"/>
    <w:rsid w:val="00FC3852"/>
    <w:rsid w:val="00FD5A11"/>
    <w:rsid w:val="00FD7894"/>
    <w:rsid w:val="00FE1DB7"/>
    <w:rsid w:val="00FE4A56"/>
    <w:rsid w:val="00FE4DCC"/>
    <w:rsid w:val="00FF2F3C"/>
    <w:rsid w:val="00FF3AE2"/>
    <w:rsid w:val="00FF42FA"/>
    <w:rsid w:val="00FF65A2"/>
    <w:rsid w:val="00FF7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FA9"/>
    <w:pPr>
      <w:ind w:firstLineChars="200" w:firstLine="420"/>
    </w:pPr>
  </w:style>
  <w:style w:type="paragraph" w:styleId="a5">
    <w:name w:val="header"/>
    <w:basedOn w:val="a"/>
    <w:link w:val="Char"/>
    <w:uiPriority w:val="99"/>
    <w:unhideWhenUsed/>
    <w:rsid w:val="008B49EB"/>
    <w:pPr>
      <w:tabs>
        <w:tab w:val="center" w:pos="4153"/>
        <w:tab w:val="right" w:pos="8306"/>
      </w:tabs>
      <w:snapToGrid w:val="0"/>
      <w:jc w:val="center"/>
    </w:pPr>
    <w:rPr>
      <w:sz w:val="18"/>
      <w:szCs w:val="18"/>
    </w:rPr>
  </w:style>
  <w:style w:type="character" w:customStyle="1" w:styleId="Char">
    <w:name w:val="页眉 Char"/>
    <w:basedOn w:val="a0"/>
    <w:link w:val="a5"/>
    <w:uiPriority w:val="99"/>
    <w:rsid w:val="008B49EB"/>
    <w:rPr>
      <w:sz w:val="18"/>
      <w:szCs w:val="18"/>
    </w:rPr>
  </w:style>
  <w:style w:type="paragraph" w:styleId="a6">
    <w:name w:val="footer"/>
    <w:basedOn w:val="a"/>
    <w:link w:val="Char0"/>
    <w:uiPriority w:val="99"/>
    <w:unhideWhenUsed/>
    <w:rsid w:val="008B49EB"/>
    <w:pPr>
      <w:tabs>
        <w:tab w:val="center" w:pos="4153"/>
        <w:tab w:val="right" w:pos="8306"/>
      </w:tabs>
      <w:snapToGrid w:val="0"/>
      <w:jc w:val="left"/>
    </w:pPr>
    <w:rPr>
      <w:sz w:val="18"/>
      <w:szCs w:val="18"/>
    </w:rPr>
  </w:style>
  <w:style w:type="character" w:customStyle="1" w:styleId="Char0">
    <w:name w:val="页脚 Char"/>
    <w:basedOn w:val="a0"/>
    <w:link w:val="a6"/>
    <w:uiPriority w:val="99"/>
    <w:rsid w:val="008B49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FA9"/>
    <w:pPr>
      <w:ind w:firstLineChars="200" w:firstLine="420"/>
    </w:pPr>
  </w:style>
  <w:style w:type="paragraph" w:styleId="a5">
    <w:name w:val="header"/>
    <w:basedOn w:val="a"/>
    <w:link w:val="Char"/>
    <w:uiPriority w:val="99"/>
    <w:unhideWhenUsed/>
    <w:rsid w:val="008B49EB"/>
    <w:pPr>
      <w:tabs>
        <w:tab w:val="center" w:pos="4153"/>
        <w:tab w:val="right" w:pos="8306"/>
      </w:tabs>
      <w:snapToGrid w:val="0"/>
      <w:jc w:val="center"/>
    </w:pPr>
    <w:rPr>
      <w:sz w:val="18"/>
      <w:szCs w:val="18"/>
    </w:rPr>
  </w:style>
  <w:style w:type="character" w:customStyle="1" w:styleId="Char">
    <w:name w:val="页眉 Char"/>
    <w:basedOn w:val="a0"/>
    <w:link w:val="a5"/>
    <w:uiPriority w:val="99"/>
    <w:rsid w:val="008B49EB"/>
    <w:rPr>
      <w:sz w:val="18"/>
      <w:szCs w:val="18"/>
    </w:rPr>
  </w:style>
  <w:style w:type="paragraph" w:styleId="a6">
    <w:name w:val="footer"/>
    <w:basedOn w:val="a"/>
    <w:link w:val="Char0"/>
    <w:uiPriority w:val="99"/>
    <w:unhideWhenUsed/>
    <w:rsid w:val="008B49EB"/>
    <w:pPr>
      <w:tabs>
        <w:tab w:val="center" w:pos="4153"/>
        <w:tab w:val="right" w:pos="8306"/>
      </w:tabs>
      <w:snapToGrid w:val="0"/>
      <w:jc w:val="left"/>
    </w:pPr>
    <w:rPr>
      <w:sz w:val="18"/>
      <w:szCs w:val="18"/>
    </w:rPr>
  </w:style>
  <w:style w:type="character" w:customStyle="1" w:styleId="Char0">
    <w:name w:val="页脚 Char"/>
    <w:basedOn w:val="a0"/>
    <w:link w:val="a6"/>
    <w:uiPriority w:val="99"/>
    <w:rsid w:val="008B49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D36D-797D-47B2-9ED5-73A7D00D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琰炜 阮</dc:creator>
  <cp:keywords/>
  <dc:description/>
  <cp:lastModifiedBy>李胜</cp:lastModifiedBy>
  <cp:revision>32</cp:revision>
  <dcterms:created xsi:type="dcterms:W3CDTF">2024-03-22T08:50:00Z</dcterms:created>
  <dcterms:modified xsi:type="dcterms:W3CDTF">2024-05-22T04:24:00Z</dcterms:modified>
</cp:coreProperties>
</file>