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  <w:szCs w:val="22"/>
        </w:rPr>
      </w:pPr>
      <w:r>
        <w:rPr>
          <w:rFonts w:hint="eastAsia" w:ascii="宋体" w:hAnsi="宋体"/>
          <w:bCs/>
          <w:iCs/>
          <w:color w:val="000000"/>
          <w:sz w:val="24"/>
          <w:szCs w:val="22"/>
        </w:rPr>
        <w:t xml:space="preserve">证券代码：688484                                </w:t>
      </w:r>
      <w:r>
        <w:rPr>
          <w:rFonts w:ascii="宋体" w:hAnsi="宋体"/>
          <w:bCs/>
          <w:iCs/>
          <w:color w:val="000000"/>
          <w:sz w:val="24"/>
          <w:szCs w:val="22"/>
        </w:rPr>
        <w:t xml:space="preserve">   </w:t>
      </w:r>
      <w:r>
        <w:rPr>
          <w:rFonts w:hint="eastAsia" w:ascii="宋体" w:hAnsi="宋体"/>
          <w:bCs/>
          <w:iCs/>
          <w:color w:val="000000"/>
          <w:sz w:val="24"/>
          <w:szCs w:val="22"/>
        </w:rPr>
        <w:t>证券简称：南芯科技</w:t>
      </w:r>
    </w:p>
    <w:p>
      <w:pPr>
        <w:spacing w:line="360" w:lineRule="auto"/>
        <w:jc w:val="center"/>
        <w:rPr>
          <w:rFonts w:ascii="宋体" w:hAnsi="宋体"/>
          <w:b/>
          <w:bCs/>
          <w:iCs/>
          <w:color w:val="FF000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iCs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FF0000"/>
          <w:sz w:val="32"/>
          <w:szCs w:val="32"/>
        </w:rPr>
        <w:t>上海南芯半导体科技股份有限公司</w:t>
      </w:r>
    </w:p>
    <w:p>
      <w:pPr>
        <w:spacing w:line="360" w:lineRule="auto"/>
        <w:jc w:val="center"/>
        <w:rPr>
          <w:rFonts w:ascii="宋体" w:hAnsi="宋体"/>
          <w:b/>
          <w:bCs/>
          <w:iCs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FF0000"/>
          <w:sz w:val="32"/>
          <w:szCs w:val="32"/>
        </w:rPr>
        <w:t>投资者关系活动记录表</w:t>
      </w:r>
    </w:p>
    <w:p>
      <w:pPr>
        <w:spacing w:line="400" w:lineRule="exact"/>
        <w:ind w:firstLine="480" w:firstLineChars="200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编号：2024-00</w:t>
      </w:r>
      <w:r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ascii="Segoe UI Emoji" w:hAnsi="Segoe UI Emoji" w:cs="Segoe UI Emoji" w:eastAsiaTheme="minorEastAsia"/>
                <w:bCs/>
                <w:iCs/>
                <w:color w:val="000000"/>
                <w:sz w:val="24"/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特定对象调研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分析师会议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媒体采访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业绩说明会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新闻发布会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现场参观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其他 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韩国投资、中泰证券、红塔证券、中信建投证券、招商基金、建发新兴股权投资、太平洋资产、世诚投资、森锦投资、西部利得基金、复胜资产、博时基金、国金基金、山楂树私募、太平基金、长城证券、申万宏源证券、金浦产业投资、汇丰前海证券、华福证券、兴业证券、中兰私募、招商基金、华安证券、卫宁投资、兴银基金、财通证券、华安基金、重阳投资、于翼资产、开源证券、广发证券、长盛基金、嘉合基金、国泰君安资管、华安证券、银河基金、国投瑞银基金、敦和资产、十溢投资、上海证券、中信保诚基金、盛钧私募、上汽颀臻资产、东方证券资管、润晖投资、中信证券、莫尼塔研究、民生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2024年</w:t>
            </w:r>
            <w:r>
              <w:rPr>
                <w:rFonts w:asciiTheme="minorEastAsia" w:hAnsiTheme="minorEastAsia" w:eastAsiaTheme="minorEastAsia" w:cs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月2</w:t>
            </w:r>
            <w:r>
              <w:rPr>
                <w:rFonts w:asciiTheme="minorEastAsia" w:hAnsiTheme="minorEastAsia" w:eastAsiaTheme="minorEastAsia" w:cs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 1</w:t>
            </w:r>
            <w:r>
              <w:rPr>
                <w:rFonts w:asciiTheme="minorEastAsia" w:hAnsiTheme="minorEastAsia" w:eastAsiaTheme="minorEastAsia" w:cstheme="minorEastAsia"/>
                <w:sz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:00-1</w:t>
            </w:r>
            <w:r>
              <w:rPr>
                <w:rFonts w:asciiTheme="minorEastAsia" w:hAnsiTheme="minorEastAsia" w:eastAsiaTheme="minorEastAsia" w:cs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南芯上海会议室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520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战略副总裁兼董事会秘书   梁映珍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主要交流的问题：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问题一：公司海外客户的业务开展的近况如何？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答：公司在智能手机快充芯片相关领域占据市场领先地位，其中电荷泵产品位居全球第一，公司正在积极开拓海外知名安卓手机品牌客户的相关业务。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问题二：当前公司在手机相关业务的订单情况如何？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答：公司服务的是国内多家知名智能手机厂商，目前整体订单情况一切正常，需求饱满，预计今年公司在移动设备业务板块将继续稳健成长。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问题三：公司汽车电子领域的业务情况怎么样？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：当前国内汽车芯片产业方面，国产替代趋势持续显现，行业上下游都在跟随国家战略发展自主可控的产业布局，汽车电子领域也是公司最重点布局投资的方向之一。过去2年里，公司积极切入汽车电子领域的客户，取得较多研发成果，23 年公司推出多款车规级新产品，例如 HSD 芯片、e-fuse 芯片、高性能 DCDC 芯片等，均已进入客户送样环节，2023 年公司汽车电子收入增速接近翻番，预计24年汽车电子业务仍将维持较快的成长速度。公司当前已经完成了围绕车载充电、智能座舱等领域中电源类芯片产品的导入量产，其中与有线/无线充电相关的业务成长动力强劲，公司之后还会加大力度布局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ADAS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、域控制器等领域。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问题四：公司当前的营收结构能拆分一下吗？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答：今年一季度，公司移动设备类收入占比约7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6.05%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，其中绝大部分来自于手机有线充电芯片产品，其余的包括无线充电、B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MS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、Display方面的电源芯片产品；适配器类收入占比约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11.50%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，占比较去年有所提升，主要包括A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CDC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芯片、协议芯片；通用类收入占比约1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0.40%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，与去年相当，主要包括充电、D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CDC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相关芯片；汽车电子类收入占比约2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.05%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，占比较去年提升较快，主要包括车载充电、智能座舱相关的电源芯片产品。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问题五：公司在适配器方面的业务有什么指引吗？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答：公司在适配器电源管理芯片领域处于国内领先地位，2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023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年公司还推出了全集成方案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POWERQUARK®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系列，推动适配器小型化/集成化的发展进程。今年一季度，公司在适配器类的电源管理芯片业务收入同比大幅成长，预计今年整体将保持高速成长的态势，未来与集成化方案相关的产品规模会持续扩大。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问题六：公司的毛利率水平未来会有什么变化吗？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答：毛利率显示了公司的综合竞争力，代表了公司为客户创造的价值、客户对产品的接受程度、与同业的竞争水平。公司今年一季度毛利率约4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2.58%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，与去年全年水平相当，在国内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行业中位居前列。毛利率的波动受到材料成本、产品价格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、下游需求等方面的影响，公司将维持创新研发能力，做好运营管理，以保持长期稳健的盈利水平。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问题七：公司在手机充电领域的优势是什么？</w:t>
            </w:r>
          </w:p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：从结果来看，公司在手机充电领域服务的均为市场排名前列的知名品牌客户，在竞争份额上也占据优势地位，客户、产品类别多元化，产品品质、创新、研发能力、成本、效率均受到客户高度认可。从行动上来看，公司在手机等消费电子领域的充电产品，公司采取系统化的研发设计思路，从客户角度出发匹配具体方案，能够为客户提供端到端的、全充电链路的产品服务，相较于目录类、单品类的同业公司，我们具备较强的为客户提供综合解决方案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附件清单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2024.0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.2</w:t>
            </w:r>
            <w:r>
              <w:rPr>
                <w:rFonts w:asciiTheme="minorEastAsia" w:hAnsiTheme="minorEastAsia" w:eastAsiaTheme="minorEastAsia" w:cstheme="minorEastAsia"/>
                <w:bCs/>
                <w:iCs/>
                <w:color w:val="000000"/>
                <w:sz w:val="24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YjIwYTFkMDUyN2RmOGI2OTNiMWRjYmY5MjBlYTUifQ=="/>
  </w:docVars>
  <w:rsids>
    <w:rsidRoot w:val="00DB361F"/>
    <w:rsid w:val="0000207D"/>
    <w:rsid w:val="00003F99"/>
    <w:rsid w:val="00005787"/>
    <w:rsid w:val="00005DB8"/>
    <w:rsid w:val="00050098"/>
    <w:rsid w:val="0006601A"/>
    <w:rsid w:val="000807FF"/>
    <w:rsid w:val="00082FEC"/>
    <w:rsid w:val="000866C5"/>
    <w:rsid w:val="000942B7"/>
    <w:rsid w:val="000E5184"/>
    <w:rsid w:val="000E548C"/>
    <w:rsid w:val="000F61D5"/>
    <w:rsid w:val="001207F7"/>
    <w:rsid w:val="001417C0"/>
    <w:rsid w:val="001716D1"/>
    <w:rsid w:val="00181B65"/>
    <w:rsid w:val="001A2E1E"/>
    <w:rsid w:val="001A58C8"/>
    <w:rsid w:val="001D3494"/>
    <w:rsid w:val="00232CE1"/>
    <w:rsid w:val="002523B2"/>
    <w:rsid w:val="00253401"/>
    <w:rsid w:val="0026626D"/>
    <w:rsid w:val="00274AEA"/>
    <w:rsid w:val="00293E36"/>
    <w:rsid w:val="00295CED"/>
    <w:rsid w:val="002A2C74"/>
    <w:rsid w:val="002B1024"/>
    <w:rsid w:val="002C0BE7"/>
    <w:rsid w:val="002D7C22"/>
    <w:rsid w:val="002F3005"/>
    <w:rsid w:val="002F732A"/>
    <w:rsid w:val="003035EA"/>
    <w:rsid w:val="00311550"/>
    <w:rsid w:val="003526F4"/>
    <w:rsid w:val="003609BA"/>
    <w:rsid w:val="003C6B6E"/>
    <w:rsid w:val="003E70FC"/>
    <w:rsid w:val="004212F8"/>
    <w:rsid w:val="004333C0"/>
    <w:rsid w:val="0043582B"/>
    <w:rsid w:val="004425F0"/>
    <w:rsid w:val="00443176"/>
    <w:rsid w:val="00476C44"/>
    <w:rsid w:val="0048147C"/>
    <w:rsid w:val="00483415"/>
    <w:rsid w:val="004A256D"/>
    <w:rsid w:val="004D618C"/>
    <w:rsid w:val="004D6884"/>
    <w:rsid w:val="004F27C6"/>
    <w:rsid w:val="004F490D"/>
    <w:rsid w:val="00506E21"/>
    <w:rsid w:val="005A58C7"/>
    <w:rsid w:val="005D164B"/>
    <w:rsid w:val="00601539"/>
    <w:rsid w:val="006118B8"/>
    <w:rsid w:val="00617C4D"/>
    <w:rsid w:val="00630DC4"/>
    <w:rsid w:val="00647B49"/>
    <w:rsid w:val="006508FF"/>
    <w:rsid w:val="00652AE8"/>
    <w:rsid w:val="006903D5"/>
    <w:rsid w:val="006A7188"/>
    <w:rsid w:val="006A78DE"/>
    <w:rsid w:val="006B50D7"/>
    <w:rsid w:val="006D1A0A"/>
    <w:rsid w:val="00752966"/>
    <w:rsid w:val="00765A52"/>
    <w:rsid w:val="00775DC6"/>
    <w:rsid w:val="0079785A"/>
    <w:rsid w:val="007B4C98"/>
    <w:rsid w:val="0082594F"/>
    <w:rsid w:val="008A37DE"/>
    <w:rsid w:val="008A7F36"/>
    <w:rsid w:val="008B0754"/>
    <w:rsid w:val="008B2B95"/>
    <w:rsid w:val="008B5BCB"/>
    <w:rsid w:val="008E1595"/>
    <w:rsid w:val="008F58C2"/>
    <w:rsid w:val="00915602"/>
    <w:rsid w:val="00931DC8"/>
    <w:rsid w:val="00935350"/>
    <w:rsid w:val="009422D6"/>
    <w:rsid w:val="009552F0"/>
    <w:rsid w:val="009735CB"/>
    <w:rsid w:val="00990069"/>
    <w:rsid w:val="009967E3"/>
    <w:rsid w:val="009A490D"/>
    <w:rsid w:val="009B0B11"/>
    <w:rsid w:val="009B5410"/>
    <w:rsid w:val="009E743C"/>
    <w:rsid w:val="00A22CF2"/>
    <w:rsid w:val="00A6539A"/>
    <w:rsid w:val="00A80CD4"/>
    <w:rsid w:val="00AA4AE1"/>
    <w:rsid w:val="00AB5EB6"/>
    <w:rsid w:val="00AB614A"/>
    <w:rsid w:val="00AC7C57"/>
    <w:rsid w:val="00AE1BD9"/>
    <w:rsid w:val="00AE4ED3"/>
    <w:rsid w:val="00AF0FBF"/>
    <w:rsid w:val="00B06767"/>
    <w:rsid w:val="00B10690"/>
    <w:rsid w:val="00B26A5B"/>
    <w:rsid w:val="00B63D0B"/>
    <w:rsid w:val="00B86853"/>
    <w:rsid w:val="00B87C49"/>
    <w:rsid w:val="00B9496C"/>
    <w:rsid w:val="00BD546F"/>
    <w:rsid w:val="00C0549C"/>
    <w:rsid w:val="00C213AF"/>
    <w:rsid w:val="00C602C5"/>
    <w:rsid w:val="00CA7104"/>
    <w:rsid w:val="00CF1F10"/>
    <w:rsid w:val="00D039FA"/>
    <w:rsid w:val="00D75134"/>
    <w:rsid w:val="00D82D04"/>
    <w:rsid w:val="00DA041C"/>
    <w:rsid w:val="00DA1507"/>
    <w:rsid w:val="00DA4F8C"/>
    <w:rsid w:val="00DA571E"/>
    <w:rsid w:val="00DB361F"/>
    <w:rsid w:val="00DB57E1"/>
    <w:rsid w:val="00DF7197"/>
    <w:rsid w:val="00E027A6"/>
    <w:rsid w:val="00E1377C"/>
    <w:rsid w:val="00E339FA"/>
    <w:rsid w:val="00E44854"/>
    <w:rsid w:val="00E52443"/>
    <w:rsid w:val="00E62738"/>
    <w:rsid w:val="00E733DE"/>
    <w:rsid w:val="00EB0D2E"/>
    <w:rsid w:val="00EC0581"/>
    <w:rsid w:val="00ED430E"/>
    <w:rsid w:val="00EF6B08"/>
    <w:rsid w:val="00F0055B"/>
    <w:rsid w:val="00F052AC"/>
    <w:rsid w:val="00F46F9B"/>
    <w:rsid w:val="00F514E1"/>
    <w:rsid w:val="00F70539"/>
    <w:rsid w:val="00F73414"/>
    <w:rsid w:val="00F84267"/>
    <w:rsid w:val="00FB0C94"/>
    <w:rsid w:val="00FB672F"/>
    <w:rsid w:val="00FE0936"/>
    <w:rsid w:val="00FF740D"/>
    <w:rsid w:val="030148E2"/>
    <w:rsid w:val="07372051"/>
    <w:rsid w:val="0C013541"/>
    <w:rsid w:val="1A397B11"/>
    <w:rsid w:val="1AEB2ADF"/>
    <w:rsid w:val="1B845309"/>
    <w:rsid w:val="1C9A4EF8"/>
    <w:rsid w:val="1EE16FC1"/>
    <w:rsid w:val="2C9C632F"/>
    <w:rsid w:val="2CF1033B"/>
    <w:rsid w:val="2DE71976"/>
    <w:rsid w:val="32CD2A10"/>
    <w:rsid w:val="36E83F1F"/>
    <w:rsid w:val="37F00807"/>
    <w:rsid w:val="3B992858"/>
    <w:rsid w:val="3E0076DA"/>
    <w:rsid w:val="407A652F"/>
    <w:rsid w:val="41214F7E"/>
    <w:rsid w:val="437B5CA9"/>
    <w:rsid w:val="450A4FEC"/>
    <w:rsid w:val="47975C19"/>
    <w:rsid w:val="4D7D0EEE"/>
    <w:rsid w:val="52E67B90"/>
    <w:rsid w:val="591946E0"/>
    <w:rsid w:val="5AD3266C"/>
    <w:rsid w:val="5F7A755A"/>
    <w:rsid w:val="65B732B6"/>
    <w:rsid w:val="67900A37"/>
    <w:rsid w:val="6B311141"/>
    <w:rsid w:val="6D4B2536"/>
    <w:rsid w:val="6EE23920"/>
    <w:rsid w:val="721B697B"/>
    <w:rsid w:val="73B34AD5"/>
    <w:rsid w:val="74F811F5"/>
    <w:rsid w:val="75B3511C"/>
    <w:rsid w:val="77866F8C"/>
    <w:rsid w:val="7B9C6183"/>
    <w:rsid w:val="7CD51896"/>
    <w:rsid w:val="7FB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6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Table Text"/>
    <w:basedOn w:val="1"/>
    <w:autoRedefine/>
    <w:semiHidden/>
    <w:qFormat/>
    <w:uiPriority w:val="0"/>
    <w:rPr>
      <w:rFonts w:ascii="宋体" w:hAnsi="宋体" w:cs="宋体"/>
      <w:sz w:val="24"/>
      <w:lang w:eastAsia="en-US"/>
    </w:rPr>
  </w:style>
  <w:style w:type="table" w:customStyle="1" w:styleId="1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4A24-B13B-4FC4-AA0A-64C07CACA3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1657</Words>
  <Characters>1761</Characters>
  <Lines>13</Lines>
  <Paragraphs>3</Paragraphs>
  <TotalTime>142</TotalTime>
  <ScaleCrop>false</ScaleCrop>
  <LinksUpToDate>false</LinksUpToDate>
  <CharactersWithSpaces>1891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2020-04-26T08:00:00Z</dcterms:created>
  <dc:creator>skd004</dc:creator>
  <cp:lastModifiedBy>WR</cp:lastModifiedBy>
  <dcterms:modified xsi:type="dcterms:W3CDTF">2024-05-24T07:55:29Z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0809A43D051F4196A44E09FF5B1821B0_13</vt:lpwstr>
  </property>
</Properties>
</file>