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0" w:firstLineChars="0"/>
        <w:rPr>
          <w:rFonts w:ascii="宋体" w:hAnsi="宋体"/>
          <w:bCs/>
          <w:iCs/>
          <w:color w:val="000000"/>
          <w:szCs w:val="22"/>
        </w:rPr>
      </w:pPr>
      <w:r>
        <w:rPr>
          <w:rFonts w:hint="eastAsia" w:ascii="宋体" w:hAnsi="宋体"/>
          <w:bCs/>
          <w:iCs/>
          <w:color w:val="000000"/>
          <w:szCs w:val="22"/>
        </w:rPr>
        <w:t>证券代码：</w:t>
      </w:r>
      <w:r>
        <w:rPr>
          <w:rFonts w:ascii="宋体" w:hAnsi="宋体"/>
          <w:bCs/>
          <w:iCs/>
          <w:color w:val="000000"/>
          <w:szCs w:val="22"/>
        </w:rPr>
        <w:t>688273</w:t>
      </w:r>
      <w:r>
        <w:rPr>
          <w:rFonts w:hint="eastAsia" w:ascii="宋体" w:hAnsi="宋体"/>
          <w:bCs/>
          <w:iCs/>
          <w:color w:val="000000"/>
          <w:szCs w:val="22"/>
        </w:rPr>
        <w:t xml:space="preserve">                           </w:t>
      </w:r>
      <w:r>
        <w:rPr>
          <w:rFonts w:ascii="宋体" w:hAnsi="宋体"/>
          <w:bCs/>
          <w:iCs/>
          <w:color w:val="000000"/>
          <w:szCs w:val="22"/>
        </w:rPr>
        <w:t xml:space="preserve">      </w:t>
      </w:r>
      <w:r>
        <w:rPr>
          <w:rFonts w:hint="eastAsia" w:ascii="宋体" w:hAnsi="宋体"/>
          <w:bCs/>
          <w:iCs/>
          <w:color w:val="000000"/>
          <w:szCs w:val="22"/>
        </w:rPr>
        <w:t xml:space="preserve">    证券简称：麦澜德</w:t>
      </w:r>
    </w:p>
    <w:p>
      <w:pPr>
        <w:ind w:firstLine="0" w:firstLineChars="0"/>
        <w:jc w:val="center"/>
        <w:rPr>
          <w:rFonts w:ascii="宋体" w:hAnsi="宋体"/>
          <w:b/>
          <w:bCs/>
          <w:iCs/>
          <w:color w:val="000000"/>
        </w:rPr>
      </w:pPr>
      <w:r>
        <w:rPr>
          <w:rFonts w:hint="eastAsia" w:ascii="宋体" w:hAnsi="宋体"/>
          <w:b/>
          <w:bCs/>
          <w:iCs/>
          <w:color w:val="000000"/>
          <w:sz w:val="28"/>
          <w:szCs w:val="28"/>
        </w:rPr>
        <w:t>南京麦澜德医疗科技股份有限公司投资者关系活动记录表</w:t>
      </w:r>
    </w:p>
    <w:p>
      <w:pPr>
        <w:ind w:firstLine="0" w:firstLineChars="0"/>
        <w:jc w:val="center"/>
        <w:rPr>
          <w:rFonts w:ascii="宋体" w:hAnsi="宋体"/>
          <w:b/>
          <w:bCs/>
          <w:iCs/>
          <w:color w:val="000000"/>
        </w:rPr>
      </w:pPr>
      <w:r>
        <w:rPr>
          <w:rFonts w:hint="eastAsia" w:ascii="宋体" w:hAnsi="宋体"/>
          <w:b/>
          <w:bCs/>
          <w:iCs/>
          <w:color w:val="000000"/>
        </w:rPr>
        <w:t>（2024年</w:t>
      </w:r>
      <w:r>
        <w:rPr>
          <w:rFonts w:ascii="宋体" w:hAnsi="宋体"/>
          <w:b/>
          <w:bCs/>
          <w:iCs/>
          <w:color w:val="000000"/>
        </w:rPr>
        <w:t>5</w:t>
      </w:r>
      <w:r>
        <w:rPr>
          <w:rFonts w:hint="eastAsia" w:ascii="宋体" w:hAnsi="宋体"/>
          <w:b/>
          <w:bCs/>
          <w:iCs/>
          <w:color w:val="000000"/>
        </w:rPr>
        <w:t>月27日）</w:t>
      </w:r>
    </w:p>
    <w:tbl>
      <w:tblPr>
        <w:tblStyle w:val="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rPr>
                <w:bCs/>
                <w:iCs/>
                <w:color w:val="000000"/>
              </w:rPr>
            </w:pPr>
            <w:r>
              <w:rPr>
                <w:bCs/>
                <w:iCs/>
                <w:color w:val="000000"/>
              </w:rPr>
              <w:t xml:space="preserve">                                                  投资者关系活动类别</w:t>
            </w:r>
          </w:p>
          <w:p>
            <w:pPr>
              <w:ind w:firstLine="0" w:firstLineChars="0"/>
              <w:rPr>
                <w:bCs/>
                <w:iCs/>
                <w:color w:val="000000"/>
              </w:rPr>
            </w:pP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bCs/>
                <w:iCs/>
                <w:color w:val="000000"/>
              </w:rPr>
            </w:pPr>
            <w:r>
              <w:rPr>
                <w:bCs/>
                <w:iCs/>
                <w:color w:val="000000"/>
              </w:rPr>
              <w:sym w:font="Wingdings 2" w:char="0052"/>
            </w:r>
            <w:r>
              <w:t xml:space="preserve">特定对象调研       </w:t>
            </w:r>
            <w:r>
              <w:rPr>
                <w:bCs/>
                <w:iCs/>
                <w:color w:val="000000"/>
              </w:rPr>
              <w:sym w:font="Wingdings 2" w:char="00A3"/>
            </w:r>
            <w:r>
              <w:t>分析师会议</w:t>
            </w:r>
          </w:p>
          <w:p>
            <w:pPr>
              <w:spacing w:line="480" w:lineRule="atLeast"/>
              <w:ind w:firstLine="0" w:firstLineChars="0"/>
              <w:rPr>
                <w:bCs/>
                <w:iCs/>
                <w:color w:val="000000"/>
              </w:rPr>
            </w:pPr>
            <w:r>
              <w:rPr>
                <w:bCs/>
                <w:iCs/>
                <w:color w:val="000000"/>
              </w:rPr>
              <w:sym w:font="Wingdings 2" w:char="00A3"/>
            </w:r>
            <w:r>
              <w:t xml:space="preserve">媒体采访            </w:t>
            </w:r>
            <w:r>
              <w:rPr>
                <w:bCs/>
                <w:iCs/>
                <w:color w:val="000000"/>
              </w:rPr>
              <w:sym w:font="Wingdings 2" w:char="00A3"/>
            </w:r>
            <w:r>
              <w:t>业绩说明会</w:t>
            </w:r>
          </w:p>
          <w:p>
            <w:pPr>
              <w:spacing w:line="480" w:lineRule="atLeast"/>
              <w:ind w:firstLine="0" w:firstLineChars="0"/>
              <w:rPr>
                <w:bCs/>
                <w:iCs/>
                <w:color w:val="000000"/>
              </w:rPr>
            </w:pPr>
            <w:r>
              <w:rPr>
                <w:bCs/>
                <w:iCs/>
                <w:color w:val="000000"/>
              </w:rPr>
              <w:sym w:font="Wingdings 2" w:char="00A3"/>
            </w:r>
            <w:r>
              <w:t xml:space="preserve">新闻发布会          </w:t>
            </w:r>
            <w:r>
              <w:rPr>
                <w:bCs/>
                <w:iCs/>
                <w:color w:val="000000"/>
              </w:rPr>
              <w:sym w:font="Wingdings 2" w:char="00A3"/>
            </w:r>
            <w:r>
              <w:t>路演活动</w:t>
            </w:r>
          </w:p>
          <w:p>
            <w:pPr>
              <w:tabs>
                <w:tab w:val="left" w:pos="3045"/>
                <w:tab w:val="center" w:pos="3199"/>
              </w:tabs>
              <w:spacing w:line="480" w:lineRule="atLeast"/>
              <w:ind w:firstLine="0" w:firstLineChars="0"/>
              <w:rPr>
                <w:bCs/>
                <w:iCs/>
                <w:color w:val="000000"/>
              </w:rPr>
            </w:pPr>
            <w:r>
              <w:rPr>
                <w:bCs/>
                <w:iCs/>
                <w:color w:val="000000"/>
              </w:rPr>
              <w:sym w:font="Wingdings 2" w:char="0052"/>
            </w:r>
            <w:r>
              <w:t>现场参观</w:t>
            </w:r>
            <w:r>
              <w:rPr>
                <w:bCs/>
                <w:iCs/>
                <w:color w:val="000000"/>
              </w:rPr>
              <w:tab/>
            </w:r>
          </w:p>
          <w:p>
            <w:pPr>
              <w:tabs>
                <w:tab w:val="center" w:pos="3199"/>
              </w:tabs>
              <w:spacing w:line="480" w:lineRule="atLeast"/>
              <w:ind w:firstLine="0" w:firstLineChars="0"/>
              <w:rPr>
                <w:bCs/>
                <w:iCs/>
                <w:color w:val="000000"/>
                <w:u w:val="single"/>
              </w:rPr>
            </w:pPr>
            <w:r>
              <w:rPr>
                <w:bCs/>
                <w:iCs/>
                <w:color w:val="000000"/>
              </w:rPr>
              <w:sym w:font="Wingdings 2" w:char="00A3"/>
            </w:r>
            <w: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参与单位名称</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bCs/>
                <w:iCs/>
                <w:color w:val="000000"/>
              </w:rPr>
            </w:pPr>
            <w:r>
              <w:rPr>
                <w:rFonts w:ascii="宋体" w:hAnsi="宋体" w:cs="宋体"/>
              </w:rPr>
              <w:t>共54家机构，74位参与人员</w:t>
            </w:r>
            <w:r>
              <w:rPr>
                <w:rFonts w:ascii="宋体" w:hAnsi="宋体" w:cs="宋体"/>
              </w:rPr>
              <w:br w:type="textWrapping"/>
            </w:r>
            <w:r>
              <w:rPr>
                <w:rFonts w:ascii="宋体" w:hAnsi="宋体" w:cs="宋体"/>
              </w:rPr>
              <w:t>Brilliance</w:t>
            </w:r>
            <w:r>
              <w:rPr>
                <w:rFonts w:hint="eastAsia" w:ascii="宋体" w:hAnsi="宋体" w:cs="宋体"/>
              </w:rPr>
              <w:t xml:space="preserve"> </w:t>
            </w:r>
            <w:r>
              <w:rPr>
                <w:rFonts w:ascii="宋体" w:hAnsi="宋体" w:cs="宋体"/>
              </w:rPr>
              <w:t>Asset</w:t>
            </w:r>
            <w:r>
              <w:rPr>
                <w:rFonts w:hint="eastAsia" w:ascii="宋体" w:hAnsi="宋体" w:cs="宋体"/>
              </w:rPr>
              <w:t xml:space="preserve"> </w:t>
            </w:r>
            <w:r>
              <w:rPr>
                <w:rFonts w:ascii="宋体" w:hAnsi="宋体" w:cs="宋体"/>
              </w:rPr>
              <w:t>Management</w:t>
            </w:r>
            <w:r>
              <w:rPr>
                <w:rFonts w:hint="eastAsia" w:ascii="宋体" w:hAnsi="宋体" w:cs="宋体"/>
              </w:rPr>
              <w:t xml:space="preserve"> </w:t>
            </w:r>
            <w:r>
              <w:rPr>
                <w:rFonts w:ascii="宋体" w:hAnsi="宋体" w:cs="宋体"/>
              </w:rPr>
              <w:t>Limited、nb公募、博衍基金、东吴基金、东吴证券、富国基金、光大保德信、光大理财、国海证券、国泰基金、国新证券、国信证券、国赞投资、和聚私募基金、鹤禧投资、华安基金、华福医药、华商基金、金信基金、进门财经、景顺长城基金、景泰利丰、君和资本、民生加银基金、南京证券、南通天合投资、宁银理财、平安理财、平安资管、上海呈瑞投资、上海睿亿投资、上海域秀投资、深圳市前海辰星、深圳市尚诚资管</w:t>
            </w:r>
            <w:r>
              <w:rPr>
                <w:rFonts w:hint="eastAsia" w:ascii="宋体" w:hAnsi="宋体" w:cs="宋体"/>
              </w:rPr>
              <w:t>、</w:t>
            </w:r>
            <w:r>
              <w:rPr>
                <w:rFonts w:ascii="宋体" w:hAnsi="宋体" w:cs="宋体"/>
              </w:rPr>
              <w:t>深圳市正德泰投资、泰信基金、天风证券、通用技术资本、万家基金、万通投资、西安睿银投资、湘财证券、新华人寿保险、鑫诺嘉誉投资、幸福人寿、浙商证券、正圆私募基金、知恩资本、中航基金、中金公司、中泰证券、中信建投、中信证券、中邮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时间</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Cs/>
                <w:iCs/>
                <w:color w:val="000000"/>
              </w:rPr>
            </w:pPr>
            <w:r>
              <w:rPr>
                <w:bCs/>
                <w:iCs/>
                <w:color w:val="000000"/>
              </w:rPr>
              <w:t>202</w:t>
            </w:r>
            <w:r>
              <w:rPr>
                <w:rFonts w:hint="eastAsia"/>
                <w:bCs/>
                <w:iCs/>
                <w:color w:val="000000"/>
              </w:rPr>
              <w:t>4</w:t>
            </w:r>
            <w:r>
              <w:rPr>
                <w:bCs/>
                <w:iCs/>
                <w:color w:val="000000"/>
              </w:rPr>
              <w:t>年5月</w:t>
            </w:r>
            <w:r>
              <w:rPr>
                <w:rFonts w:hint="eastAsia"/>
                <w:bCs/>
                <w:iCs/>
                <w:color w:val="000000"/>
              </w:rPr>
              <w:t>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地点（形式）</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Cs/>
                <w:iCs/>
                <w:color w:val="000000"/>
              </w:rPr>
            </w:pPr>
            <w:r>
              <w:rPr>
                <w:rFonts w:ascii="宋体" w:hAnsi="宋体" w:cs="宋体"/>
              </w:rPr>
              <w:t>麦澜德大厦、进门财经APP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上市公司接待人员姓名</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bCs/>
                <w:iCs/>
                <w:color w:val="000000"/>
              </w:rPr>
            </w:pPr>
            <w:r>
              <w:rPr>
                <w:rFonts w:hint="eastAsia"/>
                <w:bCs/>
                <w:iCs/>
                <w:color w:val="000000"/>
              </w:rPr>
              <w:t>董事长、总经理  杨瑞嘉</w:t>
            </w:r>
          </w:p>
          <w:p>
            <w:pPr>
              <w:spacing w:line="480" w:lineRule="atLeast"/>
              <w:ind w:firstLine="0" w:firstLineChars="0"/>
              <w:rPr>
                <w:bCs/>
                <w:iCs/>
                <w:color w:val="000000"/>
              </w:rPr>
            </w:pPr>
            <w:r>
              <w:rPr>
                <w:bCs/>
                <w:iCs/>
                <w:color w:val="000000"/>
              </w:rPr>
              <w:t>副总经理、董事会秘书  陈江宁</w:t>
            </w:r>
          </w:p>
          <w:p>
            <w:pPr>
              <w:spacing w:line="480" w:lineRule="atLeast"/>
              <w:ind w:firstLine="0" w:firstLineChars="0"/>
              <w:rPr>
                <w:bCs/>
                <w:iCs/>
                <w:color w:val="000000"/>
              </w:rPr>
            </w:pPr>
            <w:r>
              <w:rPr>
                <w:rFonts w:hint="eastAsia"/>
                <w:bCs/>
                <w:iCs/>
                <w:color w:val="000000"/>
              </w:rPr>
              <w:t>财务</w:t>
            </w:r>
            <w:r>
              <w:rPr>
                <w:bCs/>
                <w:iCs/>
                <w:color w:val="000000"/>
              </w:rPr>
              <w:t xml:space="preserve">总监  </w:t>
            </w:r>
            <w:r>
              <w:rPr>
                <w:rFonts w:hint="eastAsia"/>
                <w:bCs/>
                <w:iCs/>
                <w:color w:val="000000"/>
              </w:rPr>
              <w:t>徐宁</w:t>
            </w:r>
          </w:p>
          <w:p>
            <w:pPr>
              <w:spacing w:line="480" w:lineRule="atLeast"/>
              <w:ind w:firstLine="0" w:firstLineChars="0"/>
              <w:rPr>
                <w:bCs/>
                <w:iCs/>
                <w:color w:val="000000"/>
              </w:rPr>
            </w:pPr>
            <w:r>
              <w:rPr>
                <w:rFonts w:hint="eastAsia"/>
                <w:bCs/>
                <w:iCs/>
                <w:color w:val="000000"/>
              </w:rPr>
              <w:t>产品总监  高雷</w:t>
            </w:r>
          </w:p>
          <w:p>
            <w:pPr>
              <w:spacing w:line="480" w:lineRule="atLeast"/>
              <w:ind w:firstLine="0" w:firstLineChars="0"/>
              <w:rPr>
                <w:bCs/>
                <w:iCs/>
                <w:color w:val="000000"/>
              </w:rPr>
            </w:pPr>
            <w:r>
              <w:rPr>
                <w:rFonts w:hint="eastAsia"/>
                <w:bCs/>
                <w:iCs/>
                <w:color w:val="000000"/>
              </w:rPr>
              <w:t>高级产品经理  刘庆</w:t>
            </w:r>
          </w:p>
          <w:p>
            <w:pPr>
              <w:spacing w:line="480" w:lineRule="atLeast"/>
              <w:ind w:firstLine="0" w:firstLineChars="0"/>
              <w:rPr>
                <w:bCs/>
                <w:iCs/>
                <w:color w:val="000000"/>
              </w:rPr>
            </w:pPr>
            <w:r>
              <w:rPr>
                <w:bCs/>
                <w:iCs/>
                <w:color w:val="000000"/>
              </w:rPr>
              <w:t>证券代表  倪清清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投资者关系活动主要内容介绍</w:t>
            </w:r>
          </w:p>
          <w:p>
            <w:pPr>
              <w:ind w:firstLine="0" w:firstLineChars="0"/>
              <w:rPr>
                <w:bCs/>
                <w:iCs/>
                <w:color w:val="000000"/>
              </w:rPr>
            </w:pP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482"/>
              <w:rPr>
                <w:b/>
                <w:bCs/>
                <w:iCs/>
              </w:rPr>
            </w:pPr>
            <w:r>
              <w:rPr>
                <w:b/>
                <w:bCs/>
                <w:iCs/>
              </w:rPr>
              <w:t>一、</w:t>
            </w:r>
            <w:r>
              <w:rPr>
                <w:rFonts w:hint="eastAsia"/>
                <w:b/>
                <w:bCs/>
                <w:iCs/>
              </w:rPr>
              <w:t>董事长、总经理杨瑞嘉带领投资者参观公司一楼展厅，介绍公司</w:t>
            </w:r>
            <w:r>
              <w:rPr>
                <w:b/>
                <w:bCs/>
                <w:iCs/>
              </w:rPr>
              <w:t>2024</w:t>
            </w:r>
            <w:r>
              <w:rPr>
                <w:rFonts w:hint="eastAsia"/>
                <w:b/>
                <w:bCs/>
                <w:iCs/>
              </w:rPr>
              <w:t>年</w:t>
            </w:r>
            <w:r>
              <w:rPr>
                <w:b/>
                <w:bCs/>
                <w:iCs/>
              </w:rPr>
              <w:t>3</w:t>
            </w:r>
            <w:r>
              <w:rPr>
                <w:rFonts w:hint="eastAsia"/>
                <w:b/>
                <w:bCs/>
                <w:iCs/>
              </w:rPr>
              <w:t>月发布的新产品“磁电热影·智融</w:t>
            </w:r>
            <w:r>
              <w:rPr>
                <w:b/>
                <w:bCs/>
                <w:iCs/>
              </w:rPr>
              <w:t>PI-ONE</w:t>
            </w:r>
            <w:r>
              <w:rPr>
                <w:rFonts w:hint="eastAsia"/>
                <w:b/>
                <w:bCs/>
                <w:iCs/>
              </w:rPr>
              <w:t>”盆底诊疗系统；</w:t>
            </w:r>
          </w:p>
          <w:p>
            <w:pPr>
              <w:spacing w:line="480" w:lineRule="atLeast"/>
              <w:ind w:firstLine="482"/>
              <w:rPr>
                <w:b/>
                <w:bCs/>
                <w:iCs/>
              </w:rPr>
            </w:pPr>
            <w:r>
              <w:rPr>
                <w:rFonts w:hint="eastAsia"/>
                <w:b/>
                <w:bCs/>
                <w:iCs/>
              </w:rPr>
              <w:t>二、董事长、总经理杨瑞嘉就公司业务板块与主营产品、核心价值与竞争力、战略规划与布局等内容进行分享；</w:t>
            </w:r>
          </w:p>
          <w:p>
            <w:pPr>
              <w:spacing w:line="480" w:lineRule="atLeast"/>
              <w:ind w:firstLine="480"/>
              <w:rPr>
                <w:iCs/>
              </w:rPr>
            </w:pPr>
            <w:r>
              <w:rPr>
                <w:rFonts w:hint="eastAsia"/>
                <w:iCs/>
              </w:rPr>
              <w:t>麦澜德，聚焦女性全生命周期健康和美的物理康复干预技术，致力于为女性全生命周期常见病、多发病提供从预防、筛查、诊断、治疗以及康复全病程智能化诊疗的完整解决方案。2024年3月，入选工信部第八批制造业单项冠军企业。</w:t>
            </w:r>
          </w:p>
          <w:p>
            <w:pPr>
              <w:spacing w:line="480" w:lineRule="atLeast"/>
              <w:ind w:firstLine="482"/>
              <w:rPr>
                <w:iCs/>
              </w:rPr>
            </w:pPr>
            <w:r>
              <w:rPr>
                <w:rFonts w:hint="eastAsia"/>
                <w:b/>
                <w:bCs/>
                <w:iCs/>
              </w:rPr>
              <w:t>业务板块与主营产品方面：</w:t>
            </w:r>
            <w:r>
              <w:rPr>
                <w:rFonts w:hint="eastAsia"/>
                <w:iCs/>
              </w:rPr>
              <w:t>麦澜德围绕女性全生命周期健康和美的诉求，结合市场现状和行业技术痛点，围绕“声光电热磁”五大技术平台，推出女性全生命周期“康美解决方案”。2024年1月，公司与卫健委科研所签约合作女性（Female）全生命周期物理（Physical）康复技术（Rehabilitation）项目（简称“FPR项目”）依托卫健委科研所力量，通过FPR项目普及女性全生命周期适宜物理技术，提升相关领域诊疗水平。</w:t>
            </w:r>
          </w:p>
          <w:p>
            <w:pPr>
              <w:numPr>
                <w:ilvl w:val="0"/>
                <w:numId w:val="0"/>
              </w:numPr>
              <w:spacing w:line="480" w:lineRule="atLeast"/>
              <w:ind w:firstLine="480"/>
              <w:rPr>
                <w:rFonts w:hint="eastAsia"/>
                <w:iCs/>
              </w:rPr>
            </w:pPr>
            <w:r>
              <w:rPr>
                <w:rFonts w:hint="eastAsia"/>
                <w:iCs/>
              </w:rPr>
              <w:t>2024年3月，麦澜德在盆底康复板块全面升级焕新，推出“磁电热影·智融</w:t>
            </w:r>
            <w:r>
              <w:rPr>
                <w:iCs/>
              </w:rPr>
              <w:t>PI-ONE</w:t>
            </w:r>
            <w:r>
              <w:rPr>
                <w:rFonts w:hint="eastAsia"/>
                <w:iCs/>
              </w:rPr>
              <w:t>”盆底智能诊疗系统，完成从产品解决方案到场景化解决方案的进化；同时投入女性抗衰板块，推行由内而外抗衰整体解决方案，从生殖抗衰延伸至面部抗衰。</w:t>
            </w:r>
          </w:p>
          <w:p>
            <w:pPr>
              <w:numPr>
                <w:ilvl w:val="0"/>
                <w:numId w:val="0"/>
              </w:numPr>
              <w:spacing w:line="480" w:lineRule="atLeast"/>
              <w:ind w:firstLine="480"/>
              <w:rPr>
                <w:iCs/>
              </w:rPr>
            </w:pPr>
            <w:r>
              <w:rPr>
                <w:rFonts w:hint="eastAsia"/>
                <w:b/>
                <w:bCs/>
                <w:iCs/>
              </w:rPr>
              <w:t>在核心价值与竞争力方面，</w:t>
            </w:r>
            <w:r>
              <w:rPr>
                <w:rFonts w:hint="eastAsia"/>
                <w:iCs/>
              </w:rPr>
              <w:t>公司产品融合了“声光电热磁”关键核心技术、智能决策系统及检测治疗一体化方案，打造了细分场景诊疗一体化产品解决矩阵，持续推动麦澜德“世界级专注于女性健康和美的医疗健康公司”愿景的落地。</w:t>
            </w:r>
          </w:p>
          <w:p>
            <w:pPr>
              <w:spacing w:line="480" w:lineRule="atLeast"/>
              <w:ind w:firstLine="480"/>
              <w:rPr>
                <w:b/>
                <w:bCs/>
                <w:iCs/>
              </w:rPr>
            </w:pPr>
            <w:r>
              <w:rPr>
                <w:rFonts w:hint="eastAsia"/>
                <w:iCs/>
              </w:rPr>
              <w:t>未来三年，公司将立足于盆底康复的基本盘，向“更严肃”及“更消费”两大领域发展。严肃医疗方面，持续聚焦女性全生命周期常见病、多发病的早筛查、早诊断、早治疗；消费医疗方面，积极布局家用医疗器械和抗衰领域，开展私密检测</w:t>
            </w:r>
            <w:r>
              <w:rPr>
                <w:iCs/>
              </w:rPr>
              <w:t>+</w:t>
            </w:r>
            <w:r>
              <w:rPr>
                <w:rFonts w:hint="eastAsia"/>
                <w:iCs/>
              </w:rPr>
              <w:t>抗衰、生殖</w:t>
            </w:r>
            <w:r>
              <w:rPr>
                <w:iCs/>
              </w:rPr>
              <w:t>+</w:t>
            </w:r>
            <w:r>
              <w:rPr>
                <w:rFonts w:hint="eastAsia"/>
                <w:iCs/>
              </w:rPr>
              <w:t>面部一体化解决方案，由内而外满足女性健康和美的需求。</w:t>
            </w:r>
          </w:p>
          <w:p>
            <w:pPr>
              <w:spacing w:line="480" w:lineRule="atLeast"/>
              <w:ind w:firstLine="482"/>
              <w:rPr>
                <w:b/>
                <w:iCs/>
              </w:rPr>
            </w:pPr>
            <w:r>
              <w:rPr>
                <w:rFonts w:hint="eastAsia"/>
                <w:b/>
                <w:iCs/>
              </w:rPr>
              <w:t>三、提问交流</w:t>
            </w:r>
          </w:p>
          <w:p>
            <w:pPr>
              <w:spacing w:line="480" w:lineRule="atLeast"/>
              <w:ind w:firstLine="482"/>
              <w:rPr>
                <w:b/>
                <w:iCs/>
              </w:rPr>
            </w:pPr>
            <w:r>
              <w:rPr>
                <w:rFonts w:hint="eastAsia"/>
                <w:b/>
                <w:iCs/>
              </w:rPr>
              <w:t>Q1：公司今年预期在保证盆底基本盘的情况下，同时扩大部署抗衰产品管线，人员及研发精力如何分配？</w:t>
            </w:r>
          </w:p>
          <w:p>
            <w:pPr>
              <w:spacing w:line="480" w:lineRule="atLeast"/>
              <w:ind w:firstLine="482"/>
              <w:rPr>
                <w:bCs/>
                <w:iCs/>
              </w:rPr>
            </w:pPr>
            <w:r>
              <w:rPr>
                <w:rFonts w:hint="eastAsia"/>
                <w:b/>
                <w:iCs/>
              </w:rPr>
              <w:t>答：</w:t>
            </w:r>
            <w:r>
              <w:rPr>
                <w:rFonts w:hint="eastAsia"/>
                <w:bCs/>
                <w:iCs/>
                <w:color w:val="000000"/>
              </w:rPr>
              <w:t>研发方面，经过十余年的底层技术开发沉淀和细分场景洞察经验，麦澜德已具备</w:t>
            </w:r>
            <w:r>
              <w:rPr>
                <w:rFonts w:hint="eastAsia"/>
                <w:bCs/>
                <w:iCs/>
              </w:rPr>
              <w:t>“声光电热磁”关键核心技术积累及丰富的诊疗一体化产品解决方案，技术上是相通的，我们只需要依据各个产品管线的特点将技术运用到不同的产品开发上，后续研发投入较为稳定，将主要用于产品产业化落地。</w:t>
            </w:r>
          </w:p>
          <w:p>
            <w:pPr>
              <w:spacing w:line="480" w:lineRule="atLeast"/>
              <w:ind w:firstLine="480"/>
              <w:rPr>
                <w:rFonts w:hint="eastAsia"/>
                <w:bCs/>
                <w:iCs/>
              </w:rPr>
            </w:pPr>
            <w:r>
              <w:rPr>
                <w:bCs/>
                <w:iCs/>
              </w:rPr>
              <w:t>在人员配置上，</w:t>
            </w:r>
            <w:r>
              <w:rPr>
                <w:rFonts w:hint="eastAsia"/>
                <w:bCs/>
                <w:iCs/>
              </w:rPr>
              <w:t>公司营销体系采用SBU制，</w:t>
            </w:r>
            <w:r>
              <w:rPr>
                <w:bCs/>
                <w:iCs/>
              </w:rPr>
              <w:t>让销售、运营、医学、产品及市场进行深度绑定，</w:t>
            </w:r>
            <w:r>
              <w:rPr>
                <w:rFonts w:hint="eastAsia"/>
                <w:bCs/>
                <w:iCs/>
              </w:rPr>
              <w:t>各业务条线各司其职，权责明确</w:t>
            </w:r>
            <w:r>
              <w:rPr>
                <w:bCs/>
                <w:iCs/>
              </w:rPr>
              <w:t>。</w:t>
            </w:r>
          </w:p>
          <w:p>
            <w:pPr>
              <w:spacing w:line="480" w:lineRule="atLeast"/>
              <w:ind w:firstLine="482"/>
              <w:rPr>
                <w:bCs/>
                <w:iCs/>
              </w:rPr>
            </w:pPr>
            <w:r>
              <w:rPr>
                <w:rFonts w:hint="eastAsia"/>
                <w:b/>
                <w:iCs/>
              </w:rPr>
              <w:t>Q2：今年下半年新产品预期销售情况？国家“以旧换新”政策对公司的利好会持续多久？</w:t>
            </w:r>
          </w:p>
          <w:p>
            <w:pPr>
              <w:spacing w:line="480" w:lineRule="atLeast"/>
              <w:ind w:firstLine="482"/>
              <w:rPr>
                <w:bCs/>
                <w:iCs/>
                <w:color w:val="000000"/>
              </w:rPr>
            </w:pPr>
            <w:r>
              <w:rPr>
                <w:rFonts w:hint="eastAsia"/>
                <w:b/>
                <w:iCs/>
                <w:color w:val="000000"/>
              </w:rPr>
              <w:t>答：</w:t>
            </w:r>
            <w:r>
              <w:rPr>
                <w:rFonts w:hint="eastAsia"/>
                <w:bCs/>
                <w:iCs/>
                <w:color w:val="000000"/>
              </w:rPr>
              <w:t>新产品按照既定的销售政策正在积极推广中，目前已有部分医院完成销售，预计二季度订单量环比增加。今年3月，国务院印发《推动大规模设备更新和消费品以旧换新行动方案》利好整体医疗器械行业。国家政策的制定实施周期较长，且为逐步推进的过程，预期影响将持续2-3年左右，在此期间公司将积极响应国家号召，抓住内外部机遇，从广度和深度双维拓展市场。</w:t>
            </w:r>
          </w:p>
          <w:p>
            <w:pPr>
              <w:spacing w:line="480" w:lineRule="atLeast"/>
              <w:ind w:firstLine="482"/>
              <w:rPr>
                <w:bCs/>
                <w:iCs/>
                <w:color w:val="000000"/>
              </w:rPr>
            </w:pPr>
            <w:r>
              <w:rPr>
                <w:rFonts w:hint="eastAsia"/>
                <w:b/>
                <w:iCs/>
              </w:rPr>
              <w:t>Q3：请问公司此前是否有成功的并购经验，具体如何实现投资并购后的整合工作？</w:t>
            </w:r>
          </w:p>
          <w:p>
            <w:pPr>
              <w:spacing w:line="480" w:lineRule="atLeast"/>
              <w:ind w:firstLine="482"/>
              <w:rPr>
                <w:bCs/>
                <w:iCs/>
                <w:color w:val="000000"/>
              </w:rPr>
            </w:pPr>
            <w:r>
              <w:rPr>
                <w:rFonts w:hint="eastAsia"/>
                <w:b/>
                <w:iCs/>
                <w:color w:val="000000"/>
              </w:rPr>
              <w:t>答：</w:t>
            </w:r>
            <w:r>
              <w:rPr>
                <w:rFonts w:hint="eastAsia"/>
                <w:bCs/>
                <w:iCs/>
                <w:color w:val="000000"/>
              </w:rPr>
              <w:t>麦澜德上市前，曾收购苏州欧宝祥精密科技有限公司、深圳一粟医疗科技有限公司，针对不同并购标的所处的不同发展阶段，公司采用不同的管理方式。核心理念是：人力及财务强掌控，其他职能板块因地制宜，及时赋能。一方面能够充分发挥既</w:t>
            </w:r>
            <w:bookmarkStart w:id="0" w:name="_GoBack"/>
            <w:bookmarkEnd w:id="0"/>
            <w:r>
              <w:rPr>
                <w:rFonts w:hint="eastAsia"/>
                <w:bCs/>
                <w:iCs/>
                <w:color w:val="000000"/>
              </w:rPr>
              <w:t>有团队的长处，另一方面，根据实际需要，适时提供研发支持、合规管理、资金规划、人才引进、管理架构升级、品牌建设等多方面的强力支持。此外，公司与上述并购标的均签订业绩承诺条款，制定相应的盈利要求。截至本回复日，欧宝祥、深圳一粟盈利水平良好，持续助力公司增长。</w:t>
            </w:r>
          </w:p>
          <w:p>
            <w:pPr>
              <w:spacing w:line="480" w:lineRule="atLeast"/>
              <w:ind w:firstLine="480"/>
              <w:rPr>
                <w:bCs/>
                <w:iCs/>
                <w:color w:val="000000"/>
              </w:rPr>
            </w:pPr>
            <w:r>
              <w:rPr>
                <w:rFonts w:hint="eastAsia"/>
                <w:bCs/>
                <w:iCs/>
                <w:color w:val="000000"/>
              </w:rPr>
              <w:t>最近12个月内，公司已完成奥通激光100%的股权收购以及小肤科技55%的股权收购事项；凭借自研和并购双轮驱动，以期快速拓展抗衰板块。公司有信心完成并购标的的整合管理工作，期望通过外延式发展策略这一重要手段助力公司快速拓展协同业务板块，以实现可持续健康发展。</w:t>
            </w:r>
          </w:p>
          <w:p>
            <w:pPr>
              <w:spacing w:line="480" w:lineRule="atLeast"/>
              <w:ind w:firstLine="482"/>
              <w:rPr>
                <w:bCs/>
                <w:iCs/>
                <w:color w:val="000000"/>
              </w:rPr>
            </w:pPr>
            <w:r>
              <w:rPr>
                <w:rFonts w:hint="eastAsia"/>
                <w:b/>
                <w:iCs/>
              </w:rPr>
              <w:t>Q</w:t>
            </w:r>
            <w:r>
              <w:rPr>
                <w:b/>
                <w:iCs/>
              </w:rPr>
              <w:t>4</w:t>
            </w:r>
            <w:r>
              <w:rPr>
                <w:rFonts w:hint="eastAsia"/>
                <w:b/>
                <w:iCs/>
              </w:rPr>
              <w:t>：公司战略“更严肃、更消费”的两大发展方向是否太零散？是否可以兼顾？</w:t>
            </w:r>
          </w:p>
          <w:p>
            <w:pPr>
              <w:spacing w:line="480" w:lineRule="atLeast"/>
              <w:ind w:firstLine="480"/>
              <w:rPr>
                <w:bCs/>
                <w:iCs/>
                <w:color w:val="000000"/>
              </w:rPr>
            </w:pPr>
            <w:r>
              <w:rPr>
                <w:rFonts w:hint="eastAsia"/>
                <w:bCs/>
                <w:iCs/>
                <w:color w:val="000000"/>
              </w:rPr>
              <w:t>答：公司“更严肃、更消费”的战略看似零散，实则聚焦。</w:t>
            </w:r>
          </w:p>
          <w:p>
            <w:pPr>
              <w:spacing w:line="480" w:lineRule="atLeast"/>
              <w:ind w:firstLine="480"/>
              <w:rPr>
                <w:bCs/>
                <w:iCs/>
                <w:color w:val="000000"/>
              </w:rPr>
            </w:pPr>
            <w:r>
              <w:rPr>
                <w:rFonts w:hint="eastAsia"/>
                <w:bCs/>
                <w:iCs/>
                <w:color w:val="000000"/>
              </w:rPr>
              <w:t>领域聚焦：麦澜德始终专注妇产领域，并购相关领域公司，打造妇产康复专属品牌力；</w:t>
            </w:r>
          </w:p>
          <w:p>
            <w:pPr>
              <w:spacing w:line="480" w:lineRule="atLeast"/>
              <w:ind w:firstLine="480"/>
              <w:rPr>
                <w:bCs/>
                <w:iCs/>
                <w:color w:val="000000"/>
              </w:rPr>
            </w:pPr>
            <w:r>
              <w:rPr>
                <w:rFonts w:hint="eastAsia"/>
                <w:bCs/>
                <w:iCs/>
                <w:color w:val="000000"/>
              </w:rPr>
              <w:t>技术聚焦：公司“更严肃、更消费”领域的关键核心技术均为“声光电热磁”的物理能量技术，技术相关性高；</w:t>
            </w:r>
          </w:p>
          <w:p>
            <w:pPr>
              <w:spacing w:line="480" w:lineRule="atLeast"/>
              <w:ind w:firstLine="480"/>
              <w:rPr>
                <w:bCs/>
                <w:iCs/>
              </w:rPr>
            </w:pPr>
            <w:r>
              <w:rPr>
                <w:rFonts w:hint="eastAsia"/>
                <w:bCs/>
                <w:iCs/>
                <w:color w:val="000000"/>
              </w:rPr>
              <w:t>营销聚焦：</w:t>
            </w:r>
            <w:r>
              <w:rPr>
                <w:rFonts w:hint="eastAsia"/>
                <w:bCs/>
                <w:iCs/>
              </w:rPr>
              <w:t>持续进行营销管理变革，</w:t>
            </w:r>
            <w:r>
              <w:rPr>
                <w:bCs/>
                <w:iCs/>
              </w:rPr>
              <w:t>按业务条线、销售区域、销售终端客户进行市场</w:t>
            </w:r>
            <w:r>
              <w:rPr>
                <w:rFonts w:hint="eastAsia"/>
                <w:bCs/>
                <w:iCs/>
              </w:rPr>
              <w:t>的精细化</w:t>
            </w:r>
            <w:r>
              <w:rPr>
                <w:bCs/>
                <w:iCs/>
              </w:rPr>
              <w:t>划分</w:t>
            </w:r>
            <w:r>
              <w:rPr>
                <w:rFonts w:hint="eastAsia"/>
                <w:bCs/>
                <w:iCs/>
              </w:rPr>
              <w:t>，</w:t>
            </w:r>
            <w:r>
              <w:rPr>
                <w:bCs/>
                <w:iCs/>
              </w:rPr>
              <w:t>完善</w:t>
            </w:r>
            <w:r>
              <w:rPr>
                <w:rFonts w:hint="eastAsia"/>
                <w:bCs/>
                <w:iCs/>
              </w:rPr>
              <w:t>营销体系；</w:t>
            </w:r>
          </w:p>
          <w:p>
            <w:pPr>
              <w:spacing w:line="480" w:lineRule="atLeast"/>
              <w:ind w:firstLine="480"/>
              <w:rPr>
                <w:bCs/>
                <w:iCs/>
              </w:rPr>
            </w:pPr>
            <w:r>
              <w:rPr>
                <w:rFonts w:hint="eastAsia"/>
                <w:bCs/>
                <w:iCs/>
              </w:rPr>
              <w:t>研发聚焦：研发团队聚焦特定方向，进行特定领域的技术更新迭代。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风险提示</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480"/>
              <w:rPr>
                <w:bCs/>
                <w:iCs/>
              </w:rPr>
            </w:pPr>
            <w:r>
              <w:rPr>
                <w:bCs/>
                <w:iCs/>
              </w:rPr>
              <w:t>以上如涉及对行业的预测、公司发展战略规划等相关内容，不能视作公司或公司管理层对行业、公司发展或业绩的承诺和保证，敬请广大投资者注意投资风险。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是否涉及应当披露重大信息</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ind w:firstLine="0" w:firstLineChars="0"/>
              <w:rPr>
                <w:bCs/>
                <w:iCs/>
              </w:rPr>
            </w:pPr>
            <w:r>
              <w:rPr>
                <w:bCs/>
                <w:i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bCs/>
                <w:iCs/>
                <w:color w:val="000000"/>
              </w:rPr>
            </w:pPr>
            <w:r>
              <w:rPr>
                <w:bCs/>
                <w:iCs/>
                <w:color w:val="000000"/>
              </w:rPr>
              <w:t>日期</w:t>
            </w:r>
          </w:p>
        </w:tc>
        <w:tc>
          <w:tcPr>
            <w:tcW w:w="70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bCs/>
                <w:iCs/>
                <w:color w:val="000000"/>
              </w:rPr>
            </w:pPr>
            <w:r>
              <w:rPr>
                <w:bCs/>
                <w:iCs/>
                <w:color w:val="000000"/>
              </w:rPr>
              <w:t>202</w:t>
            </w:r>
            <w:r>
              <w:rPr>
                <w:rFonts w:hint="eastAsia"/>
                <w:bCs/>
                <w:iCs/>
                <w:color w:val="000000"/>
              </w:rPr>
              <w:t>4</w:t>
            </w:r>
            <w:r>
              <w:rPr>
                <w:bCs/>
                <w:iCs/>
                <w:color w:val="000000"/>
              </w:rPr>
              <w:t>年5月</w:t>
            </w:r>
            <w:r>
              <w:rPr>
                <w:rFonts w:hint="eastAsia"/>
                <w:bCs/>
                <w:iCs/>
                <w:color w:val="000000"/>
              </w:rPr>
              <w:t>27</w:t>
            </w:r>
            <w:r>
              <w:rPr>
                <w:bCs/>
                <w:iCs/>
                <w:color w:val="000000"/>
              </w:rPr>
              <w:t>日</w:t>
            </w:r>
          </w:p>
        </w:tc>
      </w:tr>
    </w:tbl>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0OWUyNDZmNjMwMjJiZWMyNmQyNjJjMWE5MmRjYjYifQ=="/>
  </w:docVars>
  <w:rsids>
    <w:rsidRoot w:val="421A00E8"/>
    <w:rsid w:val="0000604E"/>
    <w:rsid w:val="0005269E"/>
    <w:rsid w:val="00063468"/>
    <w:rsid w:val="00077E67"/>
    <w:rsid w:val="00081CA4"/>
    <w:rsid w:val="000966EF"/>
    <w:rsid w:val="000A2D4D"/>
    <w:rsid w:val="000C6D5F"/>
    <w:rsid w:val="000F0489"/>
    <w:rsid w:val="00135185"/>
    <w:rsid w:val="001365C1"/>
    <w:rsid w:val="00155473"/>
    <w:rsid w:val="0015704E"/>
    <w:rsid w:val="0017012E"/>
    <w:rsid w:val="001A5D86"/>
    <w:rsid w:val="001D5C86"/>
    <w:rsid w:val="0021391B"/>
    <w:rsid w:val="00236A00"/>
    <w:rsid w:val="00237E79"/>
    <w:rsid w:val="0024415A"/>
    <w:rsid w:val="00263CFE"/>
    <w:rsid w:val="0027744C"/>
    <w:rsid w:val="002971E8"/>
    <w:rsid w:val="002A03E5"/>
    <w:rsid w:val="002B2A83"/>
    <w:rsid w:val="002C50F8"/>
    <w:rsid w:val="002D54CE"/>
    <w:rsid w:val="002E7B76"/>
    <w:rsid w:val="003154F4"/>
    <w:rsid w:val="0033461E"/>
    <w:rsid w:val="00351C53"/>
    <w:rsid w:val="0037010F"/>
    <w:rsid w:val="00390192"/>
    <w:rsid w:val="003D5FBB"/>
    <w:rsid w:val="003D65A8"/>
    <w:rsid w:val="003F1A1B"/>
    <w:rsid w:val="00414CC0"/>
    <w:rsid w:val="00485569"/>
    <w:rsid w:val="004C6129"/>
    <w:rsid w:val="004E3520"/>
    <w:rsid w:val="004F40B9"/>
    <w:rsid w:val="005122BC"/>
    <w:rsid w:val="00537400"/>
    <w:rsid w:val="005829F4"/>
    <w:rsid w:val="005C379B"/>
    <w:rsid w:val="005F3501"/>
    <w:rsid w:val="00603E07"/>
    <w:rsid w:val="00604039"/>
    <w:rsid w:val="006337EB"/>
    <w:rsid w:val="00634A02"/>
    <w:rsid w:val="006436B2"/>
    <w:rsid w:val="00677030"/>
    <w:rsid w:val="00681A16"/>
    <w:rsid w:val="006A01B1"/>
    <w:rsid w:val="006A2197"/>
    <w:rsid w:val="006B2597"/>
    <w:rsid w:val="007262B1"/>
    <w:rsid w:val="007328DC"/>
    <w:rsid w:val="00735407"/>
    <w:rsid w:val="00763270"/>
    <w:rsid w:val="00846FD9"/>
    <w:rsid w:val="0088448D"/>
    <w:rsid w:val="008D0FBF"/>
    <w:rsid w:val="008E3C20"/>
    <w:rsid w:val="008F77BB"/>
    <w:rsid w:val="0092118D"/>
    <w:rsid w:val="00926CA1"/>
    <w:rsid w:val="00954A0C"/>
    <w:rsid w:val="009677F3"/>
    <w:rsid w:val="009A2C82"/>
    <w:rsid w:val="009A7DD2"/>
    <w:rsid w:val="009D7198"/>
    <w:rsid w:val="00A22D29"/>
    <w:rsid w:val="00A26F73"/>
    <w:rsid w:val="00A33EBB"/>
    <w:rsid w:val="00A50F81"/>
    <w:rsid w:val="00A73B84"/>
    <w:rsid w:val="00A76B98"/>
    <w:rsid w:val="00AA021C"/>
    <w:rsid w:val="00AA23FA"/>
    <w:rsid w:val="00AD317C"/>
    <w:rsid w:val="00AD67E0"/>
    <w:rsid w:val="00AE190D"/>
    <w:rsid w:val="00B15B2F"/>
    <w:rsid w:val="00B26E56"/>
    <w:rsid w:val="00B314A3"/>
    <w:rsid w:val="00B367A4"/>
    <w:rsid w:val="00B37457"/>
    <w:rsid w:val="00B87D00"/>
    <w:rsid w:val="00BA4D2D"/>
    <w:rsid w:val="00BE217C"/>
    <w:rsid w:val="00C34692"/>
    <w:rsid w:val="00C40F6C"/>
    <w:rsid w:val="00C73805"/>
    <w:rsid w:val="00C760B0"/>
    <w:rsid w:val="00C95628"/>
    <w:rsid w:val="00CF0BDA"/>
    <w:rsid w:val="00D010CB"/>
    <w:rsid w:val="00D023E4"/>
    <w:rsid w:val="00D20B7D"/>
    <w:rsid w:val="00D319F9"/>
    <w:rsid w:val="00D36E0D"/>
    <w:rsid w:val="00D64F2C"/>
    <w:rsid w:val="00D65BCC"/>
    <w:rsid w:val="00D867DF"/>
    <w:rsid w:val="00DB467D"/>
    <w:rsid w:val="00DC6DB7"/>
    <w:rsid w:val="00DE305F"/>
    <w:rsid w:val="00DE400C"/>
    <w:rsid w:val="00E06CE8"/>
    <w:rsid w:val="00E10695"/>
    <w:rsid w:val="00E33C86"/>
    <w:rsid w:val="00E655C2"/>
    <w:rsid w:val="00E932C3"/>
    <w:rsid w:val="00FD1285"/>
    <w:rsid w:val="02760E3B"/>
    <w:rsid w:val="0321400D"/>
    <w:rsid w:val="036A7762"/>
    <w:rsid w:val="05DD0407"/>
    <w:rsid w:val="069B135D"/>
    <w:rsid w:val="070842DC"/>
    <w:rsid w:val="0726123E"/>
    <w:rsid w:val="0731192F"/>
    <w:rsid w:val="086E30CB"/>
    <w:rsid w:val="08C64073"/>
    <w:rsid w:val="099B1D4D"/>
    <w:rsid w:val="09F328D9"/>
    <w:rsid w:val="0B037A92"/>
    <w:rsid w:val="0B7256FC"/>
    <w:rsid w:val="0B8401A9"/>
    <w:rsid w:val="0C7E7C46"/>
    <w:rsid w:val="0CD12600"/>
    <w:rsid w:val="0D2235D4"/>
    <w:rsid w:val="0DCA3C27"/>
    <w:rsid w:val="0DD81262"/>
    <w:rsid w:val="0ECE7CE8"/>
    <w:rsid w:val="0F5117D6"/>
    <w:rsid w:val="0F7A0F1C"/>
    <w:rsid w:val="0F925474"/>
    <w:rsid w:val="10A312B4"/>
    <w:rsid w:val="10B20618"/>
    <w:rsid w:val="119500A0"/>
    <w:rsid w:val="11B6115E"/>
    <w:rsid w:val="11BB562D"/>
    <w:rsid w:val="126C4455"/>
    <w:rsid w:val="12F30075"/>
    <w:rsid w:val="138A5F38"/>
    <w:rsid w:val="13EE43C3"/>
    <w:rsid w:val="15042DCB"/>
    <w:rsid w:val="15154AEF"/>
    <w:rsid w:val="15D90184"/>
    <w:rsid w:val="1635389E"/>
    <w:rsid w:val="166C5E7A"/>
    <w:rsid w:val="16D871BB"/>
    <w:rsid w:val="16FC7880"/>
    <w:rsid w:val="17EA6C51"/>
    <w:rsid w:val="18000331"/>
    <w:rsid w:val="18C9566A"/>
    <w:rsid w:val="18DF304D"/>
    <w:rsid w:val="18F845CE"/>
    <w:rsid w:val="192F353E"/>
    <w:rsid w:val="1A13108F"/>
    <w:rsid w:val="1A3F504D"/>
    <w:rsid w:val="1A8F4290"/>
    <w:rsid w:val="1AB82A70"/>
    <w:rsid w:val="1AD86198"/>
    <w:rsid w:val="1B1536CC"/>
    <w:rsid w:val="1BAE0248"/>
    <w:rsid w:val="1BF537FE"/>
    <w:rsid w:val="1D1F1166"/>
    <w:rsid w:val="1D903E12"/>
    <w:rsid w:val="1DC94027"/>
    <w:rsid w:val="1F2305DA"/>
    <w:rsid w:val="1F8B2AE2"/>
    <w:rsid w:val="1FDE70B6"/>
    <w:rsid w:val="20D46448"/>
    <w:rsid w:val="2113029B"/>
    <w:rsid w:val="21785046"/>
    <w:rsid w:val="220A2C61"/>
    <w:rsid w:val="22A2261D"/>
    <w:rsid w:val="237256DF"/>
    <w:rsid w:val="23C16186"/>
    <w:rsid w:val="25B032A3"/>
    <w:rsid w:val="271E64A6"/>
    <w:rsid w:val="27C42DE0"/>
    <w:rsid w:val="2875754E"/>
    <w:rsid w:val="28A6330A"/>
    <w:rsid w:val="28F26962"/>
    <w:rsid w:val="29464110"/>
    <w:rsid w:val="296B27BD"/>
    <w:rsid w:val="297C1854"/>
    <w:rsid w:val="29C66496"/>
    <w:rsid w:val="2B8723B0"/>
    <w:rsid w:val="2BCF1785"/>
    <w:rsid w:val="2BD20FFC"/>
    <w:rsid w:val="2BF10937"/>
    <w:rsid w:val="2C0461E6"/>
    <w:rsid w:val="2CAE16B2"/>
    <w:rsid w:val="2CD967A8"/>
    <w:rsid w:val="2CF33D99"/>
    <w:rsid w:val="2D502C75"/>
    <w:rsid w:val="2D990AC0"/>
    <w:rsid w:val="2DB96A6D"/>
    <w:rsid w:val="2E0942F9"/>
    <w:rsid w:val="2E615D08"/>
    <w:rsid w:val="2F2D3A13"/>
    <w:rsid w:val="30332B06"/>
    <w:rsid w:val="30616556"/>
    <w:rsid w:val="30F1618A"/>
    <w:rsid w:val="313034EA"/>
    <w:rsid w:val="3147705B"/>
    <w:rsid w:val="31F97D80"/>
    <w:rsid w:val="321B062D"/>
    <w:rsid w:val="32A80181"/>
    <w:rsid w:val="332A12C2"/>
    <w:rsid w:val="33350C99"/>
    <w:rsid w:val="333F7A14"/>
    <w:rsid w:val="334D4E72"/>
    <w:rsid w:val="33E74334"/>
    <w:rsid w:val="33F21F69"/>
    <w:rsid w:val="344D7F0F"/>
    <w:rsid w:val="34A262E1"/>
    <w:rsid w:val="350902DA"/>
    <w:rsid w:val="35467305"/>
    <w:rsid w:val="35523A2F"/>
    <w:rsid w:val="355359F9"/>
    <w:rsid w:val="360E0311"/>
    <w:rsid w:val="369B31B3"/>
    <w:rsid w:val="36D641EB"/>
    <w:rsid w:val="373C01E0"/>
    <w:rsid w:val="37C02A49"/>
    <w:rsid w:val="38D24DAB"/>
    <w:rsid w:val="393A4F06"/>
    <w:rsid w:val="3A8F302F"/>
    <w:rsid w:val="3AD663DF"/>
    <w:rsid w:val="3B9C7819"/>
    <w:rsid w:val="3D0929B2"/>
    <w:rsid w:val="3D732DB4"/>
    <w:rsid w:val="3D8B35C2"/>
    <w:rsid w:val="3DEA5509"/>
    <w:rsid w:val="3DFF04CC"/>
    <w:rsid w:val="3EB94B1E"/>
    <w:rsid w:val="3EBC460F"/>
    <w:rsid w:val="3EDE57C4"/>
    <w:rsid w:val="3F255940"/>
    <w:rsid w:val="3F7E511A"/>
    <w:rsid w:val="3FE21909"/>
    <w:rsid w:val="404B5A35"/>
    <w:rsid w:val="40AD77A5"/>
    <w:rsid w:val="413A5BBD"/>
    <w:rsid w:val="4191768D"/>
    <w:rsid w:val="421A00E8"/>
    <w:rsid w:val="428159D7"/>
    <w:rsid w:val="428E5D95"/>
    <w:rsid w:val="42F11136"/>
    <w:rsid w:val="4315253F"/>
    <w:rsid w:val="43282273"/>
    <w:rsid w:val="44074D8C"/>
    <w:rsid w:val="44783E70"/>
    <w:rsid w:val="44E74A1A"/>
    <w:rsid w:val="452A17CA"/>
    <w:rsid w:val="46491165"/>
    <w:rsid w:val="46B1257F"/>
    <w:rsid w:val="480B792A"/>
    <w:rsid w:val="48677399"/>
    <w:rsid w:val="49365ADC"/>
    <w:rsid w:val="498B6D54"/>
    <w:rsid w:val="49FF5D06"/>
    <w:rsid w:val="4A275032"/>
    <w:rsid w:val="4A5C671F"/>
    <w:rsid w:val="4A7144FF"/>
    <w:rsid w:val="4B0435C5"/>
    <w:rsid w:val="4B5D2CD5"/>
    <w:rsid w:val="4C0E0F2C"/>
    <w:rsid w:val="4C973DD0"/>
    <w:rsid w:val="4CCE063F"/>
    <w:rsid w:val="4DE34C75"/>
    <w:rsid w:val="4F141C5B"/>
    <w:rsid w:val="4F2A278D"/>
    <w:rsid w:val="50937738"/>
    <w:rsid w:val="5124051D"/>
    <w:rsid w:val="51C413B8"/>
    <w:rsid w:val="51D35A9F"/>
    <w:rsid w:val="51FD5486"/>
    <w:rsid w:val="52696B6E"/>
    <w:rsid w:val="53DD0E57"/>
    <w:rsid w:val="546608B4"/>
    <w:rsid w:val="546828EF"/>
    <w:rsid w:val="54893697"/>
    <w:rsid w:val="5658621E"/>
    <w:rsid w:val="566B7B47"/>
    <w:rsid w:val="56A33C92"/>
    <w:rsid w:val="5714693E"/>
    <w:rsid w:val="577C4B7A"/>
    <w:rsid w:val="585202CE"/>
    <w:rsid w:val="595F0AA1"/>
    <w:rsid w:val="59802BFB"/>
    <w:rsid w:val="59A82DA4"/>
    <w:rsid w:val="59AD307A"/>
    <w:rsid w:val="5A1B369A"/>
    <w:rsid w:val="5A1F4951"/>
    <w:rsid w:val="5A984EB0"/>
    <w:rsid w:val="5AD11B61"/>
    <w:rsid w:val="5ADC3C17"/>
    <w:rsid w:val="5B4812AC"/>
    <w:rsid w:val="5B50206A"/>
    <w:rsid w:val="5BB35DCB"/>
    <w:rsid w:val="5BBB382C"/>
    <w:rsid w:val="5BC64C07"/>
    <w:rsid w:val="5CDC2A68"/>
    <w:rsid w:val="5CED69AD"/>
    <w:rsid w:val="5D610403"/>
    <w:rsid w:val="5DB50BEA"/>
    <w:rsid w:val="5DEF1EB3"/>
    <w:rsid w:val="5FAB3D7E"/>
    <w:rsid w:val="5FC73AE4"/>
    <w:rsid w:val="602A42E4"/>
    <w:rsid w:val="60395C5E"/>
    <w:rsid w:val="60597AB8"/>
    <w:rsid w:val="608C5797"/>
    <w:rsid w:val="60925EB2"/>
    <w:rsid w:val="61042B59"/>
    <w:rsid w:val="61534507"/>
    <w:rsid w:val="61937245"/>
    <w:rsid w:val="62166177"/>
    <w:rsid w:val="6230178D"/>
    <w:rsid w:val="627A2F3C"/>
    <w:rsid w:val="62954A01"/>
    <w:rsid w:val="632F4494"/>
    <w:rsid w:val="643C54C2"/>
    <w:rsid w:val="64A7791B"/>
    <w:rsid w:val="64E72007"/>
    <w:rsid w:val="65081772"/>
    <w:rsid w:val="65130235"/>
    <w:rsid w:val="651359D4"/>
    <w:rsid w:val="656A7A0B"/>
    <w:rsid w:val="65B23EF2"/>
    <w:rsid w:val="65D85B03"/>
    <w:rsid w:val="670071F1"/>
    <w:rsid w:val="674E7C4A"/>
    <w:rsid w:val="67965CD2"/>
    <w:rsid w:val="67A96C2F"/>
    <w:rsid w:val="67EA28E8"/>
    <w:rsid w:val="681A3274"/>
    <w:rsid w:val="68352C25"/>
    <w:rsid w:val="683706DE"/>
    <w:rsid w:val="692923AE"/>
    <w:rsid w:val="69F06698"/>
    <w:rsid w:val="6A7A254F"/>
    <w:rsid w:val="6A8D3E81"/>
    <w:rsid w:val="6AD41B9F"/>
    <w:rsid w:val="6B095ECC"/>
    <w:rsid w:val="6B8660E8"/>
    <w:rsid w:val="6BD24A49"/>
    <w:rsid w:val="6CA67BE1"/>
    <w:rsid w:val="6CD54F42"/>
    <w:rsid w:val="6D13480F"/>
    <w:rsid w:val="6E056B89"/>
    <w:rsid w:val="6E565636"/>
    <w:rsid w:val="6ECC4355"/>
    <w:rsid w:val="6F280D81"/>
    <w:rsid w:val="6F381049"/>
    <w:rsid w:val="6FC8230E"/>
    <w:rsid w:val="6FE8093F"/>
    <w:rsid w:val="700823C4"/>
    <w:rsid w:val="702305E1"/>
    <w:rsid w:val="702932C7"/>
    <w:rsid w:val="7104581E"/>
    <w:rsid w:val="710857EE"/>
    <w:rsid w:val="71D01737"/>
    <w:rsid w:val="71D7083C"/>
    <w:rsid w:val="72694884"/>
    <w:rsid w:val="735D2FC3"/>
    <w:rsid w:val="75681C87"/>
    <w:rsid w:val="75871EE4"/>
    <w:rsid w:val="7626077B"/>
    <w:rsid w:val="76402E45"/>
    <w:rsid w:val="768E1E11"/>
    <w:rsid w:val="773D3837"/>
    <w:rsid w:val="78F12E51"/>
    <w:rsid w:val="799A7812"/>
    <w:rsid w:val="79F20909"/>
    <w:rsid w:val="79FC52E4"/>
    <w:rsid w:val="7A444ABF"/>
    <w:rsid w:val="7A931D3D"/>
    <w:rsid w:val="7AE746E5"/>
    <w:rsid w:val="7AE85672"/>
    <w:rsid w:val="7B986CF0"/>
    <w:rsid w:val="7B9E7A95"/>
    <w:rsid w:val="7C4411C4"/>
    <w:rsid w:val="7DAF5C99"/>
    <w:rsid w:val="7DBB1012"/>
    <w:rsid w:val="7DDA520A"/>
    <w:rsid w:val="7EAA1892"/>
    <w:rsid w:val="7ECC2A49"/>
    <w:rsid w:val="7F087BEA"/>
    <w:rsid w:val="7F405C73"/>
    <w:rsid w:val="7F6148CC"/>
    <w:rsid w:val="7FE5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autoRedefine/>
    <w:qFormat/>
    <w:uiPriority w:val="0"/>
    <w:pPr>
      <w:jc w:val="left"/>
    </w:pPr>
  </w:style>
  <w:style w:type="paragraph" w:styleId="3">
    <w:name w:val="Balloon Text"/>
    <w:basedOn w:val="1"/>
    <w:link w:val="11"/>
    <w:autoRedefine/>
    <w:qFormat/>
    <w:uiPriority w:val="0"/>
    <w:pPr>
      <w:spacing w:line="240" w:lineRule="auto"/>
    </w:pPr>
    <w:rPr>
      <w:sz w:val="18"/>
      <w:szCs w:val="18"/>
    </w:rPr>
  </w:style>
  <w:style w:type="paragraph" w:styleId="4">
    <w:name w:val="footer"/>
    <w:basedOn w:val="1"/>
    <w:link w:val="16"/>
    <w:autoRedefine/>
    <w:qFormat/>
    <w:uiPriority w:val="0"/>
    <w:pPr>
      <w:tabs>
        <w:tab w:val="center" w:pos="4153"/>
        <w:tab w:val="right" w:pos="8306"/>
      </w:tabs>
      <w:snapToGrid w:val="0"/>
      <w:spacing w:line="240" w:lineRule="auto"/>
      <w:jc w:val="left"/>
    </w:pPr>
    <w:rPr>
      <w:sz w:val="18"/>
      <w:szCs w:val="18"/>
    </w:rPr>
  </w:style>
  <w:style w:type="paragraph" w:styleId="5">
    <w:name w:val="header"/>
    <w:basedOn w:val="1"/>
    <w:link w:val="15"/>
    <w:autoRedefine/>
    <w:qFormat/>
    <w:uiPriority w:val="0"/>
    <w:pPr>
      <w:tabs>
        <w:tab w:val="center" w:pos="4153"/>
        <w:tab w:val="right" w:pos="8306"/>
      </w:tabs>
      <w:snapToGrid w:val="0"/>
      <w:spacing w:line="240" w:lineRule="auto"/>
      <w:jc w:val="center"/>
    </w:pPr>
    <w:rPr>
      <w:sz w:val="18"/>
      <w:szCs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rPr>
  </w:style>
  <w:style w:type="paragraph" w:styleId="7">
    <w:name w:val="annotation subject"/>
    <w:basedOn w:val="2"/>
    <w:next w:val="2"/>
    <w:link w:val="13"/>
    <w:autoRedefine/>
    <w:qFormat/>
    <w:uiPriority w:val="0"/>
    <w:rPr>
      <w:b/>
      <w:bCs/>
    </w:rPr>
  </w:style>
  <w:style w:type="character" w:styleId="10">
    <w:name w:val="annotation reference"/>
    <w:basedOn w:val="9"/>
    <w:autoRedefine/>
    <w:qFormat/>
    <w:uiPriority w:val="0"/>
    <w:rPr>
      <w:sz w:val="21"/>
      <w:szCs w:val="21"/>
    </w:rPr>
  </w:style>
  <w:style w:type="character" w:customStyle="1" w:styleId="11">
    <w:name w:val="批注框文本 Char"/>
    <w:basedOn w:val="9"/>
    <w:link w:val="3"/>
    <w:autoRedefine/>
    <w:qFormat/>
    <w:uiPriority w:val="0"/>
    <w:rPr>
      <w:kern w:val="2"/>
      <w:sz w:val="18"/>
      <w:szCs w:val="18"/>
    </w:rPr>
  </w:style>
  <w:style w:type="character" w:customStyle="1" w:styleId="12">
    <w:name w:val="批注文字 Char"/>
    <w:basedOn w:val="9"/>
    <w:link w:val="2"/>
    <w:autoRedefine/>
    <w:qFormat/>
    <w:uiPriority w:val="0"/>
    <w:rPr>
      <w:kern w:val="2"/>
      <w:sz w:val="24"/>
      <w:szCs w:val="24"/>
    </w:rPr>
  </w:style>
  <w:style w:type="character" w:customStyle="1" w:styleId="13">
    <w:name w:val="批注主题 Char"/>
    <w:basedOn w:val="12"/>
    <w:link w:val="7"/>
    <w:autoRedefine/>
    <w:qFormat/>
    <w:uiPriority w:val="0"/>
    <w:rPr>
      <w:b/>
      <w:bCs/>
      <w:kern w:val="2"/>
      <w:sz w:val="24"/>
      <w:szCs w:val="24"/>
    </w:rPr>
  </w:style>
  <w:style w:type="paragraph" w:customStyle="1" w:styleId="14">
    <w:name w:val="修订1"/>
    <w:autoRedefine/>
    <w:hidden/>
    <w:semiHidden/>
    <w:qFormat/>
    <w:uiPriority w:val="99"/>
    <w:rPr>
      <w:rFonts w:ascii="Times New Roman" w:hAnsi="Times New Roman" w:eastAsia="宋体" w:cs="Times New Roman"/>
      <w:kern w:val="2"/>
      <w:sz w:val="24"/>
      <w:szCs w:val="24"/>
      <w:lang w:val="en-US" w:eastAsia="zh-CN" w:bidi="ar-SA"/>
    </w:rPr>
  </w:style>
  <w:style w:type="character" w:customStyle="1" w:styleId="15">
    <w:name w:val="页眉 Char"/>
    <w:basedOn w:val="9"/>
    <w:link w:val="5"/>
    <w:autoRedefine/>
    <w:qFormat/>
    <w:uiPriority w:val="0"/>
    <w:rPr>
      <w:kern w:val="2"/>
      <w:sz w:val="18"/>
      <w:szCs w:val="18"/>
    </w:rPr>
  </w:style>
  <w:style w:type="character" w:customStyle="1" w:styleId="16">
    <w:name w:val="页脚 Char"/>
    <w:basedOn w:val="9"/>
    <w:link w:val="4"/>
    <w:autoRedefine/>
    <w:qFormat/>
    <w:uiPriority w:val="0"/>
    <w:rPr>
      <w:kern w:val="2"/>
      <w:sz w:val="18"/>
      <w:szCs w:val="18"/>
    </w:rPr>
  </w:style>
  <w:style w:type="paragraph" w:customStyle="1" w:styleId="17">
    <w:name w:val="修订2"/>
    <w:autoRedefine/>
    <w:hidden/>
    <w:unhideWhenUsed/>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CB42-BF44-4EA5-B599-213E0F07AE5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2404</Words>
  <Characters>2519</Characters>
  <Lines>19</Lines>
  <Paragraphs>5</Paragraphs>
  <TotalTime>2</TotalTime>
  <ScaleCrop>false</ScaleCrop>
  <LinksUpToDate>false</LinksUpToDate>
  <CharactersWithSpaces>2652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2024-01-02T06:49:00Z</dcterms:created>
  <dc:creator>倪清清</dc:creator>
  <cp:lastModifiedBy>倪清清</cp:lastModifiedBy>
  <cp:lastPrinted>2024-01-02T06:55:00Z</cp:lastPrinted>
  <dcterms:modified xsi:type="dcterms:W3CDTF">2024-05-29T09:38:51Z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44901EE193724BDAB4C272DC2732A6E5_13</vt:lpwstr>
  </property>
</Properties>
</file>