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190332" w14:paraId="16D50E4C" w14:textId="77777777">
        <w:trPr>
          <w:trHeight w:val="132"/>
        </w:trPr>
        <w:tc>
          <w:tcPr>
            <w:tcW w:w="4148" w:type="dxa"/>
          </w:tcPr>
          <w:p w14:paraId="752E70F1" w14:textId="77777777" w:rsidR="00190332" w:rsidRDefault="00CA128B">
            <w:r>
              <w:rPr>
                <w:rFonts w:hint="eastAsia"/>
              </w:rPr>
              <w:t>证券代码：</w:t>
            </w:r>
            <w:r>
              <w:t>601607</w:t>
            </w:r>
          </w:p>
          <w:p w14:paraId="11AFC43E" w14:textId="77777777" w:rsidR="00190332" w:rsidRDefault="00190332"/>
        </w:tc>
        <w:tc>
          <w:tcPr>
            <w:tcW w:w="4148" w:type="dxa"/>
          </w:tcPr>
          <w:p w14:paraId="1F082736" w14:textId="77777777" w:rsidR="00190332" w:rsidRDefault="00CA128B">
            <w:pPr>
              <w:jc w:val="right"/>
            </w:pPr>
            <w:r>
              <w:rPr>
                <w:rFonts w:hint="eastAsia"/>
              </w:rPr>
              <w:t>证券简称：上海医药</w:t>
            </w:r>
          </w:p>
        </w:tc>
      </w:tr>
    </w:tbl>
    <w:p w14:paraId="06923E9F" w14:textId="77777777" w:rsidR="00190332" w:rsidRDefault="00CA128B">
      <w:pPr>
        <w:spacing w:line="440" w:lineRule="exact"/>
        <w:jc w:val="center"/>
        <w:rPr>
          <w:rStyle w:val="NormalCharacter"/>
          <w:rFonts w:ascii="宋体" w:hAnsi="宋体"/>
          <w:b/>
          <w:bCs/>
          <w:iCs/>
          <w:sz w:val="24"/>
        </w:rPr>
      </w:pPr>
      <w:r>
        <w:rPr>
          <w:rStyle w:val="NormalCharacter"/>
          <w:rFonts w:ascii="宋体" w:hAnsi="宋体"/>
          <w:b/>
          <w:bCs/>
          <w:iCs/>
          <w:sz w:val="24"/>
        </w:rPr>
        <w:t>上海医药</w:t>
      </w:r>
      <w:r>
        <w:rPr>
          <w:rStyle w:val="NormalCharacter"/>
          <w:rFonts w:ascii="宋体" w:hAnsi="宋体" w:hint="eastAsia"/>
          <w:b/>
          <w:bCs/>
          <w:iCs/>
          <w:sz w:val="24"/>
        </w:rPr>
        <w:t>集团</w:t>
      </w:r>
      <w:r>
        <w:rPr>
          <w:rStyle w:val="NormalCharacter"/>
          <w:rFonts w:ascii="宋体" w:hAnsi="宋体"/>
          <w:b/>
          <w:bCs/>
          <w:iCs/>
          <w:sz w:val="24"/>
        </w:rPr>
        <w:t>股份有限公司</w:t>
      </w:r>
    </w:p>
    <w:p w14:paraId="33791867" w14:textId="77777777" w:rsidR="00190332" w:rsidRDefault="00CA128B">
      <w:pPr>
        <w:spacing w:line="440" w:lineRule="exact"/>
        <w:jc w:val="center"/>
        <w:rPr>
          <w:rStyle w:val="NormalCharacter"/>
          <w:rFonts w:ascii="宋体" w:hAnsi="宋体"/>
          <w:b/>
          <w:bCs/>
          <w:iCs/>
          <w:sz w:val="24"/>
        </w:rPr>
      </w:pPr>
      <w:r>
        <w:rPr>
          <w:rStyle w:val="NormalCharacter"/>
          <w:rFonts w:ascii="宋体" w:hAnsi="宋体"/>
          <w:b/>
          <w:bCs/>
          <w:iCs/>
          <w:sz w:val="24"/>
        </w:rPr>
        <w:t>投资者关系活动记录表</w:t>
      </w:r>
    </w:p>
    <w:p w14:paraId="47A9FB90" w14:textId="1CFB2266" w:rsidR="00190332" w:rsidRDefault="00CA128B">
      <w:pPr>
        <w:spacing w:line="440" w:lineRule="exact"/>
        <w:rPr>
          <w:rStyle w:val="NormalCharacter"/>
          <w:rFonts w:ascii="宋体" w:hAnsi="宋体"/>
          <w:bCs/>
          <w:iCs/>
          <w:sz w:val="24"/>
        </w:rPr>
      </w:pPr>
      <w:r>
        <w:rPr>
          <w:rStyle w:val="NormalCharacter"/>
          <w:rFonts w:ascii="宋体" w:hAnsi="宋体"/>
          <w:bCs/>
          <w:iCs/>
          <w:sz w:val="24"/>
        </w:rPr>
        <w:t xml:space="preserve">                                                       编号：202</w:t>
      </w:r>
      <w:r w:rsidR="007D7D06">
        <w:rPr>
          <w:rStyle w:val="NormalCharacter"/>
          <w:rFonts w:ascii="宋体" w:hAnsi="宋体"/>
          <w:bCs/>
          <w:iCs/>
          <w:sz w:val="24"/>
        </w:rPr>
        <w:t>4</w:t>
      </w:r>
      <w:r>
        <w:rPr>
          <w:rStyle w:val="NormalCharacter"/>
          <w:rFonts w:ascii="宋体" w:hAnsi="宋体"/>
          <w:bCs/>
          <w:iCs/>
          <w:sz w:val="24"/>
        </w:rPr>
        <w:t>-</w:t>
      </w:r>
      <w:r w:rsidR="00265153">
        <w:rPr>
          <w:rStyle w:val="NormalCharacter"/>
          <w:rFonts w:ascii="宋体" w:hAnsi="宋体"/>
          <w:bCs/>
          <w:iCs/>
          <w:sz w:val="24"/>
        </w:rPr>
        <w:t>003</w:t>
      </w:r>
    </w:p>
    <w:tbl>
      <w:tblPr>
        <w:tblW w:w="85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62"/>
        <w:gridCol w:w="7282"/>
      </w:tblGrid>
      <w:tr w:rsidR="00190332" w14:paraId="1B9E4FAB" w14:textId="77777777">
        <w:trPr>
          <w:trHeight w:val="1881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9C7A" w14:textId="77777777" w:rsidR="00190332" w:rsidRDefault="00CA128B">
            <w:pPr>
              <w:spacing w:line="440" w:lineRule="exact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/>
                <w:bCs/>
                <w:iCs/>
                <w:sz w:val="24"/>
              </w:rPr>
              <w:t>投资者关系活动类别</w:t>
            </w:r>
          </w:p>
          <w:p w14:paraId="1A93D402" w14:textId="77777777" w:rsidR="00190332" w:rsidRDefault="00190332">
            <w:pPr>
              <w:spacing w:line="440" w:lineRule="exact"/>
              <w:rPr>
                <w:rStyle w:val="NormalCharacter"/>
                <w:rFonts w:ascii="宋体" w:hAnsi="宋体"/>
                <w:bCs/>
                <w:iCs/>
                <w:sz w:val="24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9027B" w14:textId="77777777" w:rsidR="00190332" w:rsidRDefault="00CA128B">
            <w:pPr>
              <w:spacing w:line="440" w:lineRule="exact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□</w:t>
            </w:r>
            <w:r>
              <w:rPr>
                <w:rStyle w:val="NormalCharacter"/>
                <w:rFonts w:ascii="宋体" w:hAnsi="宋体"/>
                <w:sz w:val="24"/>
              </w:rPr>
              <w:t xml:space="preserve">特定对象调研        </w:t>
            </w: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□</w:t>
            </w:r>
            <w:r>
              <w:rPr>
                <w:rStyle w:val="NormalCharacter"/>
                <w:rFonts w:ascii="宋体" w:hAnsi="宋体"/>
                <w:sz w:val="24"/>
              </w:rPr>
              <w:t>分析师会议</w:t>
            </w:r>
          </w:p>
          <w:p w14:paraId="0A20F38A" w14:textId="78DCFC02" w:rsidR="00190332" w:rsidRDefault="00CA128B">
            <w:pPr>
              <w:spacing w:line="440" w:lineRule="exact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□</w:t>
            </w:r>
            <w:r>
              <w:rPr>
                <w:rStyle w:val="NormalCharacter"/>
                <w:rFonts w:ascii="宋体" w:hAnsi="宋体"/>
                <w:sz w:val="24"/>
              </w:rPr>
              <w:t xml:space="preserve">媒体采访            </w:t>
            </w:r>
            <w:r w:rsidR="00510132"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□</w:t>
            </w:r>
            <w:r>
              <w:rPr>
                <w:rStyle w:val="NormalCharacter"/>
                <w:rFonts w:ascii="宋体" w:hAnsi="宋体"/>
                <w:sz w:val="24"/>
              </w:rPr>
              <w:t>业绩说明会</w:t>
            </w:r>
          </w:p>
          <w:p w14:paraId="2D2BBA38" w14:textId="689B8C9B" w:rsidR="00190332" w:rsidRDefault="00CA128B">
            <w:pPr>
              <w:spacing w:line="440" w:lineRule="exact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□</w:t>
            </w:r>
            <w:r>
              <w:rPr>
                <w:rStyle w:val="NormalCharacter"/>
                <w:rFonts w:ascii="宋体" w:hAnsi="宋体"/>
                <w:sz w:val="24"/>
              </w:rPr>
              <w:t xml:space="preserve">新闻发布会          </w:t>
            </w:r>
            <w:r w:rsidR="00510132">
              <w:rPr>
                <w:rStyle w:val="NormalCharacter"/>
                <w:rFonts w:ascii="宋体" w:hAnsi="宋体"/>
                <w:bCs/>
                <w:iCs/>
                <w:sz w:val="24"/>
              </w:rPr>
              <w:sym w:font="Wingdings 2" w:char="F052"/>
            </w:r>
            <w:r>
              <w:rPr>
                <w:rStyle w:val="NormalCharacter"/>
                <w:rFonts w:ascii="宋体" w:hAnsi="宋体"/>
                <w:sz w:val="24"/>
              </w:rPr>
              <w:t>路演活动</w:t>
            </w:r>
          </w:p>
          <w:p w14:paraId="0193BBF5" w14:textId="77777777" w:rsidR="00190332" w:rsidRDefault="00CA128B">
            <w:pPr>
              <w:tabs>
                <w:tab w:val="left" w:pos="3045"/>
                <w:tab w:val="center" w:pos="3199"/>
              </w:tabs>
              <w:spacing w:line="440" w:lineRule="exact"/>
              <w:ind w:left="1320" w:hangingChars="550" w:hanging="1320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□</w:t>
            </w:r>
            <w:r>
              <w:rPr>
                <w:rStyle w:val="NormalCharacter"/>
                <w:rFonts w:ascii="宋体" w:hAnsi="宋体"/>
                <w:sz w:val="24"/>
              </w:rPr>
              <w:t>现场参观</w:t>
            </w:r>
            <w:r>
              <w:rPr>
                <w:rStyle w:val="NormalCharacter"/>
                <w:rFonts w:ascii="宋体" w:hAnsi="宋体"/>
                <w:bCs/>
                <w:iCs/>
                <w:sz w:val="24"/>
              </w:rPr>
              <w:tab/>
              <w:t xml:space="preserve">           </w:t>
            </w: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□</w:t>
            </w:r>
            <w:r>
              <w:rPr>
                <w:rStyle w:val="NormalCharacter"/>
                <w:rFonts w:ascii="宋体" w:hAnsi="宋体"/>
                <w:sz w:val="24"/>
              </w:rPr>
              <w:t>其他</w:t>
            </w:r>
            <w:r>
              <w:rPr>
                <w:rStyle w:val="NormalCharacter"/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Style w:val="NormalCharacter"/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Style w:val="NormalCharacter"/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Style w:val="NormalCharacter"/>
                <w:rFonts w:ascii="宋体" w:hAnsi="宋体"/>
                <w:sz w:val="24"/>
                <w:u w:val="single"/>
              </w:rPr>
              <w:t xml:space="preserve">       </w:t>
            </w:r>
            <w:r>
              <w:rPr>
                <w:rStyle w:val="NormalCharacter"/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Style w:val="NormalCharacter"/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Style w:val="NormalCharacter"/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Style w:val="NormalCharacter"/>
                <w:rFonts w:ascii="宋体" w:hAnsi="宋体"/>
                <w:sz w:val="24"/>
                <w:u w:val="single"/>
              </w:rPr>
              <w:t xml:space="preserve">     </w:t>
            </w:r>
          </w:p>
        </w:tc>
      </w:tr>
      <w:tr w:rsidR="00190332" w14:paraId="6C3A4496" w14:textId="77777777">
        <w:trPr>
          <w:trHeight w:val="1491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064D" w14:textId="77777777" w:rsidR="00190332" w:rsidRDefault="00CA128B">
            <w:pPr>
              <w:spacing w:line="440" w:lineRule="exact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/>
                <w:bCs/>
                <w:iCs/>
                <w:sz w:val="24"/>
              </w:rPr>
              <w:t>参与单位名称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7946" w14:textId="0FC0CABA" w:rsidR="00190332" w:rsidRDefault="00600B36">
            <w:pPr>
              <w:spacing w:line="276" w:lineRule="auto"/>
              <w:jc w:val="left"/>
              <w:rPr>
                <w:rFonts w:ascii="宋体" w:hAnsi="宋体"/>
                <w:bCs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sz w:val="24"/>
                <w:szCs w:val="22"/>
              </w:rPr>
              <w:t>参与机构：</w:t>
            </w:r>
            <w:r w:rsidR="005A413F" w:rsidRPr="007F5164">
              <w:rPr>
                <w:rFonts w:ascii="宋体" w:hAnsi="宋体" w:hint="eastAsia"/>
                <w:bCs/>
                <w:sz w:val="24"/>
                <w:szCs w:val="22"/>
              </w:rPr>
              <w:t>富兰克林邓普顿、</w:t>
            </w:r>
            <w:r w:rsidR="00447F66">
              <w:rPr>
                <w:rFonts w:ascii="宋体" w:hAnsi="宋体" w:hint="eastAsia"/>
                <w:bCs/>
                <w:sz w:val="24"/>
                <w:szCs w:val="22"/>
              </w:rPr>
              <w:t>中欧基金、</w:t>
            </w:r>
            <w:r w:rsidR="002C33CA">
              <w:rPr>
                <w:rFonts w:ascii="宋体" w:hAnsi="宋体" w:hint="eastAsia"/>
                <w:bCs/>
                <w:sz w:val="24"/>
                <w:szCs w:val="22"/>
              </w:rPr>
              <w:t>工银瑞信、</w:t>
            </w:r>
            <w:r w:rsidR="005A413F" w:rsidRPr="007F5164">
              <w:rPr>
                <w:rFonts w:ascii="宋体" w:hAnsi="宋体" w:hint="eastAsia"/>
                <w:bCs/>
                <w:sz w:val="24"/>
                <w:szCs w:val="22"/>
              </w:rPr>
              <w:t>富国基金</w:t>
            </w:r>
            <w:r w:rsidR="005A413F">
              <w:rPr>
                <w:rFonts w:hint="eastAsia"/>
              </w:rPr>
              <w:t>、</w:t>
            </w:r>
            <w:r w:rsidR="005A413F" w:rsidRPr="007F5164">
              <w:rPr>
                <w:rFonts w:ascii="宋体" w:hAnsi="宋体"/>
                <w:sz w:val="24"/>
              </w:rPr>
              <w:t>CIC</w:t>
            </w:r>
            <w:r w:rsidR="005A413F" w:rsidRPr="007F5164">
              <w:rPr>
                <w:rFonts w:ascii="宋体" w:hAnsi="宋体" w:hint="eastAsia"/>
                <w:sz w:val="24"/>
              </w:rPr>
              <w:t>、</w:t>
            </w:r>
            <w:r w:rsidR="005A413F" w:rsidRPr="007F5164">
              <w:rPr>
                <w:rFonts w:ascii="宋体" w:hAnsi="宋体"/>
                <w:sz w:val="24"/>
              </w:rPr>
              <w:t>HSBC</w:t>
            </w:r>
            <w:r w:rsidR="005A413F" w:rsidRPr="000108A2">
              <w:rPr>
                <w:rFonts w:ascii="宋体" w:hAnsi="宋体" w:hint="eastAsia"/>
                <w:bCs/>
                <w:sz w:val="24"/>
              </w:rPr>
              <w:t>、</w:t>
            </w:r>
            <w:r w:rsidR="00110069" w:rsidRPr="007F5164">
              <w:rPr>
                <w:rFonts w:hint="eastAsia"/>
                <w:sz w:val="24"/>
              </w:rPr>
              <w:t>交银国际、</w:t>
            </w:r>
            <w:r w:rsidR="002C33CA">
              <w:rPr>
                <w:rFonts w:hint="eastAsia"/>
                <w:sz w:val="24"/>
              </w:rPr>
              <w:t>富国基金、华夏基金、</w:t>
            </w:r>
            <w:r w:rsidR="00110069" w:rsidRPr="007F5164">
              <w:rPr>
                <w:rFonts w:hint="eastAsia"/>
                <w:sz w:val="24"/>
              </w:rPr>
              <w:t>查理投资、</w:t>
            </w:r>
            <w:r w:rsidR="000108A2">
              <w:rPr>
                <w:rFonts w:hint="eastAsia"/>
                <w:sz w:val="24"/>
              </w:rPr>
              <w:t>中昂国际投资、盛石资本、前方基金、国证基金、</w:t>
            </w:r>
            <w:r w:rsidR="005A413F" w:rsidRPr="005A413F">
              <w:rPr>
                <w:rFonts w:ascii="宋体" w:hAnsi="宋体" w:hint="eastAsia"/>
                <w:bCs/>
                <w:sz w:val="24"/>
                <w:szCs w:val="22"/>
              </w:rPr>
              <w:t>安信基金</w:t>
            </w:r>
            <w:r w:rsidR="005A413F">
              <w:rPr>
                <w:rFonts w:ascii="宋体" w:hAnsi="宋体" w:hint="eastAsia"/>
                <w:bCs/>
                <w:sz w:val="24"/>
                <w:szCs w:val="22"/>
              </w:rPr>
              <w:t>、</w:t>
            </w:r>
            <w:r w:rsidR="005A413F" w:rsidRPr="005A413F">
              <w:rPr>
                <w:rFonts w:ascii="宋体" w:hAnsi="宋体" w:hint="eastAsia"/>
                <w:bCs/>
                <w:sz w:val="24"/>
                <w:szCs w:val="22"/>
              </w:rPr>
              <w:t>长江养老</w:t>
            </w:r>
            <w:r w:rsidR="005A413F">
              <w:rPr>
                <w:rFonts w:ascii="宋体" w:hAnsi="宋体" w:hint="eastAsia"/>
                <w:bCs/>
                <w:sz w:val="24"/>
                <w:szCs w:val="22"/>
              </w:rPr>
              <w:t>、</w:t>
            </w:r>
            <w:r w:rsidR="005A413F" w:rsidRPr="005A413F">
              <w:rPr>
                <w:rFonts w:ascii="宋体" w:hAnsi="宋体" w:hint="eastAsia"/>
                <w:bCs/>
                <w:sz w:val="24"/>
                <w:szCs w:val="22"/>
              </w:rPr>
              <w:t>慎知资管</w:t>
            </w:r>
            <w:r w:rsidR="005A413F">
              <w:rPr>
                <w:rFonts w:ascii="宋体" w:hAnsi="宋体" w:hint="eastAsia"/>
                <w:bCs/>
                <w:sz w:val="24"/>
                <w:szCs w:val="22"/>
              </w:rPr>
              <w:t>、</w:t>
            </w:r>
            <w:r w:rsidR="005A413F" w:rsidRPr="005A413F">
              <w:rPr>
                <w:rFonts w:ascii="宋体" w:hAnsi="宋体" w:hint="eastAsia"/>
                <w:bCs/>
                <w:sz w:val="24"/>
                <w:szCs w:val="22"/>
              </w:rPr>
              <w:t>瑞信致远</w:t>
            </w:r>
            <w:r w:rsidR="005A413F">
              <w:rPr>
                <w:rFonts w:ascii="宋体" w:hAnsi="宋体" w:hint="eastAsia"/>
                <w:bCs/>
                <w:sz w:val="24"/>
                <w:szCs w:val="22"/>
              </w:rPr>
              <w:t>、</w:t>
            </w:r>
            <w:r w:rsidR="005A413F" w:rsidRPr="005A413F">
              <w:rPr>
                <w:rFonts w:ascii="宋体" w:hAnsi="宋体" w:hint="eastAsia"/>
                <w:bCs/>
                <w:sz w:val="24"/>
                <w:szCs w:val="22"/>
              </w:rPr>
              <w:t>诚朴资产</w:t>
            </w:r>
            <w:r w:rsidR="005A413F">
              <w:rPr>
                <w:rFonts w:ascii="宋体" w:hAnsi="宋体" w:hint="eastAsia"/>
                <w:bCs/>
                <w:sz w:val="24"/>
                <w:szCs w:val="22"/>
              </w:rPr>
              <w:t>、</w:t>
            </w:r>
            <w:r w:rsidR="005A413F" w:rsidRPr="005A413F">
              <w:rPr>
                <w:rFonts w:ascii="宋体" w:hAnsi="宋体" w:hint="eastAsia"/>
                <w:bCs/>
                <w:sz w:val="24"/>
                <w:szCs w:val="22"/>
              </w:rPr>
              <w:t>招银理财</w:t>
            </w:r>
            <w:r w:rsidR="005A413F">
              <w:rPr>
                <w:rFonts w:ascii="宋体" w:hAnsi="宋体" w:hint="eastAsia"/>
                <w:bCs/>
                <w:sz w:val="24"/>
                <w:szCs w:val="22"/>
              </w:rPr>
              <w:t>、</w:t>
            </w:r>
            <w:r w:rsidR="000108A2">
              <w:rPr>
                <w:rFonts w:ascii="宋体" w:hAnsi="宋体" w:hint="eastAsia"/>
                <w:bCs/>
                <w:sz w:val="24"/>
                <w:szCs w:val="22"/>
              </w:rPr>
              <w:t>中信资本</w:t>
            </w:r>
            <w:r w:rsidR="005A413F">
              <w:rPr>
                <w:rFonts w:ascii="宋体" w:hAnsi="宋体" w:hint="eastAsia"/>
                <w:bCs/>
                <w:sz w:val="24"/>
                <w:szCs w:val="22"/>
              </w:rPr>
              <w:t>、</w:t>
            </w:r>
            <w:r w:rsidR="005A413F" w:rsidRPr="005A413F">
              <w:rPr>
                <w:rFonts w:ascii="宋体" w:hAnsi="宋体" w:hint="eastAsia"/>
                <w:bCs/>
                <w:sz w:val="24"/>
                <w:szCs w:val="22"/>
              </w:rPr>
              <w:t>建信理财</w:t>
            </w:r>
            <w:r w:rsidR="005A413F">
              <w:rPr>
                <w:rFonts w:ascii="宋体" w:hAnsi="宋体" w:hint="eastAsia"/>
                <w:bCs/>
                <w:sz w:val="24"/>
                <w:szCs w:val="22"/>
              </w:rPr>
              <w:t>、</w:t>
            </w:r>
            <w:r w:rsidR="005A413F" w:rsidRPr="005A413F">
              <w:rPr>
                <w:rFonts w:ascii="宋体" w:hAnsi="宋体" w:hint="eastAsia"/>
                <w:bCs/>
                <w:sz w:val="24"/>
                <w:szCs w:val="22"/>
              </w:rPr>
              <w:t>康曼德资本</w:t>
            </w:r>
            <w:r w:rsidR="005A413F">
              <w:rPr>
                <w:rFonts w:ascii="宋体" w:hAnsi="宋体" w:hint="eastAsia"/>
                <w:bCs/>
                <w:sz w:val="24"/>
                <w:szCs w:val="22"/>
              </w:rPr>
              <w:t>、</w:t>
            </w:r>
            <w:r w:rsidR="005A413F" w:rsidRPr="005A413F">
              <w:rPr>
                <w:rFonts w:ascii="宋体" w:hAnsi="宋体" w:hint="eastAsia"/>
                <w:bCs/>
                <w:sz w:val="24"/>
                <w:szCs w:val="22"/>
              </w:rPr>
              <w:t>玄元投资</w:t>
            </w:r>
            <w:r w:rsidR="005A413F">
              <w:rPr>
                <w:rFonts w:ascii="宋体" w:hAnsi="宋体" w:hint="eastAsia"/>
                <w:bCs/>
                <w:sz w:val="24"/>
                <w:szCs w:val="22"/>
              </w:rPr>
              <w:t>、</w:t>
            </w:r>
            <w:r w:rsidR="005A413F" w:rsidRPr="005A413F">
              <w:rPr>
                <w:rFonts w:ascii="宋体" w:hAnsi="宋体" w:hint="eastAsia"/>
                <w:bCs/>
                <w:sz w:val="24"/>
                <w:szCs w:val="22"/>
              </w:rPr>
              <w:t>中欧瑞博</w:t>
            </w:r>
            <w:r w:rsidR="005A413F">
              <w:rPr>
                <w:rFonts w:ascii="宋体" w:hAnsi="宋体" w:hint="eastAsia"/>
                <w:bCs/>
                <w:sz w:val="24"/>
                <w:szCs w:val="22"/>
              </w:rPr>
              <w:t>、</w:t>
            </w:r>
            <w:r w:rsidR="005A413F" w:rsidRPr="005A413F">
              <w:rPr>
                <w:rFonts w:ascii="宋体" w:hAnsi="宋体" w:hint="eastAsia"/>
                <w:bCs/>
                <w:sz w:val="24"/>
                <w:szCs w:val="22"/>
              </w:rPr>
              <w:t>建信理财</w:t>
            </w:r>
            <w:r w:rsidR="005A413F">
              <w:rPr>
                <w:rFonts w:ascii="宋体" w:hAnsi="宋体" w:hint="eastAsia"/>
                <w:bCs/>
                <w:sz w:val="24"/>
                <w:szCs w:val="22"/>
              </w:rPr>
              <w:t>、</w:t>
            </w:r>
            <w:r w:rsidR="005A413F" w:rsidRPr="005A413F">
              <w:rPr>
                <w:rFonts w:ascii="宋体" w:hAnsi="宋体" w:hint="eastAsia"/>
                <w:bCs/>
                <w:sz w:val="24"/>
                <w:szCs w:val="22"/>
              </w:rPr>
              <w:t>玄元投资</w:t>
            </w:r>
            <w:r w:rsidR="005A413F">
              <w:rPr>
                <w:rFonts w:ascii="宋体" w:hAnsi="宋体" w:hint="eastAsia"/>
                <w:bCs/>
                <w:sz w:val="24"/>
                <w:szCs w:val="22"/>
              </w:rPr>
              <w:t>、</w:t>
            </w:r>
            <w:r w:rsidR="005A413F" w:rsidRPr="005A413F">
              <w:rPr>
                <w:rFonts w:ascii="宋体" w:hAnsi="宋体" w:hint="eastAsia"/>
                <w:bCs/>
                <w:sz w:val="24"/>
                <w:szCs w:val="22"/>
              </w:rPr>
              <w:t>国源信达资管</w:t>
            </w:r>
            <w:r w:rsidR="005A413F">
              <w:rPr>
                <w:rFonts w:ascii="宋体" w:hAnsi="宋体" w:hint="eastAsia"/>
                <w:bCs/>
                <w:sz w:val="24"/>
                <w:szCs w:val="22"/>
              </w:rPr>
              <w:t>、</w:t>
            </w:r>
            <w:r w:rsidR="005A413F" w:rsidRPr="005A413F">
              <w:rPr>
                <w:rFonts w:ascii="宋体" w:hAnsi="宋体" w:hint="eastAsia"/>
                <w:bCs/>
                <w:sz w:val="24"/>
                <w:szCs w:val="22"/>
              </w:rPr>
              <w:t>恒立私募</w:t>
            </w:r>
            <w:r w:rsidR="005A413F">
              <w:rPr>
                <w:rFonts w:ascii="宋体" w:hAnsi="宋体" w:hint="eastAsia"/>
                <w:bCs/>
                <w:sz w:val="24"/>
                <w:szCs w:val="22"/>
              </w:rPr>
              <w:t>、</w:t>
            </w:r>
            <w:r w:rsidR="005A413F" w:rsidRPr="005A413F">
              <w:rPr>
                <w:rFonts w:ascii="宋体" w:hAnsi="宋体" w:hint="eastAsia"/>
                <w:bCs/>
                <w:sz w:val="24"/>
                <w:szCs w:val="22"/>
              </w:rPr>
              <w:t>前海开源</w:t>
            </w:r>
            <w:r w:rsidR="000F416B">
              <w:rPr>
                <w:rFonts w:ascii="宋体" w:hAnsi="宋体" w:hint="eastAsia"/>
                <w:bCs/>
                <w:sz w:val="24"/>
                <w:szCs w:val="22"/>
              </w:rPr>
              <w:t>等</w:t>
            </w:r>
            <w:r w:rsidR="002C33CA">
              <w:rPr>
                <w:rFonts w:ascii="宋体" w:hAnsi="宋体"/>
                <w:bCs/>
                <w:sz w:val="24"/>
                <w:szCs w:val="22"/>
              </w:rPr>
              <w:t>1</w:t>
            </w:r>
            <w:r w:rsidR="00E7798D">
              <w:rPr>
                <w:rFonts w:ascii="宋体" w:hAnsi="宋体"/>
                <w:bCs/>
                <w:sz w:val="24"/>
                <w:szCs w:val="22"/>
              </w:rPr>
              <w:t>46</w:t>
            </w:r>
            <w:r w:rsidR="000F416B">
              <w:rPr>
                <w:rFonts w:ascii="宋体" w:hAnsi="宋体" w:hint="eastAsia"/>
                <w:bCs/>
                <w:sz w:val="24"/>
                <w:szCs w:val="22"/>
              </w:rPr>
              <w:t>人次</w:t>
            </w:r>
          </w:p>
        </w:tc>
      </w:tr>
      <w:tr w:rsidR="00190332" w14:paraId="05B8F41A" w14:textId="77777777">
        <w:trPr>
          <w:trHeight w:val="774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621FF" w14:textId="77777777" w:rsidR="00190332" w:rsidRDefault="00CA128B">
            <w:pPr>
              <w:spacing w:line="440" w:lineRule="exact"/>
              <w:jc w:val="center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时间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2FA4B" w14:textId="60275921" w:rsidR="00190332" w:rsidRDefault="005A413F">
            <w:pPr>
              <w:spacing w:line="276" w:lineRule="auto"/>
              <w:jc w:val="left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202</w:t>
            </w:r>
            <w:r>
              <w:rPr>
                <w:rStyle w:val="NormalCharacter"/>
                <w:rFonts w:ascii="宋体" w:hAnsi="宋体"/>
                <w:bCs/>
                <w:iCs/>
                <w:sz w:val="24"/>
              </w:rPr>
              <w:t>4</w:t>
            </w: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年</w:t>
            </w:r>
            <w:r>
              <w:rPr>
                <w:rStyle w:val="NormalCharacter"/>
                <w:rFonts w:ascii="宋体" w:hAnsi="宋体"/>
                <w:bCs/>
                <w:iCs/>
                <w:sz w:val="24"/>
              </w:rPr>
              <w:t>5</w:t>
            </w:r>
            <w:r w:rsidR="007C186E"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月</w:t>
            </w:r>
          </w:p>
        </w:tc>
      </w:tr>
      <w:tr w:rsidR="00190332" w14:paraId="4F63DA9E" w14:textId="77777777">
        <w:trPr>
          <w:trHeight w:val="670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94FCE" w14:textId="77777777" w:rsidR="00190332" w:rsidRDefault="00CA128B">
            <w:pPr>
              <w:spacing w:line="440" w:lineRule="exact"/>
              <w:jc w:val="center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/>
                <w:bCs/>
                <w:iCs/>
                <w:sz w:val="24"/>
              </w:rPr>
              <w:t>地点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75AD0" w14:textId="60932DDD" w:rsidR="00703181" w:rsidRDefault="005A413F">
            <w:pPr>
              <w:spacing w:line="276" w:lineRule="auto"/>
              <w:jc w:val="left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上海、北京、深圳</w:t>
            </w:r>
          </w:p>
        </w:tc>
      </w:tr>
      <w:tr w:rsidR="00190332" w14:paraId="58BE10C1" w14:textId="77777777">
        <w:trPr>
          <w:trHeight w:val="1019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BF62" w14:textId="77777777" w:rsidR="00190332" w:rsidRDefault="00CA128B">
            <w:pPr>
              <w:spacing w:line="440" w:lineRule="exact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/>
                <w:bCs/>
                <w:iCs/>
                <w:sz w:val="24"/>
              </w:rPr>
              <w:t>上市公司接待人员姓名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E512" w14:textId="0BAB260E" w:rsidR="007C186E" w:rsidRPr="007C186E" w:rsidRDefault="007C186E" w:rsidP="007C186E">
            <w:pPr>
              <w:spacing w:line="276" w:lineRule="auto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副总裁、董事会秘书 钟涛</w:t>
            </w:r>
          </w:p>
          <w:p w14:paraId="067F326C" w14:textId="64B005BF" w:rsidR="00190332" w:rsidRDefault="005A413F">
            <w:pPr>
              <w:spacing w:line="276" w:lineRule="auto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证券事务代表 孙诗旖</w:t>
            </w:r>
            <w:bookmarkStart w:id="0" w:name="_GoBack"/>
            <w:bookmarkEnd w:id="0"/>
          </w:p>
        </w:tc>
      </w:tr>
      <w:tr w:rsidR="00190332" w14:paraId="3EC054D5" w14:textId="77777777">
        <w:trPr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5ACCF" w14:textId="77777777" w:rsidR="00190332" w:rsidRDefault="00CA128B">
            <w:pPr>
              <w:spacing w:line="440" w:lineRule="exact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/>
                <w:bCs/>
                <w:iCs/>
                <w:sz w:val="24"/>
              </w:rPr>
              <w:t>投资者关系活动主要内容介绍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3F5BB" w14:textId="469E88C3" w:rsidR="00A451B5" w:rsidRPr="00A451B5" w:rsidRDefault="00A451B5" w:rsidP="00A451B5">
            <w:pPr>
              <w:spacing w:line="276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  <w:lang w:bidi="ar"/>
              </w:rPr>
            </w:pPr>
            <w:r w:rsidRPr="00A451B5"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Q：</w:t>
            </w:r>
            <w:r w:rsidR="00F804B7"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请问</w:t>
            </w:r>
            <w:r w:rsidR="00900A11"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上海医药的财务成本</w:t>
            </w:r>
            <w:r w:rsidR="00F804B7">
              <w:rPr>
                <w:rFonts w:ascii="宋体" w:hAnsi="宋体" w:cs="宋体"/>
                <w:b/>
                <w:bCs/>
                <w:kern w:val="0"/>
                <w:sz w:val="24"/>
                <w:lang w:bidi="ar"/>
              </w:rPr>
              <w:t>情况</w:t>
            </w:r>
            <w:r w:rsidR="00900A11"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？</w:t>
            </w:r>
          </w:p>
          <w:p w14:paraId="1D49FA43" w14:textId="4E22CEBE" w:rsidR="00703181" w:rsidRDefault="00A451B5" w:rsidP="009B419E">
            <w:pPr>
              <w:spacing w:line="276" w:lineRule="auto"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AB6D27">
              <w:rPr>
                <w:rFonts w:ascii="宋体" w:hAnsi="宋体" w:cs="宋体" w:hint="eastAsia"/>
                <w:kern w:val="0"/>
                <w:sz w:val="24"/>
                <w:lang w:bidi="ar"/>
              </w:rPr>
              <w:t>A：</w:t>
            </w:r>
            <w:r w:rsidR="00900A11" w:rsidRPr="00900A11">
              <w:rPr>
                <w:rFonts w:ascii="宋体" w:hAnsi="宋体" w:cs="宋体" w:hint="eastAsia"/>
                <w:kern w:val="0"/>
                <w:sz w:val="24"/>
                <w:lang w:bidi="ar"/>
              </w:rPr>
              <w:t>上海医药一直保持着合理的资本结构与健康的现金流状况。截至2024年</w:t>
            </w:r>
            <w:r w:rsidR="0096354A">
              <w:rPr>
                <w:rFonts w:ascii="宋体" w:hAnsi="宋体" w:cs="宋体" w:hint="eastAsia"/>
                <w:kern w:val="0"/>
                <w:sz w:val="24"/>
                <w:lang w:bidi="ar"/>
              </w:rPr>
              <w:t>第一季度</w:t>
            </w:r>
            <w:r w:rsidR="00900A11" w:rsidRPr="00900A11">
              <w:rPr>
                <w:rFonts w:ascii="宋体" w:hAnsi="宋体" w:cs="宋体" w:hint="eastAsia"/>
                <w:kern w:val="0"/>
                <w:sz w:val="24"/>
                <w:lang w:bidi="ar"/>
              </w:rPr>
              <w:t>，上海医药财务费</w:t>
            </w:r>
            <w:r w:rsidR="007F5164">
              <w:rPr>
                <w:rFonts w:ascii="宋体" w:hAnsi="宋体" w:cs="宋体" w:hint="eastAsia"/>
                <w:kern w:val="0"/>
                <w:sz w:val="24"/>
                <w:lang w:bidi="ar"/>
              </w:rPr>
              <w:t>用</w:t>
            </w:r>
            <w:r w:rsidR="00900A11" w:rsidRPr="00900A11">
              <w:rPr>
                <w:rFonts w:ascii="宋体" w:hAnsi="宋体" w:cs="宋体" w:hint="eastAsia"/>
                <w:kern w:val="0"/>
                <w:sz w:val="24"/>
                <w:lang w:bidi="ar"/>
              </w:rPr>
              <w:t>率</w:t>
            </w:r>
            <w:r w:rsidR="007F5164">
              <w:rPr>
                <w:rFonts w:ascii="宋体" w:hAnsi="宋体" w:cs="宋体" w:hint="eastAsia"/>
                <w:kern w:val="0"/>
                <w:sz w:val="24"/>
                <w:lang w:bidi="ar"/>
              </w:rPr>
              <w:t>持续</w:t>
            </w:r>
            <w:r w:rsidR="00900A11">
              <w:rPr>
                <w:rFonts w:ascii="宋体" w:hAnsi="宋体" w:cs="宋体" w:hint="eastAsia"/>
                <w:kern w:val="0"/>
                <w:sz w:val="24"/>
                <w:lang w:bidi="ar"/>
              </w:rPr>
              <w:t>优化</w:t>
            </w:r>
            <w:r w:rsidR="00900A11" w:rsidRPr="00900A11">
              <w:rPr>
                <w:rFonts w:ascii="宋体" w:hAnsi="宋体" w:cs="宋体" w:hint="eastAsia"/>
                <w:kern w:val="0"/>
                <w:sz w:val="24"/>
                <w:lang w:bidi="ar"/>
              </w:rPr>
              <w:t>。未来，我们将继续优化资本结构、改善现金流、提升ROE，推动新时代的高质量发展。</w:t>
            </w:r>
          </w:p>
          <w:p w14:paraId="631D0D02" w14:textId="77777777" w:rsidR="00900A11" w:rsidRPr="00900A11" w:rsidRDefault="00900A11" w:rsidP="00B96214">
            <w:pPr>
              <w:spacing w:line="27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 w14:paraId="44BBF1BA" w14:textId="68E9F8D6" w:rsidR="00510132" w:rsidRPr="007F5164" w:rsidRDefault="00510132" w:rsidP="00A907E7">
            <w:pPr>
              <w:spacing w:line="276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  <w:lang w:bidi="ar"/>
              </w:rPr>
            </w:pPr>
            <w:r w:rsidRPr="007F5164">
              <w:rPr>
                <w:rFonts w:ascii="宋体" w:hAnsi="宋体" w:cs="宋体"/>
                <w:b/>
                <w:bCs/>
                <w:kern w:val="0"/>
                <w:sz w:val="24"/>
                <w:lang w:bidi="ar"/>
              </w:rPr>
              <w:t>Q</w:t>
            </w:r>
            <w:r w:rsidRPr="007F5164"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：</w:t>
            </w:r>
            <w:r w:rsidR="00F804B7"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请问</w:t>
            </w:r>
            <w:r w:rsidRPr="007F5164"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上海医药</w:t>
            </w:r>
            <w:r w:rsidR="006B7A13" w:rsidRPr="007F5164"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中药业务板块</w:t>
            </w:r>
            <w:r w:rsidR="0096354A" w:rsidRPr="007F5164"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如何发展？</w:t>
            </w:r>
          </w:p>
          <w:p w14:paraId="4673D53A" w14:textId="3516BB95" w:rsidR="0096354A" w:rsidRPr="0096354A" w:rsidRDefault="00280478" w:rsidP="0096354A">
            <w:pPr>
              <w:spacing w:line="276" w:lineRule="auto"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AB6D27">
              <w:rPr>
                <w:rFonts w:ascii="宋体" w:hAnsi="宋体" w:cs="宋体" w:hint="eastAsia"/>
                <w:kern w:val="0"/>
                <w:sz w:val="24"/>
                <w:lang w:bidi="ar"/>
              </w:rPr>
              <w:t>A：</w:t>
            </w:r>
            <w:r w:rsidR="0096354A" w:rsidRPr="0096354A">
              <w:rPr>
                <w:rFonts w:ascii="宋体" w:hAnsi="宋体" w:cs="宋体" w:hint="eastAsia"/>
                <w:kern w:val="0"/>
                <w:sz w:val="24"/>
                <w:lang w:bidi="ar"/>
              </w:rPr>
              <w:t>公司紧抓中医药产业发展机遇，持续推进中药大品种培育战略。</w:t>
            </w:r>
            <w:r w:rsidR="00F66574">
              <w:rPr>
                <w:rFonts w:ascii="宋体" w:hAnsi="宋体" w:cs="宋体" w:hint="eastAsia"/>
                <w:kern w:val="0"/>
                <w:sz w:val="24"/>
                <w:lang w:bidi="ar"/>
              </w:rPr>
              <w:t>2</w:t>
            </w:r>
            <w:r w:rsidR="00F66574">
              <w:rPr>
                <w:rFonts w:ascii="宋体" w:hAnsi="宋体" w:cs="宋体"/>
                <w:kern w:val="0"/>
                <w:sz w:val="24"/>
                <w:lang w:bidi="ar"/>
              </w:rPr>
              <w:t>023年，</w:t>
            </w:r>
            <w:r w:rsidR="0096354A" w:rsidRPr="0096354A">
              <w:rPr>
                <w:rFonts w:ascii="宋体" w:hAnsi="宋体" w:cs="宋体" w:hint="eastAsia"/>
                <w:kern w:val="0"/>
                <w:sz w:val="24"/>
                <w:lang w:bidi="ar"/>
              </w:rPr>
              <w:t>中药板块</w:t>
            </w:r>
            <w:r w:rsidR="007F5164">
              <w:rPr>
                <w:rFonts w:ascii="宋体" w:hAnsi="宋体" w:cs="宋体"/>
                <w:kern w:val="0"/>
                <w:sz w:val="24"/>
                <w:lang w:bidi="ar"/>
              </w:rPr>
              <w:t>收入规模已接近百亿，</w:t>
            </w:r>
            <w:r w:rsidR="0096354A" w:rsidRPr="0096354A">
              <w:rPr>
                <w:rFonts w:ascii="宋体" w:hAnsi="宋体" w:cs="宋体" w:hint="eastAsia"/>
                <w:kern w:val="0"/>
                <w:sz w:val="24"/>
                <w:lang w:bidi="ar"/>
              </w:rPr>
              <w:t>2024年一季度</w:t>
            </w:r>
            <w:r w:rsidR="00F66574">
              <w:rPr>
                <w:rFonts w:ascii="宋体" w:hAnsi="宋体" w:cs="宋体" w:hint="eastAsia"/>
                <w:kern w:val="0"/>
                <w:sz w:val="24"/>
                <w:lang w:bidi="ar"/>
              </w:rPr>
              <w:t>继续保持高增长，</w:t>
            </w:r>
            <w:r w:rsidR="0096354A" w:rsidRPr="0096354A">
              <w:rPr>
                <w:rFonts w:ascii="宋体" w:hAnsi="宋体" w:cs="宋体" w:hint="eastAsia"/>
                <w:kern w:val="0"/>
                <w:sz w:val="24"/>
                <w:lang w:bidi="ar"/>
              </w:rPr>
              <w:t>同比</w:t>
            </w:r>
            <w:r w:rsidR="00F66574">
              <w:rPr>
                <w:rFonts w:ascii="宋体" w:hAnsi="宋体" w:cs="宋体" w:hint="eastAsia"/>
                <w:kern w:val="0"/>
                <w:sz w:val="24"/>
                <w:lang w:bidi="ar"/>
              </w:rPr>
              <w:t>增速超过2</w:t>
            </w:r>
            <w:r w:rsidR="00F66574">
              <w:rPr>
                <w:rFonts w:ascii="宋体" w:hAnsi="宋体" w:cs="宋体"/>
                <w:kern w:val="0"/>
                <w:sz w:val="24"/>
                <w:lang w:bidi="ar"/>
              </w:rPr>
              <w:t>0%</w:t>
            </w:r>
            <w:r w:rsidR="0096354A" w:rsidRPr="0096354A">
              <w:rPr>
                <w:rFonts w:ascii="宋体" w:hAnsi="宋体" w:cs="宋体" w:hint="eastAsia"/>
                <w:kern w:val="0"/>
                <w:sz w:val="24"/>
                <w:lang w:bidi="ar"/>
              </w:rPr>
              <w:t>。</w:t>
            </w:r>
          </w:p>
          <w:p w14:paraId="01EBA037" w14:textId="05846CC8" w:rsidR="00F62A3F" w:rsidRDefault="0096354A" w:rsidP="00510132">
            <w:pPr>
              <w:spacing w:line="276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96354A">
              <w:rPr>
                <w:rFonts w:ascii="宋体" w:hAnsi="宋体" w:cs="宋体" w:hint="eastAsia"/>
                <w:kern w:val="0"/>
                <w:sz w:val="24"/>
                <w:lang w:bidi="ar"/>
              </w:rPr>
              <w:t>公司</w:t>
            </w:r>
            <w:r w:rsidR="00F66574" w:rsidRPr="0096354A">
              <w:rPr>
                <w:rFonts w:ascii="宋体" w:hAnsi="宋体" w:cs="宋体" w:hint="eastAsia"/>
                <w:kern w:val="0"/>
                <w:sz w:val="24"/>
                <w:lang w:bidi="ar"/>
              </w:rPr>
              <w:t>持续推进中药大品种和大品牌战略，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不断</w:t>
            </w:r>
            <w:r w:rsidRPr="0096354A">
              <w:rPr>
                <w:rFonts w:ascii="宋体" w:hAnsi="宋体" w:cs="宋体" w:hint="eastAsia"/>
                <w:kern w:val="0"/>
                <w:sz w:val="24"/>
                <w:lang w:bidi="ar"/>
              </w:rPr>
              <w:t>挖掘自身优势资源，通过</w:t>
            </w:r>
            <w:r w:rsidR="00F66574">
              <w:rPr>
                <w:rFonts w:ascii="宋体" w:hAnsi="宋体" w:cs="宋体" w:hint="eastAsia"/>
                <w:kern w:val="0"/>
                <w:sz w:val="24"/>
                <w:lang w:bidi="ar"/>
              </w:rPr>
              <w:t>推进循证医学研究、</w:t>
            </w:r>
            <w:r w:rsidRPr="0096354A">
              <w:rPr>
                <w:rFonts w:ascii="宋体" w:hAnsi="宋体" w:cs="宋体" w:hint="eastAsia"/>
                <w:kern w:val="0"/>
                <w:sz w:val="24"/>
                <w:lang w:bidi="ar"/>
              </w:rPr>
              <w:t>提升终端覆盖、优化商业布局、拓展销售渠道、开展健康讲座等方式，提升</w:t>
            </w:r>
            <w:r w:rsidR="00F66574">
              <w:rPr>
                <w:rFonts w:ascii="宋体" w:hAnsi="宋体" w:cs="宋体"/>
                <w:kern w:val="0"/>
                <w:sz w:val="24"/>
                <w:lang w:bidi="ar"/>
              </w:rPr>
              <w:t>重点</w:t>
            </w:r>
            <w:r w:rsidRPr="0096354A">
              <w:rPr>
                <w:rFonts w:ascii="宋体" w:hAnsi="宋体" w:cs="宋体" w:hint="eastAsia"/>
                <w:kern w:val="0"/>
                <w:sz w:val="24"/>
                <w:lang w:bidi="ar"/>
              </w:rPr>
              <w:t>品种</w:t>
            </w:r>
            <w:r w:rsidR="00F66574">
              <w:rPr>
                <w:rFonts w:ascii="宋体" w:hAnsi="宋体" w:cs="宋体" w:hint="eastAsia"/>
                <w:kern w:val="0"/>
                <w:sz w:val="24"/>
                <w:lang w:bidi="ar"/>
              </w:rPr>
              <w:t>的</w:t>
            </w:r>
            <w:r w:rsidRPr="0096354A">
              <w:rPr>
                <w:rFonts w:ascii="宋体" w:hAnsi="宋体" w:cs="宋体" w:hint="eastAsia"/>
                <w:kern w:val="0"/>
                <w:sz w:val="24"/>
                <w:lang w:bidi="ar"/>
              </w:rPr>
              <w:t>销售收入。</w:t>
            </w:r>
          </w:p>
          <w:p w14:paraId="4F647785" w14:textId="77777777" w:rsidR="007505E8" w:rsidRPr="0096354A" w:rsidRDefault="007505E8" w:rsidP="00510132">
            <w:pPr>
              <w:spacing w:line="276" w:lineRule="auto"/>
              <w:ind w:firstLineChars="200" w:firstLine="420"/>
              <w:jc w:val="left"/>
            </w:pPr>
          </w:p>
          <w:p w14:paraId="476DFDAD" w14:textId="5091EC31" w:rsidR="003D28C9" w:rsidRPr="00A451B5" w:rsidRDefault="003D28C9" w:rsidP="003D28C9">
            <w:pPr>
              <w:spacing w:line="276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  <w:lang w:bidi="ar"/>
              </w:rPr>
            </w:pPr>
            <w:r w:rsidRPr="00A451B5"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lastRenderedPageBreak/>
              <w:t>Q：</w:t>
            </w:r>
            <w:r w:rsidR="00F804B7"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请问</w:t>
            </w:r>
            <w:r w:rsidR="0038201D"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管理层换届后</w:t>
            </w:r>
            <w:r w:rsidR="00F804B7"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，公司</w:t>
            </w:r>
            <w:r w:rsidR="00A907E7"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战略</w:t>
            </w:r>
            <w:r w:rsidR="0038201D"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是否会有调整？</w:t>
            </w:r>
          </w:p>
          <w:p w14:paraId="3593824F" w14:textId="1783AF25" w:rsidR="00280478" w:rsidRDefault="00280478" w:rsidP="00280478">
            <w:pPr>
              <w:spacing w:line="276" w:lineRule="auto"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AB6D27">
              <w:rPr>
                <w:rFonts w:ascii="宋体" w:hAnsi="宋体" w:cs="宋体" w:hint="eastAsia"/>
                <w:kern w:val="0"/>
                <w:sz w:val="24"/>
                <w:lang w:bidi="ar"/>
              </w:rPr>
              <w:t>A：</w:t>
            </w:r>
            <w:r w:rsidR="0038201D" w:rsidRPr="0038201D">
              <w:rPr>
                <w:rFonts w:ascii="宋体" w:hAnsi="宋体" w:cs="宋体" w:hint="eastAsia"/>
                <w:kern w:val="0"/>
                <w:sz w:val="24"/>
                <w:lang w:bidi="ar"/>
              </w:rPr>
              <w:t>公司将继续深入推进创新发展、集约化发展、融产结合、国际化发展及数字化建设“4+1”战略，向具有国际竞争力的</w:t>
            </w:r>
            <w:r w:rsidR="007505E8">
              <w:rPr>
                <w:rFonts w:ascii="宋体" w:hAnsi="宋体" w:cs="宋体"/>
                <w:kern w:val="0"/>
                <w:sz w:val="24"/>
                <w:lang w:bidi="ar"/>
              </w:rPr>
              <w:t>世界一流药企</w:t>
            </w:r>
            <w:r w:rsidR="0038201D" w:rsidRPr="0038201D">
              <w:rPr>
                <w:rFonts w:ascii="宋体" w:hAnsi="宋体" w:cs="宋体" w:hint="eastAsia"/>
                <w:kern w:val="0"/>
                <w:sz w:val="24"/>
                <w:lang w:bidi="ar"/>
              </w:rPr>
              <w:t>这一目标稳步迈进。</w:t>
            </w:r>
          </w:p>
          <w:p w14:paraId="44D1869B" w14:textId="77777777" w:rsidR="003D28C9" w:rsidRPr="00280478" w:rsidRDefault="003D28C9" w:rsidP="00510132">
            <w:pPr>
              <w:spacing w:line="276" w:lineRule="auto"/>
              <w:ind w:firstLineChars="200" w:firstLine="420"/>
              <w:jc w:val="left"/>
            </w:pPr>
          </w:p>
          <w:p w14:paraId="3525BDA7" w14:textId="22AA85DD" w:rsidR="003D28C9" w:rsidRPr="00A451B5" w:rsidRDefault="003D28C9" w:rsidP="003D28C9">
            <w:pPr>
              <w:spacing w:line="276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  <w:lang w:bidi="ar"/>
              </w:rPr>
            </w:pPr>
            <w:r w:rsidRPr="00A451B5"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Q：</w:t>
            </w:r>
            <w:r w:rsidR="00E7798D" w:rsidRPr="00E7798D"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请问公司</w:t>
            </w:r>
            <w:r w:rsidR="00E7798D"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近期的</w:t>
            </w:r>
            <w:r w:rsidR="00E7798D" w:rsidRPr="00E7798D"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分红计划和派息政策？</w:t>
            </w:r>
            <w:r w:rsidR="00A907E7" w:rsidRPr="00510132" w:rsidDel="00A907E7"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 xml:space="preserve"> </w:t>
            </w:r>
          </w:p>
          <w:p w14:paraId="76FAEC09" w14:textId="1FD24DE1" w:rsidR="00280478" w:rsidRDefault="00280478" w:rsidP="0094422D">
            <w:pPr>
              <w:spacing w:line="276" w:lineRule="auto"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AB6D27">
              <w:rPr>
                <w:rFonts w:ascii="宋体" w:hAnsi="宋体" w:cs="宋体" w:hint="eastAsia"/>
                <w:kern w:val="0"/>
                <w:sz w:val="24"/>
                <w:lang w:bidi="ar"/>
              </w:rPr>
              <w:t>A：</w:t>
            </w:r>
            <w:r w:rsidR="007505E8">
              <w:rPr>
                <w:rFonts w:ascii="宋体" w:hAnsi="宋体" w:cs="宋体"/>
                <w:kern w:val="0"/>
                <w:sz w:val="24"/>
                <w:lang w:bidi="ar"/>
              </w:rPr>
              <w:t>公司</w:t>
            </w:r>
            <w:r w:rsidR="00E7798D" w:rsidRPr="00E7798D">
              <w:rPr>
                <w:rFonts w:ascii="宋体" w:hAnsi="宋体" w:cs="宋体" w:hint="eastAsia"/>
                <w:kern w:val="0"/>
                <w:sz w:val="24"/>
                <w:lang w:bidi="ar"/>
              </w:rPr>
              <w:t>十分重视股东回报，上市</w:t>
            </w:r>
            <w:r w:rsidR="007505E8">
              <w:rPr>
                <w:rFonts w:ascii="宋体" w:hAnsi="宋体" w:cs="宋体"/>
                <w:kern w:val="0"/>
                <w:sz w:val="24"/>
                <w:lang w:bidi="ar"/>
              </w:rPr>
              <w:t>以来持续</w:t>
            </w:r>
            <w:r w:rsidR="00E7798D" w:rsidRPr="00E7798D">
              <w:rPr>
                <w:rFonts w:ascii="宋体" w:hAnsi="宋体" w:cs="宋体" w:hint="eastAsia"/>
                <w:kern w:val="0"/>
                <w:sz w:val="24"/>
                <w:lang w:bidi="ar"/>
              </w:rPr>
              <w:t>保持30%以上比例的分红，我们已于2024年3月29日公告了关于2023年度的利润分配方案，拟向全体股东每10股派发现金红利4.10元（含税），占当年合并归属于上市公司股东的净利润的40.30%。</w:t>
            </w:r>
          </w:p>
          <w:p w14:paraId="30A93945" w14:textId="77777777" w:rsidR="003D28C9" w:rsidRDefault="003D28C9" w:rsidP="00510132">
            <w:pPr>
              <w:spacing w:line="276" w:lineRule="auto"/>
              <w:ind w:firstLineChars="200" w:firstLine="420"/>
              <w:jc w:val="left"/>
            </w:pPr>
          </w:p>
          <w:p w14:paraId="6706EA2D" w14:textId="13AE226B" w:rsidR="003D28C9" w:rsidRPr="00A451B5" w:rsidRDefault="003D28C9" w:rsidP="003D28C9">
            <w:pPr>
              <w:spacing w:line="276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  <w:lang w:bidi="ar"/>
              </w:rPr>
            </w:pPr>
            <w:r w:rsidRPr="00A451B5"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Q：</w:t>
            </w:r>
            <w:r w:rsidR="00F804B7"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请问</w:t>
            </w:r>
            <w:r w:rsidR="00E7798D" w:rsidRPr="00E7798D"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公司</w:t>
            </w:r>
            <w:r w:rsidR="00F804B7"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多年前</w:t>
            </w:r>
            <w:r w:rsidR="00E7798D" w:rsidRPr="00E7798D"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收购的</w:t>
            </w:r>
            <w:r w:rsidR="00F804B7">
              <w:rPr>
                <w:rFonts w:ascii="宋体" w:hAnsi="宋体" w:cs="宋体"/>
                <w:b/>
                <w:bCs/>
                <w:kern w:val="0"/>
                <w:sz w:val="24"/>
                <w:lang w:bidi="ar"/>
              </w:rPr>
              <w:t>境外</w:t>
            </w:r>
            <w:r w:rsidR="00E7798D" w:rsidRPr="00E7798D"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保健品公司</w:t>
            </w:r>
            <w:r w:rsidR="00F804B7"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发展</w:t>
            </w:r>
            <w:r w:rsidR="00E7798D" w:rsidRPr="00E7798D"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现状如何</w:t>
            </w:r>
            <w:r w:rsidR="00E7798D"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？</w:t>
            </w:r>
          </w:p>
          <w:p w14:paraId="133DFF39" w14:textId="31E2E673" w:rsidR="00280478" w:rsidRDefault="00280478" w:rsidP="00280478">
            <w:pPr>
              <w:spacing w:line="276" w:lineRule="auto"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AB6D27">
              <w:rPr>
                <w:rFonts w:ascii="宋体" w:hAnsi="宋体" w:cs="宋体" w:hint="eastAsia"/>
                <w:kern w:val="0"/>
                <w:sz w:val="24"/>
                <w:lang w:bidi="ar"/>
              </w:rPr>
              <w:t>A：</w:t>
            </w:r>
            <w:r w:rsidR="00F804B7" w:rsidRPr="00E7798D" w:rsidDel="00F804B7"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 </w:t>
            </w:r>
            <w:r w:rsidR="00E57DA2">
              <w:rPr>
                <w:rFonts w:ascii="宋体" w:hAnsi="宋体" w:cs="宋体"/>
                <w:kern w:val="0"/>
                <w:sz w:val="24"/>
                <w:lang w:bidi="ar"/>
              </w:rPr>
              <w:t>V</w:t>
            </w:r>
            <w:r w:rsidR="00F804B7">
              <w:rPr>
                <w:rFonts w:ascii="宋体" w:hAnsi="宋体" w:cs="宋体"/>
                <w:kern w:val="0"/>
                <w:sz w:val="24"/>
                <w:lang w:bidi="ar"/>
              </w:rPr>
              <w:t>itaco</w:t>
            </w:r>
            <w:r w:rsidR="00E7798D" w:rsidRPr="00E7798D">
              <w:rPr>
                <w:rFonts w:ascii="宋体" w:hAnsi="宋体" w:cs="宋体" w:hint="eastAsia"/>
                <w:kern w:val="0"/>
                <w:sz w:val="24"/>
                <w:lang w:bidi="ar"/>
              </w:rPr>
              <w:t>发展良好，2023年收入超过2.7亿澳币。</w:t>
            </w:r>
          </w:p>
          <w:p w14:paraId="05876D25" w14:textId="77777777" w:rsidR="003D28C9" w:rsidRPr="00F13522" w:rsidRDefault="003D28C9" w:rsidP="00510132">
            <w:pPr>
              <w:spacing w:line="276" w:lineRule="auto"/>
              <w:ind w:firstLineChars="200" w:firstLine="420"/>
              <w:jc w:val="left"/>
            </w:pPr>
          </w:p>
          <w:p w14:paraId="3772DFEF" w14:textId="664BF827" w:rsidR="003D28C9" w:rsidRPr="00A451B5" w:rsidRDefault="003D28C9" w:rsidP="003D28C9">
            <w:pPr>
              <w:spacing w:line="276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  <w:lang w:bidi="ar"/>
              </w:rPr>
            </w:pPr>
            <w:r w:rsidRPr="00A451B5"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Q：</w:t>
            </w:r>
            <w:r w:rsidR="00F804B7"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请问公司的新药</w:t>
            </w:r>
            <w:r w:rsidR="00E7798D"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研发进展？</w:t>
            </w:r>
          </w:p>
          <w:p w14:paraId="2A093844" w14:textId="1EF88A50" w:rsidR="00D8316D" w:rsidRPr="00D8316D" w:rsidRDefault="00280478" w:rsidP="003B5EDA">
            <w:pPr>
              <w:spacing w:line="276" w:lineRule="auto"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AB6D27">
              <w:rPr>
                <w:rFonts w:ascii="宋体" w:hAnsi="宋体" w:cs="宋体" w:hint="eastAsia"/>
                <w:kern w:val="0"/>
                <w:sz w:val="24"/>
                <w:lang w:bidi="ar"/>
              </w:rPr>
              <w:t>A：</w:t>
            </w:r>
            <w:r w:rsidR="00E7798D" w:rsidRPr="00E7798D">
              <w:rPr>
                <w:rFonts w:ascii="宋体" w:hAnsi="宋体" w:cs="宋体" w:hint="eastAsia"/>
                <w:kern w:val="0"/>
                <w:sz w:val="24"/>
                <w:lang w:bidi="ar"/>
              </w:rPr>
              <w:t>创新研发需要长期坚定的投入，上海医药</w:t>
            </w:r>
            <w:r w:rsidR="00F804B7">
              <w:rPr>
                <w:rFonts w:ascii="宋体" w:hAnsi="宋体" w:cs="宋体"/>
                <w:kern w:val="0"/>
                <w:sz w:val="24"/>
                <w:lang w:bidi="ar"/>
              </w:rPr>
              <w:t>的研发投入已</w:t>
            </w:r>
            <w:r w:rsidR="00E7798D" w:rsidRPr="00E7798D">
              <w:rPr>
                <w:rFonts w:ascii="宋体" w:hAnsi="宋体" w:cs="宋体" w:hint="eastAsia"/>
                <w:kern w:val="0"/>
                <w:sz w:val="24"/>
                <w:lang w:bidi="ar"/>
              </w:rPr>
              <w:t>开始步入收获期。目前已有</w:t>
            </w:r>
            <w:r w:rsidR="00F804B7">
              <w:rPr>
                <w:rFonts w:ascii="宋体" w:hAnsi="宋体" w:cs="宋体" w:hint="eastAsia"/>
                <w:kern w:val="0"/>
                <w:sz w:val="24"/>
                <w:lang w:bidi="ar"/>
              </w:rPr>
              <w:t>3</w:t>
            </w:r>
            <w:r w:rsidR="00F804B7">
              <w:rPr>
                <w:rFonts w:ascii="宋体" w:hAnsi="宋体" w:cs="宋体"/>
                <w:kern w:val="0"/>
                <w:sz w:val="24"/>
                <w:lang w:bidi="ar"/>
              </w:rPr>
              <w:t>款1</w:t>
            </w:r>
            <w:r w:rsidR="00E7798D" w:rsidRPr="00E7798D">
              <w:rPr>
                <w:rFonts w:ascii="宋体" w:hAnsi="宋体" w:cs="宋体" w:hint="eastAsia"/>
                <w:kern w:val="0"/>
                <w:sz w:val="24"/>
                <w:lang w:bidi="ar"/>
              </w:rPr>
              <w:t>类新药获批上市，</w:t>
            </w:r>
            <w:r w:rsidR="00F804B7">
              <w:rPr>
                <w:rFonts w:ascii="宋体" w:hAnsi="宋体" w:cs="宋体" w:hint="eastAsia"/>
                <w:kern w:val="0"/>
                <w:sz w:val="24"/>
                <w:lang w:bidi="ar"/>
              </w:rPr>
              <w:t>3</w:t>
            </w:r>
            <w:r w:rsidR="00F804B7">
              <w:rPr>
                <w:rFonts w:ascii="宋体" w:hAnsi="宋体" w:cs="宋体"/>
                <w:kern w:val="0"/>
                <w:sz w:val="24"/>
                <w:lang w:bidi="ar"/>
              </w:rPr>
              <w:t>款1</w:t>
            </w:r>
            <w:r w:rsidR="00E7798D" w:rsidRPr="00E7798D">
              <w:rPr>
                <w:rFonts w:ascii="宋体" w:hAnsi="宋体" w:cs="宋体" w:hint="eastAsia"/>
                <w:kern w:val="0"/>
                <w:sz w:val="24"/>
                <w:lang w:bidi="ar"/>
              </w:rPr>
              <w:t>类新药提交上市申请并有</w:t>
            </w:r>
            <w:r w:rsidR="00F804B7">
              <w:rPr>
                <w:rFonts w:ascii="宋体" w:hAnsi="宋体" w:cs="宋体" w:hint="eastAsia"/>
                <w:kern w:val="0"/>
                <w:sz w:val="24"/>
                <w:lang w:bidi="ar"/>
              </w:rPr>
              <w:t>其中2</w:t>
            </w:r>
            <w:r w:rsidR="00E7798D" w:rsidRPr="00E7798D">
              <w:rPr>
                <w:rFonts w:ascii="宋体" w:hAnsi="宋体" w:cs="宋体" w:hint="eastAsia"/>
                <w:kern w:val="0"/>
                <w:sz w:val="24"/>
                <w:lang w:bidi="ar"/>
              </w:rPr>
              <w:t>个获得受理。同时，考虑到外部研发环境和竞争格局的变化，我们对于在研管线进行了及时调整和进一步的聚焦。未来，我们将继续提升研发效率，以创新驱动增长。</w:t>
            </w:r>
          </w:p>
        </w:tc>
      </w:tr>
      <w:tr w:rsidR="00190332" w14:paraId="3DEF6B5C" w14:textId="77777777">
        <w:trPr>
          <w:trHeight w:val="1024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337D5" w14:textId="77777777" w:rsidR="00190332" w:rsidRDefault="00CA128B">
            <w:pPr>
              <w:spacing w:line="440" w:lineRule="exact"/>
              <w:ind w:firstLineChars="50" w:firstLine="120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/>
                <w:bCs/>
                <w:iCs/>
                <w:sz w:val="24"/>
              </w:rPr>
              <w:lastRenderedPageBreak/>
              <w:t>附件清单（如有）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D906" w14:textId="77777777" w:rsidR="00190332" w:rsidRDefault="00CA128B">
            <w:pPr>
              <w:spacing w:line="440" w:lineRule="exact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/>
                <w:bCs/>
                <w:iCs/>
                <w:sz w:val="24"/>
              </w:rPr>
              <w:t>无</w:t>
            </w:r>
          </w:p>
        </w:tc>
      </w:tr>
      <w:tr w:rsidR="00190332" w14:paraId="1DA7DBF6" w14:textId="77777777">
        <w:trPr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67A65" w14:textId="77777777" w:rsidR="00190332" w:rsidRDefault="00CA128B">
            <w:pPr>
              <w:spacing w:line="440" w:lineRule="exact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Style w:val="NormalCharacter"/>
                <w:rFonts w:ascii="宋体" w:hAnsi="宋体" w:hint="eastAsia"/>
                <w:bCs/>
                <w:iCs/>
                <w:sz w:val="24"/>
              </w:rPr>
              <w:t>注意事项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4398" w14:textId="77777777" w:rsidR="00190332" w:rsidRDefault="00CA128B">
            <w:pPr>
              <w:spacing w:line="276" w:lineRule="auto"/>
              <w:rPr>
                <w:rStyle w:val="NormalCharacter"/>
                <w:rFonts w:ascii="宋体" w:hAnsi="宋体"/>
                <w:bCs/>
                <w:iCs/>
                <w:sz w:val="24"/>
              </w:rPr>
            </w:pPr>
            <w:r>
              <w:rPr>
                <w:rFonts w:hint="eastAsia"/>
                <w:sz w:val="24"/>
              </w:rPr>
              <w:t>公司严格遵守信披规则进行投资者交流，如涉及公司未来计划、发展战略等前瞻性描述，不构成公司对投资者的实质性承诺。</w:t>
            </w:r>
          </w:p>
        </w:tc>
      </w:tr>
    </w:tbl>
    <w:p w14:paraId="4BAE399E" w14:textId="77777777" w:rsidR="00190332" w:rsidRDefault="00190332" w:rsidP="009A275A">
      <w:pPr>
        <w:spacing w:line="440" w:lineRule="exact"/>
        <w:rPr>
          <w:rStyle w:val="NormalCharacter"/>
          <w:rFonts w:ascii="宋体" w:hAnsi="宋体"/>
          <w:sz w:val="24"/>
        </w:rPr>
      </w:pPr>
    </w:p>
    <w:sectPr w:rsidR="00190332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A29C60" w14:textId="77777777" w:rsidR="00793D31" w:rsidRDefault="00793D31">
      <w:r>
        <w:separator/>
      </w:r>
    </w:p>
  </w:endnote>
  <w:endnote w:type="continuationSeparator" w:id="0">
    <w:p w14:paraId="5387DB37" w14:textId="77777777" w:rsidR="00793D31" w:rsidRDefault="0079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21980" w14:textId="77777777" w:rsidR="00F66574" w:rsidRDefault="00F66574">
    <w:pPr>
      <w:pStyle w:val="a6"/>
      <w:framePr w:wrap="around" w:hAnchor="text" w:xAlign="center" w:y="1"/>
      <w:rPr>
        <w:rStyle w:val="PageNumber"/>
      </w:rPr>
    </w:pPr>
  </w:p>
  <w:p w14:paraId="4D5923C8" w14:textId="77777777" w:rsidR="00F66574" w:rsidRDefault="00F66574">
    <w:pPr>
      <w:pStyle w:val="a6"/>
      <w:rPr>
        <w:rStyle w:val="NormalCharacte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87111"/>
    </w:sdtPr>
    <w:sdtEndPr/>
    <w:sdtContent>
      <w:p w14:paraId="7E0663C7" w14:textId="77777777" w:rsidR="00F66574" w:rsidRDefault="00F6657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5EDA" w:rsidRPr="003B5EDA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562EB7D0" w14:textId="77777777" w:rsidR="00F66574" w:rsidRDefault="00F66574">
    <w:pPr>
      <w:pStyle w:val="a6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D7499" w14:textId="77777777" w:rsidR="00793D31" w:rsidRDefault="00793D31">
      <w:r>
        <w:separator/>
      </w:r>
    </w:p>
  </w:footnote>
  <w:footnote w:type="continuationSeparator" w:id="0">
    <w:p w14:paraId="0A116F6E" w14:textId="77777777" w:rsidR="00793D31" w:rsidRDefault="00793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323EF" w14:textId="77777777" w:rsidR="00F66574" w:rsidRDefault="00F66574">
    <w:pPr>
      <w:pStyle w:val="a7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trackRevisions/>
  <w:defaultTabStop w:val="4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0ZGQ4MGFlMGFlMGE3NGYwOTgwNGYyNTA2NGE2OTkifQ=="/>
  </w:docVars>
  <w:rsids>
    <w:rsidRoot w:val="001612A5"/>
    <w:rsid w:val="000049BC"/>
    <w:rsid w:val="000108A2"/>
    <w:rsid w:val="00017ACD"/>
    <w:rsid w:val="00022A13"/>
    <w:rsid w:val="00022DF1"/>
    <w:rsid w:val="0003022F"/>
    <w:rsid w:val="00030CA1"/>
    <w:rsid w:val="00064303"/>
    <w:rsid w:val="0007505C"/>
    <w:rsid w:val="0008531D"/>
    <w:rsid w:val="00094165"/>
    <w:rsid w:val="000A165D"/>
    <w:rsid w:val="000C29D0"/>
    <w:rsid w:val="000D180F"/>
    <w:rsid w:val="000D22D9"/>
    <w:rsid w:val="000D3C66"/>
    <w:rsid w:val="000D664B"/>
    <w:rsid w:val="000E5DA9"/>
    <w:rsid w:val="000E5E80"/>
    <w:rsid w:val="000F416B"/>
    <w:rsid w:val="0010206E"/>
    <w:rsid w:val="00110069"/>
    <w:rsid w:val="001114F1"/>
    <w:rsid w:val="00111E46"/>
    <w:rsid w:val="00134F96"/>
    <w:rsid w:val="00141050"/>
    <w:rsid w:val="00144F45"/>
    <w:rsid w:val="0015245E"/>
    <w:rsid w:val="001529C7"/>
    <w:rsid w:val="001534EB"/>
    <w:rsid w:val="001612A5"/>
    <w:rsid w:val="001624F7"/>
    <w:rsid w:val="00180868"/>
    <w:rsid w:val="00186572"/>
    <w:rsid w:val="00190332"/>
    <w:rsid w:val="00195363"/>
    <w:rsid w:val="001B6BFB"/>
    <w:rsid w:val="001C4B5E"/>
    <w:rsid w:val="001D469E"/>
    <w:rsid w:val="001E50A4"/>
    <w:rsid w:val="002005A4"/>
    <w:rsid w:val="00202C9E"/>
    <w:rsid w:val="0020576D"/>
    <w:rsid w:val="00206D18"/>
    <w:rsid w:val="00234622"/>
    <w:rsid w:val="0025479E"/>
    <w:rsid w:val="00262CD4"/>
    <w:rsid w:val="00265153"/>
    <w:rsid w:val="00265473"/>
    <w:rsid w:val="00280478"/>
    <w:rsid w:val="002A26E1"/>
    <w:rsid w:val="002B7874"/>
    <w:rsid w:val="002C33CA"/>
    <w:rsid w:val="002C442B"/>
    <w:rsid w:val="002D6829"/>
    <w:rsid w:val="002D6DB9"/>
    <w:rsid w:val="002E015F"/>
    <w:rsid w:val="00306017"/>
    <w:rsid w:val="00307E40"/>
    <w:rsid w:val="00316D48"/>
    <w:rsid w:val="003220ED"/>
    <w:rsid w:val="00330694"/>
    <w:rsid w:val="00332743"/>
    <w:rsid w:val="0036458C"/>
    <w:rsid w:val="0038201D"/>
    <w:rsid w:val="00385085"/>
    <w:rsid w:val="00393349"/>
    <w:rsid w:val="003A13AC"/>
    <w:rsid w:val="003B5EDA"/>
    <w:rsid w:val="003B61F9"/>
    <w:rsid w:val="003C0DC9"/>
    <w:rsid w:val="003D22D5"/>
    <w:rsid w:val="003D28C9"/>
    <w:rsid w:val="003D40ED"/>
    <w:rsid w:val="003D500D"/>
    <w:rsid w:val="00424896"/>
    <w:rsid w:val="00435CB3"/>
    <w:rsid w:val="00447F66"/>
    <w:rsid w:val="00454FDB"/>
    <w:rsid w:val="0047467F"/>
    <w:rsid w:val="00480547"/>
    <w:rsid w:val="00483506"/>
    <w:rsid w:val="004934E1"/>
    <w:rsid w:val="00496BE7"/>
    <w:rsid w:val="004C1E8C"/>
    <w:rsid w:val="004E3C38"/>
    <w:rsid w:val="004F205D"/>
    <w:rsid w:val="004F5FEE"/>
    <w:rsid w:val="00504100"/>
    <w:rsid w:val="00510132"/>
    <w:rsid w:val="005121B3"/>
    <w:rsid w:val="00515E05"/>
    <w:rsid w:val="005271BE"/>
    <w:rsid w:val="0052745A"/>
    <w:rsid w:val="00545E27"/>
    <w:rsid w:val="00555B2C"/>
    <w:rsid w:val="00555F7C"/>
    <w:rsid w:val="00582754"/>
    <w:rsid w:val="00583851"/>
    <w:rsid w:val="00590199"/>
    <w:rsid w:val="005A413F"/>
    <w:rsid w:val="00600B36"/>
    <w:rsid w:val="0060600D"/>
    <w:rsid w:val="00606465"/>
    <w:rsid w:val="006075E9"/>
    <w:rsid w:val="00613D64"/>
    <w:rsid w:val="00622F8A"/>
    <w:rsid w:val="006541D2"/>
    <w:rsid w:val="0066537A"/>
    <w:rsid w:val="00695C8B"/>
    <w:rsid w:val="006A28D8"/>
    <w:rsid w:val="006A6E4F"/>
    <w:rsid w:val="006B3A5E"/>
    <w:rsid w:val="006B7A13"/>
    <w:rsid w:val="006D2DD9"/>
    <w:rsid w:val="006E1E89"/>
    <w:rsid w:val="006F130E"/>
    <w:rsid w:val="00703181"/>
    <w:rsid w:val="00703790"/>
    <w:rsid w:val="00706404"/>
    <w:rsid w:val="00720FA0"/>
    <w:rsid w:val="00735612"/>
    <w:rsid w:val="00741119"/>
    <w:rsid w:val="007505E8"/>
    <w:rsid w:val="00755033"/>
    <w:rsid w:val="007557BB"/>
    <w:rsid w:val="00782468"/>
    <w:rsid w:val="00793D31"/>
    <w:rsid w:val="00796AE3"/>
    <w:rsid w:val="007C186E"/>
    <w:rsid w:val="007D7D06"/>
    <w:rsid w:val="007F5164"/>
    <w:rsid w:val="007F78C1"/>
    <w:rsid w:val="00804589"/>
    <w:rsid w:val="008322EE"/>
    <w:rsid w:val="0085442E"/>
    <w:rsid w:val="00856C4A"/>
    <w:rsid w:val="00864F81"/>
    <w:rsid w:val="008728FC"/>
    <w:rsid w:val="0089503A"/>
    <w:rsid w:val="008A4FEB"/>
    <w:rsid w:val="008A50FC"/>
    <w:rsid w:val="008B1929"/>
    <w:rsid w:val="008C39F1"/>
    <w:rsid w:val="008F2559"/>
    <w:rsid w:val="00900A11"/>
    <w:rsid w:val="00906130"/>
    <w:rsid w:val="009122E1"/>
    <w:rsid w:val="00921DDC"/>
    <w:rsid w:val="0094422D"/>
    <w:rsid w:val="0095315B"/>
    <w:rsid w:val="00954F0C"/>
    <w:rsid w:val="0095767B"/>
    <w:rsid w:val="00962C11"/>
    <w:rsid w:val="0096354A"/>
    <w:rsid w:val="0097279B"/>
    <w:rsid w:val="00991D24"/>
    <w:rsid w:val="00992F1D"/>
    <w:rsid w:val="00993637"/>
    <w:rsid w:val="00996805"/>
    <w:rsid w:val="00996F8E"/>
    <w:rsid w:val="009A275A"/>
    <w:rsid w:val="009A7DE4"/>
    <w:rsid w:val="009B419E"/>
    <w:rsid w:val="009C0067"/>
    <w:rsid w:val="009E757F"/>
    <w:rsid w:val="00A143D5"/>
    <w:rsid w:val="00A30901"/>
    <w:rsid w:val="00A451B5"/>
    <w:rsid w:val="00A501F8"/>
    <w:rsid w:val="00A72166"/>
    <w:rsid w:val="00A85263"/>
    <w:rsid w:val="00A907E7"/>
    <w:rsid w:val="00A9767A"/>
    <w:rsid w:val="00AB3821"/>
    <w:rsid w:val="00AB40FE"/>
    <w:rsid w:val="00AB6D27"/>
    <w:rsid w:val="00AC10DE"/>
    <w:rsid w:val="00AC30AD"/>
    <w:rsid w:val="00AF3BD1"/>
    <w:rsid w:val="00AF5898"/>
    <w:rsid w:val="00B11B7A"/>
    <w:rsid w:val="00B32A5C"/>
    <w:rsid w:val="00B32B73"/>
    <w:rsid w:val="00B3362D"/>
    <w:rsid w:val="00B530C2"/>
    <w:rsid w:val="00B91FC8"/>
    <w:rsid w:val="00B96214"/>
    <w:rsid w:val="00BB13C8"/>
    <w:rsid w:val="00BB665F"/>
    <w:rsid w:val="00BE05EA"/>
    <w:rsid w:val="00BE7581"/>
    <w:rsid w:val="00BF4496"/>
    <w:rsid w:val="00BF740E"/>
    <w:rsid w:val="00C02CE7"/>
    <w:rsid w:val="00C16AB4"/>
    <w:rsid w:val="00C50D5F"/>
    <w:rsid w:val="00C6696E"/>
    <w:rsid w:val="00C66C63"/>
    <w:rsid w:val="00C8334E"/>
    <w:rsid w:val="00C83D8C"/>
    <w:rsid w:val="00C85EF5"/>
    <w:rsid w:val="00C900BA"/>
    <w:rsid w:val="00C91D00"/>
    <w:rsid w:val="00CA0A67"/>
    <w:rsid w:val="00CA128B"/>
    <w:rsid w:val="00CA259E"/>
    <w:rsid w:val="00CB2FD2"/>
    <w:rsid w:val="00CC6B9F"/>
    <w:rsid w:val="00CD5794"/>
    <w:rsid w:val="00CD74C6"/>
    <w:rsid w:val="00CD7863"/>
    <w:rsid w:val="00CF3BCC"/>
    <w:rsid w:val="00D10426"/>
    <w:rsid w:val="00D12B9B"/>
    <w:rsid w:val="00D138A9"/>
    <w:rsid w:val="00D17872"/>
    <w:rsid w:val="00D35A87"/>
    <w:rsid w:val="00D425A2"/>
    <w:rsid w:val="00D453DE"/>
    <w:rsid w:val="00D45916"/>
    <w:rsid w:val="00D66576"/>
    <w:rsid w:val="00D8316D"/>
    <w:rsid w:val="00D95D48"/>
    <w:rsid w:val="00DA21B2"/>
    <w:rsid w:val="00DA2A6C"/>
    <w:rsid w:val="00DB6FE8"/>
    <w:rsid w:val="00DC47C4"/>
    <w:rsid w:val="00DD13A3"/>
    <w:rsid w:val="00DF4246"/>
    <w:rsid w:val="00E2446B"/>
    <w:rsid w:val="00E36635"/>
    <w:rsid w:val="00E57DA2"/>
    <w:rsid w:val="00E7798D"/>
    <w:rsid w:val="00EC4411"/>
    <w:rsid w:val="00ED40C7"/>
    <w:rsid w:val="00ED7E6E"/>
    <w:rsid w:val="00EF4BC0"/>
    <w:rsid w:val="00F10E99"/>
    <w:rsid w:val="00F13522"/>
    <w:rsid w:val="00F300A7"/>
    <w:rsid w:val="00F41F3D"/>
    <w:rsid w:val="00F475BD"/>
    <w:rsid w:val="00F54949"/>
    <w:rsid w:val="00F54A77"/>
    <w:rsid w:val="00F62A3F"/>
    <w:rsid w:val="00F66574"/>
    <w:rsid w:val="00F804B7"/>
    <w:rsid w:val="00F805D5"/>
    <w:rsid w:val="00FB2C2F"/>
    <w:rsid w:val="00FB30CD"/>
    <w:rsid w:val="00FB5862"/>
    <w:rsid w:val="00FB726F"/>
    <w:rsid w:val="00FB7C73"/>
    <w:rsid w:val="00FD31A5"/>
    <w:rsid w:val="00FE5237"/>
    <w:rsid w:val="00FF4076"/>
    <w:rsid w:val="023C4137"/>
    <w:rsid w:val="03630182"/>
    <w:rsid w:val="1FF22C96"/>
    <w:rsid w:val="23B8751D"/>
    <w:rsid w:val="278B57CE"/>
    <w:rsid w:val="29747F51"/>
    <w:rsid w:val="346A1E20"/>
    <w:rsid w:val="41796AE8"/>
    <w:rsid w:val="42BC698B"/>
    <w:rsid w:val="46842A30"/>
    <w:rsid w:val="471D71FD"/>
    <w:rsid w:val="477A0836"/>
    <w:rsid w:val="50494C0B"/>
    <w:rsid w:val="51597B96"/>
    <w:rsid w:val="52DB3004"/>
    <w:rsid w:val="543319E0"/>
    <w:rsid w:val="56222037"/>
    <w:rsid w:val="566D2997"/>
    <w:rsid w:val="57923C2C"/>
    <w:rsid w:val="59D606DD"/>
    <w:rsid w:val="61A37D03"/>
    <w:rsid w:val="61F13DDD"/>
    <w:rsid w:val="646B78AC"/>
    <w:rsid w:val="6632298B"/>
    <w:rsid w:val="67743C03"/>
    <w:rsid w:val="7EC5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FEAD81"/>
  <w15:docId w15:val="{4EE74311-A2A8-4430-AE35-3C9FDB18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paragraph" w:styleId="4">
    <w:name w:val="heading 4"/>
    <w:basedOn w:val="a"/>
    <w:next w:val="a"/>
    <w:uiPriority w:val="9"/>
    <w:unhideWhenUsed/>
    <w:qFormat/>
    <w:pPr>
      <w:spacing w:beforeAutospacing="1" w:afterAutospacing="1"/>
      <w:jc w:val="left"/>
      <w:outlineLvl w:val="3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unhideWhenUsed/>
    <w:qFormat/>
    <w:pPr>
      <w:widowControl w:val="0"/>
      <w:ind w:leftChars="2500" w:left="10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a5">
    <w:name w:val="Balloon Text"/>
    <w:basedOn w:val="a"/>
    <w:link w:val="Char1"/>
    <w:uiPriority w:val="99"/>
    <w:unhideWhenUsed/>
    <w:qFormat/>
    <w:pPr>
      <w:widowControl w:val="0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uiPriority w:val="20"/>
    <w:qFormat/>
    <w:rPr>
      <w:color w:val="CC0000"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basedOn w:val="NormalCharacter"/>
    <w:qFormat/>
  </w:style>
  <w:style w:type="character" w:customStyle="1" w:styleId="UserStyle0">
    <w:name w:val="UserStyle_0"/>
    <w:link w:val="Acetate"/>
    <w:qFormat/>
    <w:rPr>
      <w:kern w:val="2"/>
      <w:sz w:val="18"/>
      <w:szCs w:val="18"/>
    </w:rPr>
  </w:style>
  <w:style w:type="paragraph" w:customStyle="1" w:styleId="Acetate">
    <w:name w:val="Acetate"/>
    <w:basedOn w:val="a"/>
    <w:link w:val="UserStyle0"/>
    <w:qFormat/>
    <w:rPr>
      <w:sz w:val="18"/>
      <w:szCs w:val="18"/>
    </w:rPr>
  </w:style>
  <w:style w:type="character" w:customStyle="1" w:styleId="Char3">
    <w:name w:val="页眉 Char"/>
    <w:link w:val="a7"/>
    <w:uiPriority w:val="99"/>
    <w:qFormat/>
    <w:rPr>
      <w:kern w:val="2"/>
      <w:sz w:val="18"/>
      <w:szCs w:val="18"/>
    </w:rPr>
  </w:style>
  <w:style w:type="paragraph" w:customStyle="1" w:styleId="BodyTextIndent">
    <w:name w:val="BodyTextIndent"/>
    <w:basedOn w:val="a"/>
    <w:qFormat/>
    <w:pPr>
      <w:spacing w:after="120"/>
      <w:ind w:leftChars="200" w:left="200"/>
    </w:pPr>
    <w:rPr>
      <w:szCs w:val="20"/>
    </w:rPr>
  </w:style>
  <w:style w:type="paragraph" w:customStyle="1" w:styleId="179">
    <w:name w:val="179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UserStyle2">
    <w:name w:val="UserStyle_2"/>
    <w:basedOn w:val="a"/>
    <w:qFormat/>
    <w:pPr>
      <w:tabs>
        <w:tab w:val="left" w:pos="720"/>
      </w:tabs>
      <w:ind w:left="720" w:hanging="720"/>
    </w:pPr>
    <w:rPr>
      <w:sz w:val="18"/>
      <w:szCs w:val="18"/>
    </w:rPr>
  </w:style>
  <w:style w:type="paragraph" w:customStyle="1" w:styleId="UserStyle3">
    <w:name w:val="UserStyle_3"/>
    <w:basedOn w:val="a"/>
    <w:qFormat/>
    <w:rPr>
      <w:rFonts w:ascii="仿宋_GB2312" w:eastAsia="仿宋_GB2312"/>
      <w:sz w:val="32"/>
      <w:szCs w:val="32"/>
    </w:rPr>
  </w:style>
  <w:style w:type="table" w:customStyle="1" w:styleId="TableGrid">
    <w:name w:val="TableGrid"/>
    <w:basedOn w:val="TableNormal"/>
    <w:qFormat/>
    <w:tblPr/>
  </w:style>
  <w:style w:type="character" w:customStyle="1" w:styleId="Char2">
    <w:name w:val="页脚 Char"/>
    <w:basedOn w:val="a0"/>
    <w:link w:val="a6"/>
    <w:uiPriority w:val="99"/>
    <w:qFormat/>
    <w:rPr>
      <w:kern w:val="2"/>
      <w:sz w:val="18"/>
      <w:szCs w:val="18"/>
    </w:rPr>
  </w:style>
  <w:style w:type="paragraph" w:customStyle="1" w:styleId="1">
    <w:name w:val="列出段落1"/>
    <w:basedOn w:val="a"/>
    <w:link w:val="Char5"/>
    <w:uiPriority w:val="34"/>
    <w:qFormat/>
    <w:pPr>
      <w:widowControl w:val="0"/>
      <w:ind w:firstLineChars="200" w:firstLine="42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character" w:customStyle="1" w:styleId="bjh-p">
    <w:name w:val="bjh-p"/>
    <w:basedOn w:val="a0"/>
    <w:qFormat/>
  </w:style>
  <w:style w:type="paragraph" w:customStyle="1" w:styleId="11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Char5">
    <w:name w:val="列出段落 Char"/>
    <w:link w:val="1"/>
    <w:uiPriority w:val="34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">
    <w:name w:val="修订2"/>
    <w:hidden/>
    <w:uiPriority w:val="99"/>
    <w:semiHidden/>
    <w:qFormat/>
    <w:rPr>
      <w:kern w:val="2"/>
      <w:sz w:val="21"/>
      <w:szCs w:val="24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4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b/>
      <w:bCs/>
      <w:kern w:val="2"/>
      <w:sz w:val="21"/>
      <w:szCs w:val="24"/>
    </w:rPr>
  </w:style>
  <w:style w:type="paragraph" w:customStyle="1" w:styleId="3">
    <w:name w:val="修订3"/>
    <w:hidden/>
    <w:uiPriority w:val="99"/>
    <w:semiHidden/>
    <w:qFormat/>
    <w:rPr>
      <w:kern w:val="2"/>
      <w:sz w:val="21"/>
      <w:szCs w:val="24"/>
    </w:rPr>
  </w:style>
  <w:style w:type="paragraph" w:styleId="ad">
    <w:name w:val="Revision"/>
    <w:hidden/>
    <w:uiPriority w:val="99"/>
    <w:semiHidden/>
    <w:rsid w:val="003306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7EA08-DA3E-4A01-B4B8-FC3D7D6E9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孙诗旖</cp:lastModifiedBy>
  <cp:revision>3</cp:revision>
  <cp:lastPrinted>2020-05-06T16:51:00Z</cp:lastPrinted>
  <dcterms:created xsi:type="dcterms:W3CDTF">2024-05-30T07:43:00Z</dcterms:created>
  <dcterms:modified xsi:type="dcterms:W3CDTF">2024-05-30T07:51:00Z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D653F3924E1B434A904C0F4EE5CE03FE_13</vt:lpwstr>
  </property>
</Properties>
</file>